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06BF" w14:textId="7127B722" w:rsidR="00460942" w:rsidRDefault="00297847" w:rsidP="00964665">
      <w:pPr>
        <w:pStyle w:val="Titre1"/>
        <w:spacing w:before="120"/>
        <w:rPr>
          <w:b/>
        </w:rPr>
      </w:pPr>
      <w:r>
        <w:rPr>
          <w:noProof/>
          <w:lang w:eastAsia="fr-FR"/>
        </w:rPr>
        <w:drawing>
          <wp:inline distT="0" distB="0" distL="0" distR="0" wp14:anchorId="3EBF274A" wp14:editId="46531222">
            <wp:extent cx="2038350" cy="1095194"/>
            <wp:effectExtent l="0" t="0" r="0" b="0"/>
            <wp:docPr id="1" name="Image 1" descr="Description : Description : Y:\IDENTITE VISUELLE\NOUVEAU LOGO\FICHIERS LOGO\LOGO COULEUR\VERSION FRANCAISE\FOND BLANC\logo_cou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Y:\IDENTITE VISUELLE\NOUVEAU LOGO\FICHIERS LOGO\LOGO COULEUR\VERSION FRANCAISE\FOND BLANC\logo_coul_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31" cy="111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460942" w:rsidRPr="000B025D" w14:paraId="3B3D7F9B" w14:textId="77777777" w:rsidTr="00964665">
        <w:tc>
          <w:tcPr>
            <w:tcW w:w="9062" w:type="dxa"/>
            <w:shd w:val="clear" w:color="auto" w:fill="DBE5F1" w:themeFill="accent1" w:themeFillTint="33"/>
          </w:tcPr>
          <w:p w14:paraId="2957BED4" w14:textId="65922255" w:rsidR="00460942" w:rsidRPr="00297847" w:rsidRDefault="00460942" w:rsidP="00460942">
            <w:pPr>
              <w:pStyle w:val="Titre1"/>
              <w:outlineLvl w:val="0"/>
              <w:rPr>
                <w:b/>
                <w:color w:val="244061" w:themeColor="accent1" w:themeShade="80"/>
              </w:rPr>
            </w:pPr>
            <w:r w:rsidRPr="00297847">
              <w:rPr>
                <w:b/>
                <w:color w:val="244061" w:themeColor="accent1" w:themeShade="80"/>
              </w:rPr>
              <w:t xml:space="preserve">Économie </w:t>
            </w:r>
            <w:r w:rsidR="00261710" w:rsidRPr="00297847">
              <w:rPr>
                <w:b/>
                <w:color w:val="244061" w:themeColor="accent1" w:themeShade="80"/>
              </w:rPr>
              <w:t>numérique</w:t>
            </w:r>
            <w:r w:rsidR="00297847" w:rsidRPr="00297847">
              <w:rPr>
                <w:b/>
                <w:color w:val="244061" w:themeColor="accent1" w:themeShade="80"/>
              </w:rPr>
              <w:t xml:space="preserve"> 1</w:t>
            </w:r>
          </w:p>
          <w:p w14:paraId="2640A502" w14:textId="63A5C75D" w:rsidR="00460942" w:rsidRPr="00297847" w:rsidRDefault="00297847" w:rsidP="00460942">
            <w:pPr>
              <w:pStyle w:val="Titre1"/>
              <w:outlineLvl w:val="0"/>
              <w:rPr>
                <w:color w:val="244061" w:themeColor="accent1" w:themeShade="80"/>
                <w:szCs w:val="24"/>
              </w:rPr>
            </w:pPr>
            <w:r w:rsidRPr="00297847">
              <w:rPr>
                <w:color w:val="244061" w:themeColor="accent1" w:themeShade="80"/>
              </w:rPr>
              <w:t>Guide de travail</w:t>
            </w:r>
          </w:p>
          <w:p w14:paraId="1906F6F9" w14:textId="1C7B406D" w:rsidR="00460942" w:rsidRPr="00297847" w:rsidRDefault="00297847" w:rsidP="00261710">
            <w:pPr>
              <w:pStyle w:val="Titre1"/>
              <w:outlineLvl w:val="0"/>
              <w:rPr>
                <w:color w:val="244061" w:themeColor="accent1" w:themeShade="80"/>
              </w:rPr>
            </w:pPr>
            <w:r w:rsidRPr="00297847">
              <w:rPr>
                <w:color w:val="244061" w:themeColor="accent1" w:themeShade="80"/>
              </w:rPr>
              <w:t xml:space="preserve">Cours </w:t>
            </w:r>
            <w:r w:rsidR="00261F29">
              <w:rPr>
                <w:color w:val="244061" w:themeColor="accent1" w:themeShade="80"/>
              </w:rPr>
              <w:t>3</w:t>
            </w:r>
          </w:p>
        </w:tc>
      </w:tr>
    </w:tbl>
    <w:p w14:paraId="6122F276" w14:textId="3F634C39" w:rsidR="00297847" w:rsidRDefault="00297847" w:rsidP="0007305B">
      <w:pPr>
        <w:spacing w:before="240" w:after="240" w:line="240" w:lineRule="auto"/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</w:pPr>
      <w:r w:rsidRPr="00297847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Répondez aux questions suivantes en vous aidant</w:t>
      </w:r>
      <w:r w:rsidR="00B1648C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, principalement mais pas uniquement,</w:t>
      </w:r>
      <w:r w:rsidRPr="00297847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 xml:space="preserve"> des supports mis à votre disposition pour la séance de cours </w:t>
      </w:r>
      <w:r w:rsidR="00EE580D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3</w:t>
      </w:r>
    </w:p>
    <w:p w14:paraId="5695C3C1" w14:textId="32FA4B48" w:rsidR="00EE580D" w:rsidRPr="00297847" w:rsidRDefault="00EE580D" w:rsidP="0007305B">
      <w:pPr>
        <w:spacing w:before="240" w:after="240" w:line="240" w:lineRule="auto"/>
        <w:rPr>
          <w:rFonts w:asciiTheme="majorHAnsi" w:hAnsiTheme="majorHAnsi"/>
          <w:b/>
          <w:i/>
          <w:iCs/>
          <w:sz w:val="26"/>
          <w:szCs w:val="26"/>
        </w:rPr>
      </w:pPr>
      <w:r w:rsidRPr="0007305B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  <w:u w:val="single"/>
        </w:rPr>
        <w:t xml:space="preserve">Consigne </w:t>
      </w:r>
      <w:r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  <w:u w:val="single"/>
        </w:rPr>
        <w:t>additionnelle</w:t>
      </w:r>
      <w:r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 : lorsque cela est possible, illustrez votre réponse à l’aide d’exemples issus de l’industrie des consoles de jeux vidéo</w:t>
      </w:r>
    </w:p>
    <w:p w14:paraId="06BCA24C" w14:textId="63765333" w:rsidR="004E363E" w:rsidRPr="00297847" w:rsidRDefault="004E363E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1.</w:t>
      </w:r>
      <w:r w:rsidRP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="00AA16CF">
        <w:rPr>
          <w:rFonts w:asciiTheme="majorHAnsi" w:hAnsiTheme="majorHAnsi"/>
          <w:color w:val="244061" w:themeColor="accent1" w:themeShade="80"/>
          <w:sz w:val="26"/>
          <w:szCs w:val="26"/>
        </w:rPr>
        <w:t>Qu</w:t>
      </w:r>
      <w:r w:rsidR="00CF02D2">
        <w:rPr>
          <w:rFonts w:asciiTheme="majorHAnsi" w:hAnsiTheme="majorHAnsi"/>
          <w:color w:val="244061" w:themeColor="accent1" w:themeShade="80"/>
          <w:sz w:val="26"/>
          <w:szCs w:val="26"/>
        </w:rPr>
        <w:t>e désigne-t-on par « effets de rétroaction positive entre l’offre et la demande »</w:t>
      </w:r>
      <w:r w:rsidR="00B1648C">
        <w:rPr>
          <w:rFonts w:asciiTheme="majorHAnsi" w:hAnsiTheme="majorHAnsi"/>
          <w:color w:val="244061" w:themeColor="accent1" w:themeShade="80"/>
          <w:sz w:val="26"/>
          <w:szCs w:val="26"/>
        </w:rPr>
        <w:t> ?</w:t>
      </w:r>
    </w:p>
    <w:p w14:paraId="6DDA4D76" w14:textId="0A7C8765" w:rsidR="00AE270D" w:rsidRDefault="004E363E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2.</w:t>
      </w:r>
      <w:r w:rsidR="00B1648C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="00AE270D">
        <w:rPr>
          <w:rFonts w:asciiTheme="majorHAnsi" w:hAnsiTheme="majorHAnsi"/>
          <w:color w:val="244061" w:themeColor="accent1" w:themeShade="80"/>
          <w:sz w:val="26"/>
          <w:szCs w:val="26"/>
        </w:rPr>
        <w:t>Expliquez la dynamique de diffusion d’un service en réseau</w:t>
      </w:r>
      <w:r w:rsidR="00EE580D">
        <w:rPr>
          <w:rFonts w:asciiTheme="majorHAnsi" w:hAnsiTheme="majorHAnsi"/>
          <w:color w:val="244061" w:themeColor="accent1" w:themeShade="80"/>
          <w:sz w:val="26"/>
          <w:szCs w:val="26"/>
        </w:rPr>
        <w:t>,</w:t>
      </w:r>
      <w:r w:rsidR="00AE270D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en fonction des interactions entre l’offre et la demande pour ce service. Quels sont les équilibres vers le</w:t>
      </w:r>
      <w:r w:rsidR="00554BF6">
        <w:rPr>
          <w:rFonts w:asciiTheme="majorHAnsi" w:hAnsiTheme="majorHAnsi"/>
          <w:color w:val="244061" w:themeColor="accent1" w:themeShade="80"/>
          <w:sz w:val="26"/>
          <w:szCs w:val="26"/>
        </w:rPr>
        <w:t>s</w:t>
      </w:r>
      <w:r w:rsidR="00AE270D">
        <w:rPr>
          <w:rFonts w:asciiTheme="majorHAnsi" w:hAnsiTheme="majorHAnsi"/>
          <w:color w:val="244061" w:themeColor="accent1" w:themeShade="80"/>
          <w:sz w:val="26"/>
          <w:szCs w:val="26"/>
        </w:rPr>
        <w:t>quels</w:t>
      </w:r>
      <w:r w:rsidR="00554BF6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="00EE580D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converge </w:t>
      </w:r>
      <w:r w:rsidR="00554BF6">
        <w:rPr>
          <w:rFonts w:asciiTheme="majorHAnsi" w:hAnsiTheme="majorHAnsi"/>
          <w:color w:val="244061" w:themeColor="accent1" w:themeShade="80"/>
          <w:sz w:val="26"/>
          <w:szCs w:val="26"/>
        </w:rPr>
        <w:t>le marché ?</w:t>
      </w:r>
    </w:p>
    <w:p w14:paraId="0BA2694F" w14:textId="74CF6B71" w:rsidR="001671F5" w:rsidRDefault="00EE580D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3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 w:rsidRP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 </w:t>
      </w:r>
      <w:r w:rsidR="001671F5">
        <w:rPr>
          <w:rFonts w:asciiTheme="majorHAnsi" w:hAnsiTheme="majorHAnsi"/>
          <w:color w:val="244061" w:themeColor="accent1" w:themeShade="80"/>
          <w:sz w:val="26"/>
          <w:szCs w:val="26"/>
        </w:rPr>
        <w:t>Quelles sont les stratégies concurrentielles mises en œuvre par les fournisseurs de service en réseau afin de tirer parti des effets de rétroaction positive ?</w:t>
      </w:r>
    </w:p>
    <w:p w14:paraId="1E6B4DA0" w14:textId="6511BEBE" w:rsidR="001671F5" w:rsidRDefault="00EE580D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4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 w:rsidRP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 </w:t>
      </w:r>
      <w:r w:rsidR="001671F5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En présence 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>d’effets de réseau, un fournisseur de service en réseau a-t-il intérêt à se différencier de ses concurrents, en menant une « guerre des standards » ou, au contraire, à opter pour la « compatibilité » ?</w:t>
      </w:r>
    </w:p>
    <w:p w14:paraId="59461CA0" w14:textId="19D9BAA1" w:rsidR="00CF02D2" w:rsidRDefault="00EE580D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5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 w:rsidRP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="00CF02D2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Quels sont les différents types de plateformes multifaces </w:t>
      </w:r>
      <w:r w:rsidR="00AE270D">
        <w:rPr>
          <w:rFonts w:asciiTheme="majorHAnsi" w:hAnsiTheme="majorHAnsi"/>
          <w:color w:val="244061" w:themeColor="accent1" w:themeShade="80"/>
          <w:sz w:val="26"/>
          <w:szCs w:val="26"/>
        </w:rPr>
        <w:t>que distingue Evan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>s</w:t>
      </w:r>
      <w:r w:rsidR="00AE270D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dans son article de 2003</w:t>
      </w:r>
      <w:r w:rsidR="00361D66">
        <w:rPr>
          <w:rStyle w:val="Appelnotedebasdep"/>
          <w:rFonts w:asciiTheme="majorHAnsi" w:hAnsiTheme="majorHAnsi"/>
          <w:color w:val="244061" w:themeColor="accent1" w:themeShade="80"/>
          <w:sz w:val="26"/>
          <w:szCs w:val="26"/>
        </w:rPr>
        <w:footnoteReference w:id="1"/>
      </w:r>
      <w:r w:rsidR="00361D66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="00AE270D">
        <w:rPr>
          <w:rFonts w:asciiTheme="majorHAnsi" w:hAnsiTheme="majorHAnsi"/>
          <w:color w:val="244061" w:themeColor="accent1" w:themeShade="80"/>
          <w:sz w:val="26"/>
          <w:szCs w:val="26"/>
        </w:rPr>
        <w:t>?</w:t>
      </w:r>
    </w:p>
    <w:p w14:paraId="0DAAE5A0" w14:textId="33D8C9D5" w:rsidR="004E363E" w:rsidRDefault="00361D66" w:rsidP="0007305B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6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 xml:space="preserve"> </w:t>
      </w:r>
      <w:r w:rsidR="00B7457B">
        <w:rPr>
          <w:rFonts w:asciiTheme="majorHAnsi" w:hAnsiTheme="majorHAnsi"/>
          <w:color w:val="244061" w:themeColor="accent1" w:themeShade="80"/>
          <w:sz w:val="26"/>
          <w:szCs w:val="26"/>
        </w:rPr>
        <w:t>Commentez le passage suivant :</w:t>
      </w:r>
    </w:p>
    <w:p w14:paraId="0FE1D2CD" w14:textId="6ADE9D35" w:rsidR="00B7457B" w:rsidRDefault="00B7457B" w:rsidP="0007305B">
      <w:pPr>
        <w:spacing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color w:val="244061" w:themeColor="accent1" w:themeShade="80"/>
          <w:sz w:val="26"/>
          <w:szCs w:val="26"/>
        </w:rPr>
        <w:t>« </w:t>
      </w:r>
      <w:proofErr w:type="gramStart"/>
      <w:r w:rsidRPr="00B7457B">
        <w:rPr>
          <w:rFonts w:asciiTheme="majorHAnsi" w:hAnsiTheme="majorHAnsi"/>
          <w:color w:val="244061" w:themeColor="accent1" w:themeShade="80"/>
          <w:sz w:val="26"/>
          <w:szCs w:val="26"/>
        </w:rPr>
        <w:t>selon</w:t>
      </w:r>
      <w:proofErr w:type="gramEnd"/>
      <w:r w:rsidRPr="00B7457B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ces deux auteurs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[</w:t>
      </w:r>
      <w:r w:rsidRPr="00B7457B">
        <w:rPr>
          <w:rFonts w:asciiTheme="majorHAnsi" w:hAnsiTheme="majorHAnsi"/>
          <w:color w:val="244061" w:themeColor="accent1" w:themeShade="80"/>
          <w:sz w:val="26"/>
          <w:szCs w:val="26"/>
        </w:rPr>
        <w:t>Rochet et Tirole (2006)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>]</w:t>
      </w:r>
      <w:r w:rsidRPr="00B7457B">
        <w:rPr>
          <w:rFonts w:asciiTheme="majorHAnsi" w:hAnsiTheme="majorHAnsi"/>
          <w:color w:val="244061" w:themeColor="accent1" w:themeShade="80"/>
          <w:sz w:val="26"/>
          <w:szCs w:val="26"/>
        </w:rPr>
        <w:t>, un marché peut être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Pr="00B7457B">
        <w:rPr>
          <w:rFonts w:asciiTheme="majorHAnsi" w:hAnsiTheme="majorHAnsi"/>
          <w:color w:val="244061" w:themeColor="accent1" w:themeShade="80"/>
          <w:sz w:val="26"/>
          <w:szCs w:val="26"/>
        </w:rPr>
        <w:t>qualifié de marché à deux versants si le volume de transactions (ou d’interactions)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Pr="00B7457B">
        <w:rPr>
          <w:rFonts w:asciiTheme="majorHAnsi" w:hAnsiTheme="majorHAnsi"/>
          <w:color w:val="244061" w:themeColor="accent1" w:themeShade="80"/>
          <w:sz w:val="26"/>
          <w:szCs w:val="26"/>
        </w:rPr>
        <w:t>entre les différents groupes d’agents dépend de la structure tarifaire et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Pr="00B7457B">
        <w:rPr>
          <w:rFonts w:asciiTheme="majorHAnsi" w:hAnsiTheme="majorHAnsi"/>
          <w:color w:val="244061" w:themeColor="accent1" w:themeShade="80"/>
          <w:sz w:val="26"/>
          <w:szCs w:val="26"/>
        </w:rPr>
        <w:t>pas uniquement du niveau du tarif total fixé par la plate-forme. Autrement dit,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Pr="00B7457B">
        <w:rPr>
          <w:rFonts w:asciiTheme="majorHAnsi" w:hAnsiTheme="majorHAnsi"/>
          <w:color w:val="244061" w:themeColor="accent1" w:themeShade="80"/>
          <w:sz w:val="26"/>
          <w:szCs w:val="26"/>
        </w:rPr>
        <w:t>à tarif total fixé, le volume de transactions dépend de la manière d’allouer le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Pr="00B7457B">
        <w:rPr>
          <w:rFonts w:asciiTheme="majorHAnsi" w:hAnsiTheme="majorHAnsi"/>
          <w:color w:val="244061" w:themeColor="accent1" w:themeShade="80"/>
          <w:sz w:val="26"/>
          <w:szCs w:val="26"/>
        </w:rPr>
        <w:t>prix total entre les différents versants du marché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>. » (</w:t>
      </w:r>
      <w:r w:rsidR="00361D66" w:rsidRPr="00361D66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Myriam </w:t>
      </w:r>
      <w:proofErr w:type="spellStart"/>
      <w:r w:rsidR="00361D66" w:rsidRPr="00361D66">
        <w:rPr>
          <w:rFonts w:asciiTheme="majorHAnsi" w:hAnsiTheme="majorHAnsi"/>
          <w:color w:val="244061" w:themeColor="accent1" w:themeShade="80"/>
          <w:sz w:val="26"/>
          <w:szCs w:val="26"/>
        </w:rPr>
        <w:t>Davidovici</w:t>
      </w:r>
      <w:proofErr w:type="spellEnd"/>
      <w:r w:rsidR="00361D66" w:rsidRPr="00361D66">
        <w:rPr>
          <w:rFonts w:asciiTheme="majorHAnsi" w:hAnsiTheme="majorHAnsi"/>
          <w:color w:val="244061" w:themeColor="accent1" w:themeShade="80"/>
          <w:sz w:val="26"/>
          <w:szCs w:val="26"/>
        </w:rPr>
        <w:t>-Nora et Marc Bourreau</w:t>
      </w:r>
      <w:r w:rsidR="00361D66">
        <w:rPr>
          <w:rFonts w:asciiTheme="majorHAnsi" w:hAnsiTheme="majorHAnsi"/>
          <w:color w:val="244061" w:themeColor="accent1" w:themeShade="80"/>
          <w:sz w:val="26"/>
          <w:szCs w:val="26"/>
        </w:rPr>
        <w:t>, 2012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>, p. 101)</w:t>
      </w:r>
    </w:p>
    <w:p w14:paraId="786C3516" w14:textId="3CD4B724" w:rsidR="00B1648C" w:rsidRDefault="00361D66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7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 xml:space="preserve"> </w:t>
      </w:r>
      <w:r w:rsidR="00AA16CF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Quel lien peut-on établir entre </w:t>
      </w:r>
      <w:r w:rsidR="00B7457B">
        <w:rPr>
          <w:rFonts w:asciiTheme="majorHAnsi" w:hAnsiTheme="majorHAnsi"/>
          <w:color w:val="244061" w:themeColor="accent1" w:themeShade="80"/>
          <w:sz w:val="26"/>
          <w:szCs w:val="26"/>
        </w:rPr>
        <w:t>tarification d’une plateforme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multifaces</w:t>
      </w:r>
      <w:r w:rsidR="00B7457B">
        <w:rPr>
          <w:rFonts w:asciiTheme="majorHAnsi" w:hAnsiTheme="majorHAnsi"/>
          <w:color w:val="244061" w:themeColor="accent1" w:themeShade="80"/>
          <w:sz w:val="26"/>
          <w:szCs w:val="26"/>
        </w:rPr>
        <w:t>, pouvoir de marché et externalités</w:t>
      </w:r>
      <w:r w:rsidR="00B76D96">
        <w:rPr>
          <w:rFonts w:asciiTheme="majorHAnsi" w:hAnsiTheme="majorHAnsi"/>
          <w:color w:val="244061" w:themeColor="accent1" w:themeShade="80"/>
          <w:sz w:val="26"/>
          <w:szCs w:val="26"/>
        </w:rPr>
        <w:t>.</w:t>
      </w:r>
    </w:p>
    <w:p w14:paraId="62E8EA8E" w14:textId="77777777" w:rsidR="0007305B" w:rsidRDefault="0007305B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</w:p>
    <w:p w14:paraId="3FE5FD10" w14:textId="23F2CACC" w:rsidR="00151750" w:rsidRDefault="00151750" w:rsidP="00595D15">
      <w:pPr>
        <w:spacing w:before="240" w:after="240" w:line="240" w:lineRule="auto"/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</w:pPr>
      <w:r w:rsidRPr="00151750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lastRenderedPageBreak/>
        <w:t>Supports :</w:t>
      </w:r>
    </w:p>
    <w:p w14:paraId="25FA07F3" w14:textId="00ACEE5A" w:rsidR="00BD002A" w:rsidRDefault="00BD002A" w:rsidP="00595D15">
      <w:pPr>
        <w:spacing w:before="120" w:after="60" w:line="240" w:lineRule="auto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 w:rsidRPr="00BD002A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Jean Beuve et Laurie Bréban (2017). 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« </w:t>
      </w:r>
      <w:r w:rsidRPr="00BD002A">
        <w:rPr>
          <w:rFonts w:asciiTheme="majorHAnsi" w:hAnsiTheme="majorHAnsi"/>
          <w:bCs/>
          <w:color w:val="244061" w:themeColor="accent1" w:themeShade="80"/>
          <w:sz w:val="26"/>
          <w:szCs w:val="26"/>
        </w:rPr>
        <w:t>Plateformes et Economie numérique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 »</w:t>
      </w:r>
      <w:r w:rsidRPr="00BD002A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, </w:t>
      </w:r>
      <w:proofErr w:type="spellStart"/>
      <w:r w:rsidRPr="00BD002A">
        <w:rPr>
          <w:rFonts w:asciiTheme="majorHAnsi" w:hAnsiTheme="majorHAnsi"/>
          <w:bCs/>
          <w:i/>
          <w:iCs/>
          <w:color w:val="244061" w:themeColor="accent1" w:themeShade="80"/>
          <w:sz w:val="26"/>
          <w:szCs w:val="26"/>
        </w:rPr>
        <w:t>EcoFlash</w:t>
      </w:r>
      <w:proofErr w:type="spellEnd"/>
      <w:r w:rsidRPr="00BD002A">
        <w:rPr>
          <w:rFonts w:asciiTheme="majorHAnsi" w:hAnsiTheme="majorHAnsi"/>
          <w:bCs/>
          <w:color w:val="244061" w:themeColor="accent1" w:themeShade="80"/>
          <w:sz w:val="26"/>
          <w:szCs w:val="26"/>
        </w:rPr>
        <w:t>, 323</w:t>
      </w:r>
      <w:r w:rsidR="00C50B2B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(</w:t>
      </w:r>
      <w:r w:rsidR="00C50B2B" w:rsidRPr="00AF7F34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 xml:space="preserve">voir pp. </w:t>
      </w:r>
      <w:r w:rsidR="00C50B2B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1-3</w:t>
      </w:r>
      <w:r w:rsidR="00C50B2B">
        <w:rPr>
          <w:rFonts w:asciiTheme="majorHAnsi" w:hAnsiTheme="majorHAnsi"/>
          <w:bCs/>
          <w:color w:val="244061" w:themeColor="accent1" w:themeShade="80"/>
          <w:sz w:val="26"/>
          <w:szCs w:val="26"/>
        </w:rPr>
        <w:t>)</w:t>
      </w:r>
      <w:r w:rsidRPr="00BD002A">
        <w:rPr>
          <w:rFonts w:asciiTheme="majorHAnsi" w:hAnsiTheme="majorHAnsi"/>
          <w:bCs/>
          <w:color w:val="244061" w:themeColor="accent1" w:themeShade="80"/>
          <w:sz w:val="26"/>
          <w:szCs w:val="26"/>
        </w:rPr>
        <w:t>.</w:t>
      </w:r>
    </w:p>
    <w:p w14:paraId="054093E4" w14:textId="62CAD583" w:rsidR="00361D66" w:rsidRDefault="00361D66" w:rsidP="00595D15">
      <w:pPr>
        <w:spacing w:before="120" w:after="60" w:line="240" w:lineRule="auto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 w:rsidRPr="00361D66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Myriam </w:t>
      </w:r>
      <w:proofErr w:type="spellStart"/>
      <w:r w:rsidRPr="00361D66">
        <w:rPr>
          <w:rFonts w:asciiTheme="majorHAnsi" w:hAnsiTheme="majorHAnsi"/>
          <w:color w:val="244061" w:themeColor="accent1" w:themeShade="80"/>
          <w:sz w:val="26"/>
          <w:szCs w:val="26"/>
        </w:rPr>
        <w:t>Davidovici</w:t>
      </w:r>
      <w:proofErr w:type="spellEnd"/>
      <w:r w:rsidRPr="00361D66">
        <w:rPr>
          <w:rFonts w:asciiTheme="majorHAnsi" w:hAnsiTheme="majorHAnsi"/>
          <w:color w:val="244061" w:themeColor="accent1" w:themeShade="80"/>
          <w:sz w:val="26"/>
          <w:szCs w:val="26"/>
        </w:rPr>
        <w:t>-Nora et Marc Bourreau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(2012). « </w:t>
      </w:r>
      <w:r w:rsidRPr="00361D66">
        <w:rPr>
          <w:rFonts w:asciiTheme="majorHAnsi" w:hAnsiTheme="majorHAnsi"/>
          <w:color w:val="244061" w:themeColor="accent1" w:themeShade="80"/>
          <w:sz w:val="26"/>
          <w:szCs w:val="26"/>
        </w:rPr>
        <w:t>Les marchés à deux versants dans l'industrie des jeux vidéo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 », </w:t>
      </w:r>
      <w:r w:rsidRPr="0007305B">
        <w:rPr>
          <w:rFonts w:asciiTheme="majorHAnsi" w:hAnsiTheme="majorHAnsi"/>
          <w:i/>
          <w:iCs/>
          <w:color w:val="244061" w:themeColor="accent1" w:themeShade="80"/>
          <w:sz w:val="26"/>
          <w:szCs w:val="26"/>
        </w:rPr>
        <w:t>Réseaux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>, 3-4, pp. 97-135.</w:t>
      </w:r>
    </w:p>
    <w:p w14:paraId="7B0D1294" w14:textId="77777777" w:rsidR="00217ED4" w:rsidRDefault="00217ED4" w:rsidP="006E339D">
      <w:pPr>
        <w:spacing w:before="120" w:after="60" w:line="240" w:lineRule="auto"/>
        <w:jc w:val="left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 w:rsidRPr="00217ED4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Philippe </w:t>
      </w:r>
      <w:proofErr w:type="spellStart"/>
      <w:r w:rsidRPr="00217ED4">
        <w:rPr>
          <w:rFonts w:asciiTheme="majorHAnsi" w:hAnsiTheme="majorHAnsi"/>
          <w:bCs/>
          <w:color w:val="244061" w:themeColor="accent1" w:themeShade="80"/>
          <w:sz w:val="26"/>
          <w:szCs w:val="26"/>
        </w:rPr>
        <w:t>Gattet</w:t>
      </w:r>
      <w:proofErr w:type="spellEnd"/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(2017a). « </w:t>
      </w:r>
      <w:r w:rsidRPr="00217ED4">
        <w:rPr>
          <w:rFonts w:asciiTheme="majorHAnsi" w:hAnsiTheme="majorHAnsi"/>
          <w:bCs/>
          <w:color w:val="244061" w:themeColor="accent1" w:themeShade="80"/>
          <w:sz w:val="26"/>
          <w:szCs w:val="26"/>
        </w:rPr>
        <w:t>Comprendre les trois lois fondamentales de l’économie numérique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 », Xerfi Canal, </w:t>
      </w:r>
      <w:hyperlink r:id="rId9" w:history="1">
        <w:r w:rsidRPr="00217ED4">
          <w:rPr>
            <w:rStyle w:val="Lienhypertexte"/>
            <w:rFonts w:asciiTheme="majorHAnsi" w:hAnsiTheme="majorHAnsi"/>
            <w:bCs/>
            <w:sz w:val="26"/>
            <w:szCs w:val="26"/>
          </w:rPr>
          <w:t>https://www.youtube.com/watch?v=vfLHTVSjx1s&amp;feature=youtu.be</w:t>
        </w:r>
      </w:hyperlink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.</w:t>
      </w:r>
    </w:p>
    <w:p w14:paraId="671DBDF3" w14:textId="3F8EA8E8" w:rsidR="00217ED4" w:rsidRDefault="00217ED4" w:rsidP="00886256">
      <w:pPr>
        <w:spacing w:before="120" w:after="60" w:line="240" w:lineRule="auto"/>
        <w:jc w:val="left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 w:rsidRPr="00217ED4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Philippe </w:t>
      </w:r>
      <w:proofErr w:type="spellStart"/>
      <w:r w:rsidRPr="00217ED4">
        <w:rPr>
          <w:rFonts w:asciiTheme="majorHAnsi" w:hAnsiTheme="majorHAnsi"/>
          <w:bCs/>
          <w:color w:val="244061" w:themeColor="accent1" w:themeShade="80"/>
          <w:sz w:val="26"/>
          <w:szCs w:val="26"/>
        </w:rPr>
        <w:t>Gattet</w:t>
      </w:r>
      <w:proofErr w:type="spellEnd"/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(2017b). « </w:t>
      </w:r>
      <w:r w:rsidRPr="00217ED4">
        <w:rPr>
          <w:rFonts w:asciiTheme="majorHAnsi" w:hAnsiTheme="majorHAnsi"/>
          <w:bCs/>
          <w:color w:val="244061" w:themeColor="accent1" w:themeShade="80"/>
          <w:sz w:val="26"/>
          <w:szCs w:val="26"/>
        </w:rPr>
        <w:t>Comprendre l’économie des plateformes numériques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 », Xerfi Canal, </w:t>
      </w:r>
      <w:hyperlink r:id="rId10" w:history="1">
        <w:r w:rsidRPr="00217ED4">
          <w:rPr>
            <w:rStyle w:val="Lienhypertexte"/>
            <w:rFonts w:asciiTheme="majorHAnsi" w:hAnsiTheme="majorHAnsi"/>
            <w:bCs/>
            <w:sz w:val="26"/>
            <w:szCs w:val="26"/>
          </w:rPr>
          <w:t>https://www.youtube.com/watch?v=P7Gk3AZB9O4&amp;feature=youtu.be</w:t>
        </w:r>
      </w:hyperlink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.</w:t>
      </w:r>
    </w:p>
    <w:p w14:paraId="24BE4F1C" w14:textId="26A771D4" w:rsidR="00E84AEC" w:rsidRPr="00151750" w:rsidRDefault="00361D66" w:rsidP="00151750">
      <w:pPr>
        <w:spacing w:before="240" w:after="120" w:line="240" w:lineRule="auto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 w:rsidRPr="00361D66">
        <w:rPr>
          <w:rFonts w:asciiTheme="majorHAnsi" w:hAnsiTheme="majorHAnsi"/>
          <w:bCs/>
          <w:color w:val="244061" w:themeColor="accent1" w:themeShade="80"/>
          <w:sz w:val="26"/>
          <w:szCs w:val="26"/>
        </w:rPr>
        <w:t>Thierry PENARD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(2003). « </w:t>
      </w:r>
      <w:r w:rsidRPr="00361D66">
        <w:rPr>
          <w:rFonts w:asciiTheme="majorHAnsi" w:hAnsiTheme="majorHAnsi"/>
          <w:bCs/>
          <w:color w:val="244061" w:themeColor="accent1" w:themeShade="80"/>
          <w:sz w:val="26"/>
          <w:szCs w:val="26"/>
        </w:rPr>
        <w:t>Economie des réseaux et services en réseaux : une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</w:t>
      </w:r>
      <w:r w:rsidRPr="00361D66">
        <w:rPr>
          <w:rFonts w:asciiTheme="majorHAnsi" w:hAnsiTheme="majorHAnsi"/>
          <w:bCs/>
          <w:color w:val="244061" w:themeColor="accent1" w:themeShade="80"/>
          <w:sz w:val="26"/>
          <w:szCs w:val="26"/>
        </w:rPr>
        <w:t>application aux stratégies concurrentielles dans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</w:t>
      </w:r>
      <w:r w:rsidRPr="00361D66">
        <w:rPr>
          <w:rFonts w:asciiTheme="majorHAnsi" w:hAnsiTheme="majorHAnsi"/>
          <w:bCs/>
          <w:color w:val="244061" w:themeColor="accent1" w:themeShade="80"/>
          <w:sz w:val="26"/>
          <w:szCs w:val="26"/>
        </w:rPr>
        <w:t>l'économie numérique</w:t>
      </w:r>
      <w:r w:rsidR="0007305B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», </w:t>
      </w:r>
      <w:r w:rsidR="0007305B" w:rsidRPr="0007305B">
        <w:rPr>
          <w:rFonts w:asciiTheme="majorHAnsi" w:hAnsiTheme="majorHAnsi"/>
          <w:bCs/>
          <w:color w:val="244061" w:themeColor="accent1" w:themeShade="80"/>
          <w:sz w:val="26"/>
          <w:szCs w:val="26"/>
        </w:rPr>
        <w:t>document correspond</w:t>
      </w:r>
      <w:r w:rsidR="0007305B">
        <w:rPr>
          <w:rFonts w:asciiTheme="majorHAnsi" w:hAnsiTheme="majorHAnsi"/>
          <w:bCs/>
          <w:color w:val="244061" w:themeColor="accent1" w:themeShade="80"/>
          <w:sz w:val="26"/>
          <w:szCs w:val="26"/>
        </w:rPr>
        <w:t>ant</w:t>
      </w:r>
      <w:r w:rsidR="0007305B" w:rsidRPr="0007305B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au chapitre « Stratégies et concurrence dans la Net-Economie », in M. </w:t>
      </w:r>
      <w:proofErr w:type="spellStart"/>
      <w:r w:rsidR="0007305B" w:rsidRPr="0007305B">
        <w:rPr>
          <w:rFonts w:asciiTheme="majorHAnsi" w:hAnsiTheme="majorHAnsi"/>
          <w:bCs/>
          <w:color w:val="244061" w:themeColor="accent1" w:themeShade="80"/>
          <w:sz w:val="26"/>
          <w:szCs w:val="26"/>
        </w:rPr>
        <w:t>Basle</w:t>
      </w:r>
      <w:proofErr w:type="spellEnd"/>
      <w:r w:rsidR="0007305B" w:rsidRPr="0007305B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et T.</w:t>
      </w:r>
      <w:r w:rsidR="0007305B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</w:t>
      </w:r>
      <w:r w:rsidR="0007305B" w:rsidRPr="0007305B">
        <w:rPr>
          <w:rFonts w:asciiTheme="majorHAnsi" w:hAnsiTheme="majorHAnsi"/>
          <w:bCs/>
          <w:color w:val="244061" w:themeColor="accent1" w:themeShade="80"/>
          <w:sz w:val="26"/>
          <w:szCs w:val="26"/>
        </w:rPr>
        <w:t>Pénard (</w:t>
      </w:r>
      <w:proofErr w:type="spellStart"/>
      <w:r w:rsidR="0007305B" w:rsidRPr="0007305B">
        <w:rPr>
          <w:rFonts w:asciiTheme="majorHAnsi" w:hAnsiTheme="majorHAnsi"/>
          <w:bCs/>
          <w:color w:val="244061" w:themeColor="accent1" w:themeShade="80"/>
          <w:sz w:val="26"/>
          <w:szCs w:val="26"/>
        </w:rPr>
        <w:t>Eds</w:t>
      </w:r>
      <w:proofErr w:type="spellEnd"/>
      <w:r w:rsidR="0007305B" w:rsidRPr="0007305B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.) </w:t>
      </w:r>
      <w:proofErr w:type="spellStart"/>
      <w:r w:rsidR="0007305B" w:rsidRPr="0007305B">
        <w:rPr>
          <w:rFonts w:asciiTheme="majorHAnsi" w:hAnsiTheme="majorHAnsi"/>
          <w:bCs/>
          <w:i/>
          <w:iCs/>
          <w:color w:val="244061" w:themeColor="accent1" w:themeShade="80"/>
          <w:sz w:val="26"/>
          <w:szCs w:val="26"/>
        </w:rPr>
        <w:t>eEurope</w:t>
      </w:r>
      <w:proofErr w:type="spellEnd"/>
      <w:r w:rsidR="0007305B" w:rsidRPr="0007305B">
        <w:rPr>
          <w:rFonts w:asciiTheme="majorHAnsi" w:hAnsiTheme="majorHAnsi"/>
          <w:bCs/>
          <w:i/>
          <w:iCs/>
          <w:color w:val="244061" w:themeColor="accent1" w:themeShade="80"/>
          <w:sz w:val="26"/>
          <w:szCs w:val="26"/>
        </w:rPr>
        <w:t xml:space="preserve"> : la société européenne de l'information en 2010</w:t>
      </w:r>
      <w:r w:rsidR="0007305B" w:rsidRPr="0007305B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, Economica, </w:t>
      </w:r>
      <w:r w:rsidR="0007305B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pp. </w:t>
      </w:r>
      <w:r w:rsidR="0007305B" w:rsidRPr="0007305B">
        <w:rPr>
          <w:rFonts w:asciiTheme="majorHAnsi" w:hAnsiTheme="majorHAnsi"/>
          <w:bCs/>
          <w:color w:val="244061" w:themeColor="accent1" w:themeShade="80"/>
          <w:sz w:val="26"/>
          <w:szCs w:val="26"/>
        </w:rPr>
        <w:t>13-50, 2002.</w:t>
      </w:r>
    </w:p>
    <w:sectPr w:rsidR="00E84AEC" w:rsidRPr="00151750" w:rsidSect="00FE79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40A41" w14:textId="77777777" w:rsidR="001F6B56" w:rsidRDefault="001F6B56" w:rsidP="00856580">
      <w:pPr>
        <w:spacing w:after="0" w:line="240" w:lineRule="auto"/>
      </w:pPr>
      <w:r>
        <w:separator/>
      </w:r>
    </w:p>
  </w:endnote>
  <w:endnote w:type="continuationSeparator" w:id="0">
    <w:p w14:paraId="593BE7B8" w14:textId="77777777" w:rsidR="001F6B56" w:rsidRDefault="001F6B56" w:rsidP="0085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5938"/>
      <w:docPartObj>
        <w:docPartGallery w:val="Page Numbers (Bottom of Page)"/>
        <w:docPartUnique/>
      </w:docPartObj>
    </w:sdtPr>
    <w:sdtEndPr/>
    <w:sdtContent>
      <w:p w14:paraId="7447343E" w14:textId="77777777" w:rsidR="004E363E" w:rsidRDefault="00212EE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D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C33F8" w14:textId="77777777" w:rsidR="004E363E" w:rsidRDefault="004E36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B59BC" w14:textId="77777777" w:rsidR="001F6B56" w:rsidRDefault="001F6B56" w:rsidP="00856580">
      <w:pPr>
        <w:spacing w:after="0" w:line="240" w:lineRule="auto"/>
      </w:pPr>
      <w:r>
        <w:separator/>
      </w:r>
    </w:p>
  </w:footnote>
  <w:footnote w:type="continuationSeparator" w:id="0">
    <w:p w14:paraId="6FAD531D" w14:textId="77777777" w:rsidR="001F6B56" w:rsidRDefault="001F6B56" w:rsidP="00856580">
      <w:pPr>
        <w:spacing w:after="0" w:line="240" w:lineRule="auto"/>
      </w:pPr>
      <w:r>
        <w:continuationSeparator/>
      </w:r>
    </w:p>
  </w:footnote>
  <w:footnote w:id="1">
    <w:p w14:paraId="3415F24E" w14:textId="4A56DC8B" w:rsidR="00361D66" w:rsidRPr="0007305B" w:rsidRDefault="00361D66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07305B">
        <w:rPr>
          <w:lang w:val="en-US"/>
        </w:rPr>
        <w:t xml:space="preserve"> </w:t>
      </w:r>
      <w:r w:rsidRPr="006E339D">
        <w:rPr>
          <w:rFonts w:asciiTheme="majorHAnsi" w:hAnsiTheme="majorHAnsi"/>
          <w:color w:val="244061" w:themeColor="accent1" w:themeShade="80"/>
          <w:lang w:val="en-US"/>
        </w:rPr>
        <w:t xml:space="preserve">Evans D. (2003). </w:t>
      </w:r>
      <w:r w:rsidRPr="0007305B">
        <w:rPr>
          <w:rFonts w:asciiTheme="majorHAnsi" w:hAnsiTheme="majorHAnsi"/>
          <w:color w:val="244061" w:themeColor="accent1" w:themeShade="80"/>
          <w:lang w:val="en-US"/>
        </w:rPr>
        <w:t xml:space="preserve">“Some Empirical Aspects of Multi-sided Platform Industries”, </w:t>
      </w:r>
      <w:r w:rsidRPr="0007305B">
        <w:rPr>
          <w:rFonts w:asciiTheme="majorHAnsi" w:hAnsiTheme="majorHAnsi"/>
          <w:i/>
          <w:iCs/>
          <w:color w:val="244061" w:themeColor="accent1" w:themeShade="80"/>
          <w:lang w:val="en-US"/>
        </w:rPr>
        <w:t>Review of Network Economics</w:t>
      </w:r>
      <w:r w:rsidRPr="0007305B">
        <w:rPr>
          <w:rFonts w:asciiTheme="majorHAnsi" w:hAnsiTheme="majorHAnsi"/>
          <w:color w:val="244061" w:themeColor="accent1" w:themeShade="80"/>
          <w:lang w:val="en-US"/>
        </w:rPr>
        <w:t>, 2</w:t>
      </w:r>
      <w:r>
        <w:rPr>
          <w:rFonts w:asciiTheme="majorHAnsi" w:hAnsiTheme="majorHAnsi"/>
          <w:color w:val="244061" w:themeColor="accent1" w:themeShade="80"/>
          <w:lang w:val="en-US"/>
        </w:rPr>
        <w:t>(</w:t>
      </w:r>
      <w:r w:rsidRPr="0007305B">
        <w:rPr>
          <w:rFonts w:asciiTheme="majorHAnsi" w:hAnsiTheme="majorHAnsi"/>
          <w:color w:val="244061" w:themeColor="accent1" w:themeShade="80"/>
          <w:lang w:val="en-US"/>
        </w:rPr>
        <w:t>3</w:t>
      </w:r>
      <w:r>
        <w:rPr>
          <w:rFonts w:asciiTheme="majorHAnsi" w:hAnsiTheme="majorHAnsi"/>
          <w:color w:val="244061" w:themeColor="accent1" w:themeShade="80"/>
          <w:lang w:val="en-US"/>
        </w:rPr>
        <w:t>)</w:t>
      </w:r>
      <w:r w:rsidRPr="0007305B">
        <w:rPr>
          <w:rFonts w:asciiTheme="majorHAnsi" w:hAnsiTheme="majorHAnsi"/>
          <w:color w:val="244061" w:themeColor="accent1" w:themeShade="80"/>
          <w:lang w:val="en-US"/>
        </w:rPr>
        <w:t xml:space="preserve">, </w:t>
      </w:r>
      <w:r>
        <w:rPr>
          <w:rFonts w:asciiTheme="majorHAnsi" w:hAnsiTheme="majorHAnsi"/>
          <w:color w:val="244061" w:themeColor="accent1" w:themeShade="80"/>
          <w:lang w:val="en-US"/>
        </w:rPr>
        <w:t xml:space="preserve">pp. </w:t>
      </w:r>
      <w:r w:rsidRPr="0007305B">
        <w:rPr>
          <w:rFonts w:asciiTheme="majorHAnsi" w:hAnsiTheme="majorHAnsi"/>
          <w:color w:val="244061" w:themeColor="accent1" w:themeShade="80"/>
          <w:lang w:val="en-US"/>
        </w:rPr>
        <w:t>91-209.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C944C" w14:textId="4384696A" w:rsidR="004E363E" w:rsidRPr="00151750" w:rsidRDefault="004E363E" w:rsidP="00856580">
    <w:pPr>
      <w:spacing w:after="0" w:line="240" w:lineRule="auto"/>
      <w:jc w:val="left"/>
      <w:rPr>
        <w:color w:val="244061" w:themeColor="accent1" w:themeShade="80"/>
      </w:rPr>
    </w:pPr>
    <w:r w:rsidRPr="00151750">
      <w:rPr>
        <w:color w:val="244061" w:themeColor="accent1" w:themeShade="80"/>
      </w:rPr>
      <w:t xml:space="preserve">M1 </w:t>
    </w:r>
    <w:r w:rsidR="00261710" w:rsidRPr="00151750">
      <w:rPr>
        <w:color w:val="244061" w:themeColor="accent1" w:themeShade="80"/>
      </w:rPr>
      <w:t>Economie appliquée</w:t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  <w:t>Année 20</w:t>
    </w:r>
    <w:r w:rsidR="00297847" w:rsidRPr="00151750">
      <w:rPr>
        <w:color w:val="244061" w:themeColor="accent1" w:themeShade="80"/>
      </w:rPr>
      <w:t>20</w:t>
    </w:r>
    <w:r w:rsidR="00261710" w:rsidRPr="00151750">
      <w:rPr>
        <w:color w:val="244061" w:themeColor="accent1" w:themeShade="80"/>
      </w:rPr>
      <w:t>-20</w:t>
    </w:r>
    <w:r w:rsidR="00297847" w:rsidRPr="00151750">
      <w:rPr>
        <w:color w:val="244061" w:themeColor="accent1" w:themeShade="80"/>
      </w:rPr>
      <w:t>21</w:t>
    </w:r>
  </w:p>
  <w:p w14:paraId="5EA204D2" w14:textId="77777777" w:rsidR="004E363E" w:rsidRPr="00151750" w:rsidRDefault="004E363E">
    <w:pPr>
      <w:pStyle w:val="En-tte"/>
      <w:rPr>
        <w:color w:val="244061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744DF"/>
    <w:multiLevelType w:val="hybridMultilevel"/>
    <w:tmpl w:val="CEECE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0"/>
    <w:rsid w:val="00020527"/>
    <w:rsid w:val="000234A6"/>
    <w:rsid w:val="00060E03"/>
    <w:rsid w:val="0007305B"/>
    <w:rsid w:val="000756AD"/>
    <w:rsid w:val="000B025D"/>
    <w:rsid w:val="00151750"/>
    <w:rsid w:val="001671F5"/>
    <w:rsid w:val="00177F79"/>
    <w:rsid w:val="0019331B"/>
    <w:rsid w:val="00194200"/>
    <w:rsid w:val="001F6B56"/>
    <w:rsid w:val="00212EE7"/>
    <w:rsid w:val="00217ED4"/>
    <w:rsid w:val="00261710"/>
    <w:rsid w:val="00261F29"/>
    <w:rsid w:val="00271937"/>
    <w:rsid w:val="002877A7"/>
    <w:rsid w:val="00297847"/>
    <w:rsid w:val="002C3E5E"/>
    <w:rsid w:val="00361D66"/>
    <w:rsid w:val="00460942"/>
    <w:rsid w:val="004C228C"/>
    <w:rsid w:val="004D6D1D"/>
    <w:rsid w:val="004E363E"/>
    <w:rsid w:val="004E6B6F"/>
    <w:rsid w:val="00554BF6"/>
    <w:rsid w:val="00587C86"/>
    <w:rsid w:val="00595D15"/>
    <w:rsid w:val="00662676"/>
    <w:rsid w:val="006E339D"/>
    <w:rsid w:val="0073676E"/>
    <w:rsid w:val="007565FB"/>
    <w:rsid w:val="0082736E"/>
    <w:rsid w:val="00856580"/>
    <w:rsid w:val="00886256"/>
    <w:rsid w:val="00892F9B"/>
    <w:rsid w:val="008C30B9"/>
    <w:rsid w:val="008D5148"/>
    <w:rsid w:val="00964665"/>
    <w:rsid w:val="00972AFE"/>
    <w:rsid w:val="00994E65"/>
    <w:rsid w:val="009E5E5E"/>
    <w:rsid w:val="00A93212"/>
    <w:rsid w:val="00AA16CF"/>
    <w:rsid w:val="00AA1B13"/>
    <w:rsid w:val="00AE270D"/>
    <w:rsid w:val="00AE6676"/>
    <w:rsid w:val="00AF7F34"/>
    <w:rsid w:val="00B1648C"/>
    <w:rsid w:val="00B7457B"/>
    <w:rsid w:val="00B76D96"/>
    <w:rsid w:val="00BA7D41"/>
    <w:rsid w:val="00BD002A"/>
    <w:rsid w:val="00C35789"/>
    <w:rsid w:val="00C50B2B"/>
    <w:rsid w:val="00C54332"/>
    <w:rsid w:val="00CF02D2"/>
    <w:rsid w:val="00D24728"/>
    <w:rsid w:val="00D26307"/>
    <w:rsid w:val="00D3122C"/>
    <w:rsid w:val="00D5131F"/>
    <w:rsid w:val="00DF6AF0"/>
    <w:rsid w:val="00E12EC7"/>
    <w:rsid w:val="00E26BDD"/>
    <w:rsid w:val="00E84AEC"/>
    <w:rsid w:val="00EB5A64"/>
    <w:rsid w:val="00EB7FD4"/>
    <w:rsid w:val="00EE580D"/>
    <w:rsid w:val="00F02359"/>
    <w:rsid w:val="00F06D85"/>
    <w:rsid w:val="00F45082"/>
    <w:rsid w:val="00F90868"/>
    <w:rsid w:val="00FB3E56"/>
    <w:rsid w:val="00FE6B3A"/>
    <w:rsid w:val="00FE79CD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7E94"/>
  <w15:docId w15:val="{0C9128A5-2F52-4762-A88C-68F6B750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F79"/>
    <w:pPr>
      <w:spacing w:line="360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56580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6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7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580"/>
  </w:style>
  <w:style w:type="paragraph" w:styleId="Pieddepage">
    <w:name w:val="footer"/>
    <w:basedOn w:val="Normal"/>
    <w:link w:val="PieddepageCar"/>
    <w:uiPriority w:val="99"/>
    <w:unhideWhenUsed/>
    <w:rsid w:val="0085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580"/>
  </w:style>
  <w:style w:type="character" w:customStyle="1" w:styleId="Titre1Car">
    <w:name w:val="Titre 1 Car"/>
    <w:basedOn w:val="Policepardfaut"/>
    <w:link w:val="Titre1"/>
    <w:uiPriority w:val="9"/>
    <w:rsid w:val="00856580"/>
    <w:rPr>
      <w:rFonts w:asciiTheme="majorHAnsi" w:eastAsiaTheme="majorEastAsia" w:hAnsiTheme="majorHAnsi" w:cstheme="majorBidi"/>
      <w:bCs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5658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56580"/>
    <w:rPr>
      <w:rFonts w:asciiTheme="majorHAnsi" w:eastAsiaTheme="majorEastAsia" w:hAnsiTheme="majorHAnsi" w:cstheme="majorBidi"/>
      <w:bCs/>
      <w:i/>
      <w:sz w:val="28"/>
      <w:szCs w:val="26"/>
    </w:rPr>
  </w:style>
  <w:style w:type="table" w:styleId="Grilledutableau">
    <w:name w:val="Table Grid"/>
    <w:basedOn w:val="TableauNormal"/>
    <w:uiPriority w:val="59"/>
    <w:rsid w:val="00460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sdetextenormalCar">
    <w:name w:val="Corps de texte normal Car"/>
    <w:basedOn w:val="Normal"/>
    <w:rsid w:val="00460942"/>
    <w:pPr>
      <w:spacing w:after="0" w:line="240" w:lineRule="auto"/>
    </w:pPr>
    <w:rPr>
      <w:rFonts w:ascii="Garamond" w:eastAsia="SimSun" w:hAnsi="Garamond" w:cs="Times New Roman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0B02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D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648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648C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AF7F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1D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1D6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1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7Gk3AZB9O4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fLHTVSjx1s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B3ED-C4F1-4962-8CF9-F04DC9B5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1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Lolo La Tulipe</cp:lastModifiedBy>
  <cp:revision>2</cp:revision>
  <cp:lastPrinted>2013-12-17T17:50:00Z</cp:lastPrinted>
  <dcterms:created xsi:type="dcterms:W3CDTF">2020-10-21T18:10:00Z</dcterms:created>
  <dcterms:modified xsi:type="dcterms:W3CDTF">2020-10-21T18:10:00Z</dcterms:modified>
</cp:coreProperties>
</file>