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5C80" w14:textId="77777777" w:rsidR="00174C3B" w:rsidRPr="00A619A0" w:rsidRDefault="008B64FC" w:rsidP="00174C3B">
      <w:pPr>
        <w:tabs>
          <w:tab w:val="left" w:pos="6663"/>
        </w:tabs>
        <w:jc w:val="both"/>
        <w:rPr>
          <w:rFonts w:ascii="Arial" w:hAnsi="Arial"/>
          <w:b/>
          <w:lang w:val="fr-FR"/>
        </w:rPr>
      </w:pPr>
      <w:r w:rsidRPr="00A619A0">
        <w:rPr>
          <w:rFonts w:ascii="Arial" w:hAnsi="Arial"/>
          <w:b/>
          <w:noProof/>
          <w:lang w:val="fr-FR"/>
        </w:rPr>
        <w:drawing>
          <wp:anchor distT="0" distB="0" distL="114300" distR="114300" simplePos="0" relativeHeight="251657728" behindDoc="0" locked="0" layoutInCell="1" allowOverlap="1" wp14:anchorId="3D9299B7" wp14:editId="3C1FCE6F">
            <wp:simplePos x="0" y="0"/>
            <wp:positionH relativeFrom="column">
              <wp:posOffset>-48260</wp:posOffset>
            </wp:positionH>
            <wp:positionV relativeFrom="paragraph">
              <wp:posOffset>17145</wp:posOffset>
            </wp:positionV>
            <wp:extent cx="1752600" cy="304800"/>
            <wp:effectExtent l="0"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30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74C3B" w:rsidRPr="00A619A0">
        <w:rPr>
          <w:rFonts w:ascii="Arial" w:hAnsi="Arial"/>
          <w:b/>
          <w:lang w:val="fr-FR"/>
        </w:rPr>
        <w:tab/>
      </w:r>
    </w:p>
    <w:p w14:paraId="1BF44EF4" w14:textId="3486592F" w:rsidR="00174C3B" w:rsidRPr="00A619A0" w:rsidRDefault="002A11DD" w:rsidP="00174C3B">
      <w:pPr>
        <w:tabs>
          <w:tab w:val="left" w:pos="6663"/>
        </w:tabs>
        <w:jc w:val="both"/>
        <w:rPr>
          <w:rFonts w:ascii="Arial" w:hAnsi="Arial"/>
          <w:b/>
          <w:lang w:val="fr-FR"/>
        </w:rPr>
      </w:pPr>
      <w:r>
        <w:rPr>
          <w:rFonts w:ascii="Arial" w:hAnsi="Arial"/>
          <w:b/>
          <w:lang w:val="fr-FR"/>
        </w:rPr>
        <w:tab/>
        <w:t>20</w:t>
      </w:r>
      <w:r w:rsidR="00B31541">
        <w:rPr>
          <w:rFonts w:ascii="Arial" w:hAnsi="Arial"/>
          <w:b/>
          <w:lang w:val="fr-FR"/>
        </w:rPr>
        <w:t>2</w:t>
      </w:r>
      <w:r w:rsidR="004E42B3">
        <w:rPr>
          <w:rFonts w:ascii="Arial" w:hAnsi="Arial"/>
          <w:b/>
          <w:lang w:val="fr-FR"/>
        </w:rPr>
        <w:t>3</w:t>
      </w:r>
      <w:r>
        <w:rPr>
          <w:rFonts w:ascii="Arial" w:hAnsi="Arial"/>
          <w:b/>
          <w:lang w:val="fr-FR"/>
        </w:rPr>
        <w:t>/20</w:t>
      </w:r>
      <w:r w:rsidR="00961CBD">
        <w:rPr>
          <w:rFonts w:ascii="Arial" w:hAnsi="Arial"/>
          <w:b/>
          <w:lang w:val="fr-FR"/>
        </w:rPr>
        <w:t>2</w:t>
      </w:r>
      <w:r w:rsidR="004E42B3">
        <w:rPr>
          <w:rFonts w:ascii="Arial" w:hAnsi="Arial"/>
          <w:b/>
          <w:lang w:val="fr-FR"/>
        </w:rPr>
        <w:t>4</w:t>
      </w:r>
    </w:p>
    <w:p w14:paraId="06859FD1" w14:textId="77777777" w:rsidR="00174C3B" w:rsidRPr="00A619A0" w:rsidRDefault="00174C3B" w:rsidP="00174C3B">
      <w:pPr>
        <w:tabs>
          <w:tab w:val="left" w:pos="6663"/>
        </w:tabs>
        <w:jc w:val="both"/>
        <w:rPr>
          <w:rFonts w:ascii="Arial" w:hAnsi="Arial"/>
          <w:b/>
          <w:lang w:val="fr-FR"/>
        </w:rPr>
      </w:pPr>
      <w:r w:rsidRPr="00A619A0">
        <w:rPr>
          <w:rFonts w:ascii="Arial" w:hAnsi="Arial"/>
          <w:b/>
          <w:lang w:val="fr-FR"/>
        </w:rPr>
        <w:t>UFR 06</w:t>
      </w:r>
    </w:p>
    <w:p w14:paraId="4F50B8BE" w14:textId="77777777" w:rsidR="00174C3B" w:rsidRPr="00A619A0" w:rsidRDefault="00174C3B" w:rsidP="00174C3B">
      <w:pPr>
        <w:tabs>
          <w:tab w:val="left" w:pos="6663"/>
        </w:tabs>
        <w:jc w:val="both"/>
        <w:rPr>
          <w:rFonts w:ascii="Arial" w:hAnsi="Arial"/>
          <w:b/>
          <w:lang w:val="fr-FR"/>
        </w:rPr>
      </w:pPr>
    </w:p>
    <w:p w14:paraId="66CC241E" w14:textId="77777777" w:rsidR="00174C3B" w:rsidRPr="00A619A0" w:rsidRDefault="008B64FC" w:rsidP="00174C3B">
      <w:pPr>
        <w:tabs>
          <w:tab w:val="left" w:pos="6663"/>
        </w:tabs>
        <w:jc w:val="both"/>
        <w:rPr>
          <w:rFonts w:ascii="Arial" w:hAnsi="Arial"/>
          <w:b/>
          <w:lang w:val="fr-FR"/>
        </w:rPr>
      </w:pPr>
      <w:r w:rsidRPr="00A619A0">
        <w:rPr>
          <w:rFonts w:ascii="Arial" w:hAnsi="Arial"/>
          <w:b/>
          <w:noProof/>
          <w:lang w:val="fr-FR"/>
        </w:rPr>
        <w:drawing>
          <wp:anchor distT="0" distB="0" distL="114300" distR="114300" simplePos="0" relativeHeight="251658752" behindDoc="0" locked="0" layoutInCell="1" allowOverlap="1" wp14:anchorId="2B3F40B5" wp14:editId="34A22510">
            <wp:simplePos x="0" y="0"/>
            <wp:positionH relativeFrom="column">
              <wp:posOffset>66040</wp:posOffset>
            </wp:positionH>
            <wp:positionV relativeFrom="paragraph">
              <wp:posOffset>116205</wp:posOffset>
            </wp:positionV>
            <wp:extent cx="5638800" cy="952500"/>
            <wp:effectExtent l="0" t="0" r="0" b="12700"/>
            <wp:wrapTight wrapText="bothSides">
              <wp:wrapPolygon edited="0">
                <wp:start x="0" y="0"/>
                <wp:lineTo x="0" y="21312"/>
                <wp:lineTo x="21503" y="21312"/>
                <wp:lineTo x="21503" y="0"/>
                <wp:lineTo x="0" y="0"/>
              </wp:wrapPolygon>
            </wp:wrapT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952500"/>
                    </a:xfrm>
                    <a:prstGeom prst="rect">
                      <a:avLst/>
                    </a:prstGeom>
                    <a:noFill/>
                  </pic:spPr>
                </pic:pic>
              </a:graphicData>
            </a:graphic>
            <wp14:sizeRelH relativeFrom="page">
              <wp14:pctWidth>0</wp14:pctWidth>
            </wp14:sizeRelH>
            <wp14:sizeRelV relativeFrom="page">
              <wp14:pctHeight>0</wp14:pctHeight>
            </wp14:sizeRelV>
          </wp:anchor>
        </w:drawing>
      </w:r>
    </w:p>
    <w:p w14:paraId="40927D99" w14:textId="77777777" w:rsidR="00174C3B" w:rsidRPr="00A619A0" w:rsidRDefault="00174C3B" w:rsidP="00174C3B">
      <w:pPr>
        <w:tabs>
          <w:tab w:val="left" w:pos="6663"/>
        </w:tabs>
        <w:jc w:val="both"/>
        <w:rPr>
          <w:rFonts w:ascii="Arial" w:hAnsi="Arial"/>
          <w:b/>
          <w:lang w:val="fr-FR"/>
        </w:rPr>
      </w:pPr>
    </w:p>
    <w:p w14:paraId="4EE9233C" w14:textId="28DBA3A7" w:rsidR="00174C3B" w:rsidRPr="00A619A0" w:rsidRDefault="00174C3B" w:rsidP="00174C3B">
      <w:pPr>
        <w:tabs>
          <w:tab w:val="left" w:pos="6663"/>
        </w:tabs>
        <w:jc w:val="center"/>
        <w:rPr>
          <w:rFonts w:ascii="Arial" w:hAnsi="Arial"/>
          <w:b/>
          <w:lang w:val="fr-FR"/>
        </w:rPr>
      </w:pPr>
      <w:r w:rsidRPr="00A619A0">
        <w:rPr>
          <w:rFonts w:ascii="Arial" w:hAnsi="Arial"/>
          <w:b/>
          <w:lang w:val="fr-FR"/>
        </w:rPr>
        <w:t xml:space="preserve">Séminaire </w:t>
      </w:r>
      <w:r w:rsidR="00E7339B">
        <w:rPr>
          <w:rFonts w:ascii="Arial" w:hAnsi="Arial"/>
          <w:b/>
          <w:lang w:val="fr-FR"/>
        </w:rPr>
        <w:t xml:space="preserve">décisions financières et </w:t>
      </w:r>
      <w:r w:rsidRPr="00A619A0">
        <w:rPr>
          <w:rFonts w:ascii="Arial" w:hAnsi="Arial"/>
          <w:b/>
          <w:lang w:val="fr-FR"/>
        </w:rPr>
        <w:t>fiscalité - F TURQ</w:t>
      </w:r>
    </w:p>
    <w:p w14:paraId="4A4DB61D" w14:textId="77777777" w:rsidR="00B345BA" w:rsidRPr="00A619A0" w:rsidRDefault="00B345BA" w:rsidP="00546B2D">
      <w:pPr>
        <w:shd w:val="clear" w:color="auto" w:fill="E6E6E6"/>
        <w:jc w:val="center"/>
        <w:rPr>
          <w:rFonts w:ascii="Arial" w:hAnsi="Arial"/>
          <w:b/>
          <w:caps/>
          <w:sz w:val="28"/>
          <w:lang w:val="fr-FR"/>
        </w:rPr>
      </w:pPr>
      <w:r w:rsidRPr="00A619A0">
        <w:rPr>
          <w:rFonts w:ascii="Arial" w:hAnsi="Arial"/>
          <w:b/>
          <w:caps/>
          <w:sz w:val="28"/>
          <w:lang w:val="fr-FR"/>
        </w:rPr>
        <w:t>LES FINANCEMENTS PAR EMPRUNT</w:t>
      </w:r>
    </w:p>
    <w:p w14:paraId="60F987AA" w14:textId="52BF5EA0" w:rsidR="00174C3B" w:rsidRPr="00A619A0" w:rsidRDefault="00083999" w:rsidP="00546B2D">
      <w:pPr>
        <w:shd w:val="clear" w:color="auto" w:fill="E6E6E6"/>
        <w:jc w:val="center"/>
        <w:rPr>
          <w:rFonts w:ascii="Arial" w:hAnsi="Arial"/>
          <w:sz w:val="20"/>
          <w:lang w:val="fr-FR"/>
        </w:rPr>
      </w:pPr>
      <w:r w:rsidRPr="00A619A0">
        <w:rPr>
          <w:rFonts w:ascii="Arial" w:hAnsi="Arial"/>
          <w:b/>
          <w:bCs/>
          <w:sz w:val="28"/>
          <w:szCs w:val="28"/>
          <w:lang w:val="fr-FR"/>
        </w:rPr>
        <w:t>2</w:t>
      </w:r>
      <w:r w:rsidRPr="00A619A0">
        <w:rPr>
          <w:rFonts w:ascii="Arial" w:hAnsi="Arial"/>
          <w:b/>
          <w:bCs/>
          <w:sz w:val="28"/>
          <w:szCs w:val="28"/>
          <w:vertAlign w:val="superscript"/>
          <w:lang w:val="fr-FR"/>
        </w:rPr>
        <w:t>ÈME</w:t>
      </w:r>
      <w:r w:rsidRPr="00A619A0">
        <w:rPr>
          <w:rFonts w:ascii="Arial" w:hAnsi="Arial"/>
          <w:b/>
          <w:bCs/>
          <w:sz w:val="28"/>
          <w:szCs w:val="28"/>
          <w:lang w:val="fr-FR"/>
        </w:rPr>
        <w:t xml:space="preserve"> </w:t>
      </w:r>
      <w:r w:rsidR="00B345BA" w:rsidRPr="00A619A0">
        <w:rPr>
          <w:rFonts w:ascii="Arial" w:hAnsi="Arial"/>
          <w:b/>
          <w:bCs/>
          <w:sz w:val="28"/>
          <w:szCs w:val="28"/>
          <w:lang w:val="fr-FR"/>
        </w:rPr>
        <w:t>PARTIE </w:t>
      </w:r>
      <w:r w:rsidR="00B345BA" w:rsidRPr="00A619A0">
        <w:rPr>
          <w:rFonts w:ascii="Arial" w:hAnsi="Arial"/>
          <w:b/>
          <w:caps/>
          <w:sz w:val="28"/>
          <w:lang w:val="fr-FR"/>
        </w:rPr>
        <w:t>: EMPRUNTS OBLIGATAIRES</w:t>
      </w:r>
    </w:p>
    <w:p w14:paraId="341C39ED" w14:textId="77777777" w:rsidR="00174C3B" w:rsidRPr="00A619A0" w:rsidRDefault="00174C3B">
      <w:pPr>
        <w:jc w:val="both"/>
        <w:rPr>
          <w:rFonts w:ascii="Arial" w:hAnsi="Arial"/>
          <w:lang w:val="fr-FR"/>
        </w:rPr>
      </w:pPr>
    </w:p>
    <w:tbl>
      <w:tblPr>
        <w:tblStyle w:val="Grilledutableau"/>
        <w:tblW w:w="0" w:type="auto"/>
        <w:tblLook w:val="04A0" w:firstRow="1" w:lastRow="0" w:firstColumn="1" w:lastColumn="0" w:noHBand="0" w:noVBand="1"/>
      </w:tblPr>
      <w:tblGrid>
        <w:gridCol w:w="1129"/>
        <w:gridCol w:w="6663"/>
        <w:gridCol w:w="1264"/>
      </w:tblGrid>
      <w:tr w:rsidR="00605CB3" w14:paraId="24262DBF" w14:textId="77777777" w:rsidTr="00605CB3">
        <w:tc>
          <w:tcPr>
            <w:tcW w:w="1129" w:type="dxa"/>
          </w:tcPr>
          <w:p w14:paraId="2811F4D9" w14:textId="77777777" w:rsidR="00605CB3" w:rsidRPr="00605CB3" w:rsidRDefault="00605CB3" w:rsidP="00605CB3">
            <w:pPr>
              <w:jc w:val="center"/>
              <w:rPr>
                <w:rFonts w:ascii="Arial" w:hAnsi="Arial"/>
                <w:sz w:val="20"/>
                <w:szCs w:val="20"/>
                <w:lang w:val="fr-FR"/>
              </w:rPr>
            </w:pPr>
            <w:r w:rsidRPr="00605CB3">
              <w:rPr>
                <w:rFonts w:ascii="Arial" w:hAnsi="Arial"/>
                <w:sz w:val="20"/>
                <w:szCs w:val="20"/>
                <w:lang w:val="fr-FR"/>
              </w:rPr>
              <w:t>I</w:t>
            </w:r>
          </w:p>
          <w:p w14:paraId="17140D76" w14:textId="77777777" w:rsidR="00605CB3" w:rsidRPr="00605CB3" w:rsidRDefault="00605CB3" w:rsidP="00605CB3">
            <w:pPr>
              <w:jc w:val="center"/>
              <w:rPr>
                <w:rFonts w:ascii="Arial" w:hAnsi="Arial"/>
                <w:sz w:val="20"/>
                <w:szCs w:val="20"/>
                <w:lang w:val="fr-FR"/>
              </w:rPr>
            </w:pPr>
            <w:r w:rsidRPr="00605CB3">
              <w:rPr>
                <w:rFonts w:ascii="Arial" w:hAnsi="Arial"/>
                <w:sz w:val="20"/>
                <w:szCs w:val="20"/>
                <w:lang w:val="fr-FR"/>
              </w:rPr>
              <w:t>II</w:t>
            </w:r>
          </w:p>
          <w:p w14:paraId="2F535FEC" w14:textId="380841FC" w:rsidR="00605CB3" w:rsidRPr="00605CB3" w:rsidRDefault="00605CB3" w:rsidP="00605CB3">
            <w:pPr>
              <w:jc w:val="center"/>
              <w:rPr>
                <w:rFonts w:ascii="Arial" w:hAnsi="Arial"/>
                <w:sz w:val="20"/>
                <w:szCs w:val="20"/>
                <w:lang w:val="fr-FR"/>
              </w:rPr>
            </w:pPr>
            <w:r w:rsidRPr="00605CB3">
              <w:rPr>
                <w:rFonts w:ascii="Arial" w:hAnsi="Arial"/>
                <w:sz w:val="20"/>
                <w:szCs w:val="20"/>
                <w:lang w:val="fr-FR"/>
              </w:rPr>
              <w:t>III</w:t>
            </w:r>
          </w:p>
          <w:p w14:paraId="1B1D73A3" w14:textId="77777777" w:rsidR="00605CB3" w:rsidRPr="00605CB3" w:rsidRDefault="00605CB3" w:rsidP="00605CB3">
            <w:pPr>
              <w:jc w:val="center"/>
              <w:rPr>
                <w:rFonts w:ascii="Arial" w:hAnsi="Arial"/>
                <w:sz w:val="20"/>
                <w:szCs w:val="20"/>
                <w:lang w:val="fr-FR"/>
              </w:rPr>
            </w:pPr>
            <w:r w:rsidRPr="00605CB3">
              <w:rPr>
                <w:rFonts w:ascii="Arial" w:hAnsi="Arial"/>
                <w:sz w:val="20"/>
                <w:szCs w:val="20"/>
                <w:lang w:val="fr-FR"/>
              </w:rPr>
              <w:t>IV</w:t>
            </w:r>
          </w:p>
          <w:p w14:paraId="1FEBE66F" w14:textId="53E9EFDB" w:rsidR="00605CB3" w:rsidRPr="00605CB3" w:rsidRDefault="00605CB3" w:rsidP="00605CB3">
            <w:pPr>
              <w:jc w:val="center"/>
              <w:rPr>
                <w:rFonts w:ascii="Arial" w:hAnsi="Arial"/>
                <w:sz w:val="20"/>
                <w:szCs w:val="20"/>
                <w:lang w:val="fr-FR"/>
              </w:rPr>
            </w:pPr>
            <w:r w:rsidRPr="00605CB3">
              <w:rPr>
                <w:rFonts w:ascii="Arial" w:hAnsi="Arial"/>
                <w:sz w:val="20"/>
                <w:szCs w:val="20"/>
                <w:lang w:val="fr-FR"/>
              </w:rPr>
              <w:t>V</w:t>
            </w:r>
          </w:p>
        </w:tc>
        <w:tc>
          <w:tcPr>
            <w:tcW w:w="6663" w:type="dxa"/>
          </w:tcPr>
          <w:p w14:paraId="78C834BB" w14:textId="339BE232" w:rsidR="00605CB3" w:rsidRPr="00605CB3" w:rsidRDefault="00605CB3">
            <w:pPr>
              <w:jc w:val="both"/>
              <w:rPr>
                <w:rFonts w:ascii="Arial" w:hAnsi="Arial"/>
                <w:sz w:val="20"/>
                <w:szCs w:val="20"/>
                <w:lang w:val="fr-FR"/>
              </w:rPr>
            </w:pPr>
            <w:r w:rsidRPr="00605CB3">
              <w:rPr>
                <w:rFonts w:ascii="Arial" w:hAnsi="Arial"/>
                <w:sz w:val="20"/>
                <w:szCs w:val="20"/>
                <w:lang w:val="fr-FR"/>
              </w:rPr>
              <w:t>Principes généraux</w:t>
            </w:r>
          </w:p>
          <w:p w14:paraId="11912670" w14:textId="77777777" w:rsidR="00605CB3" w:rsidRPr="00605CB3" w:rsidRDefault="00605CB3">
            <w:pPr>
              <w:jc w:val="both"/>
              <w:rPr>
                <w:rFonts w:ascii="Arial" w:hAnsi="Arial"/>
                <w:sz w:val="20"/>
                <w:szCs w:val="20"/>
                <w:lang w:val="fr-FR"/>
              </w:rPr>
            </w:pPr>
            <w:r w:rsidRPr="00605CB3">
              <w:rPr>
                <w:rFonts w:ascii="Arial" w:hAnsi="Arial"/>
                <w:sz w:val="20"/>
                <w:szCs w:val="20"/>
                <w:lang w:val="fr-FR"/>
              </w:rPr>
              <w:t>Particularités des emprunts obligataires</w:t>
            </w:r>
          </w:p>
          <w:p w14:paraId="3A8349E9" w14:textId="77777777" w:rsidR="00605CB3" w:rsidRPr="00605CB3" w:rsidRDefault="00605CB3">
            <w:pPr>
              <w:jc w:val="both"/>
              <w:rPr>
                <w:rFonts w:ascii="Arial" w:hAnsi="Arial"/>
                <w:sz w:val="20"/>
                <w:szCs w:val="20"/>
                <w:lang w:val="fr-FR"/>
              </w:rPr>
            </w:pPr>
            <w:r w:rsidRPr="00605CB3">
              <w:rPr>
                <w:rFonts w:ascii="Arial" w:hAnsi="Arial"/>
                <w:sz w:val="20"/>
                <w:szCs w:val="20"/>
                <w:lang w:val="fr-FR"/>
              </w:rPr>
              <w:t>Mathématiques financières appliquées aux emprunts obligataires</w:t>
            </w:r>
          </w:p>
          <w:p w14:paraId="793C5C17" w14:textId="77777777" w:rsidR="00605CB3" w:rsidRDefault="00605CB3">
            <w:pPr>
              <w:jc w:val="both"/>
              <w:rPr>
                <w:rFonts w:ascii="Arial" w:hAnsi="Arial"/>
                <w:sz w:val="20"/>
                <w:szCs w:val="20"/>
                <w:lang w:val="fr-FR"/>
              </w:rPr>
            </w:pPr>
            <w:r w:rsidRPr="00605CB3">
              <w:rPr>
                <w:rFonts w:ascii="Arial" w:hAnsi="Arial"/>
                <w:sz w:val="20"/>
                <w:szCs w:val="20"/>
                <w:lang w:val="fr-FR"/>
              </w:rPr>
              <w:t>Aspects comptables</w:t>
            </w:r>
          </w:p>
          <w:p w14:paraId="13DAF34A" w14:textId="5BD6059B" w:rsidR="00605CB3" w:rsidRPr="00605CB3" w:rsidRDefault="00605CB3">
            <w:pPr>
              <w:jc w:val="both"/>
              <w:rPr>
                <w:rFonts w:ascii="Arial" w:hAnsi="Arial"/>
                <w:sz w:val="20"/>
                <w:szCs w:val="20"/>
                <w:lang w:val="fr-FR"/>
              </w:rPr>
            </w:pPr>
            <w:r>
              <w:rPr>
                <w:rFonts w:ascii="Arial" w:hAnsi="Arial"/>
                <w:sz w:val="20"/>
                <w:szCs w:val="20"/>
                <w:lang w:val="fr-FR"/>
              </w:rPr>
              <w:t>Aspects fiscaux</w:t>
            </w:r>
          </w:p>
        </w:tc>
        <w:tc>
          <w:tcPr>
            <w:tcW w:w="1264" w:type="dxa"/>
          </w:tcPr>
          <w:p w14:paraId="2ED82ADF" w14:textId="77777777" w:rsidR="00605CB3" w:rsidRPr="00605CB3" w:rsidRDefault="00605CB3" w:rsidP="00605CB3">
            <w:pPr>
              <w:jc w:val="center"/>
              <w:rPr>
                <w:rFonts w:ascii="Arial" w:hAnsi="Arial"/>
                <w:sz w:val="20"/>
                <w:szCs w:val="20"/>
                <w:lang w:val="fr-FR"/>
              </w:rPr>
            </w:pPr>
            <w:r w:rsidRPr="00605CB3">
              <w:rPr>
                <w:rFonts w:ascii="Arial" w:hAnsi="Arial"/>
                <w:sz w:val="20"/>
                <w:szCs w:val="20"/>
                <w:lang w:val="fr-FR"/>
              </w:rPr>
              <w:t>P 1</w:t>
            </w:r>
          </w:p>
          <w:p w14:paraId="165E6CF7" w14:textId="77777777" w:rsidR="00605CB3" w:rsidRDefault="00605CB3" w:rsidP="00605CB3">
            <w:pPr>
              <w:jc w:val="center"/>
              <w:rPr>
                <w:rFonts w:ascii="Arial" w:hAnsi="Arial"/>
                <w:sz w:val="20"/>
                <w:szCs w:val="20"/>
                <w:lang w:val="fr-FR"/>
              </w:rPr>
            </w:pPr>
            <w:r w:rsidRPr="00605CB3">
              <w:rPr>
                <w:rFonts w:ascii="Arial" w:hAnsi="Arial"/>
                <w:sz w:val="20"/>
                <w:szCs w:val="20"/>
                <w:lang w:val="fr-FR"/>
              </w:rPr>
              <w:t>P 1</w:t>
            </w:r>
          </w:p>
          <w:p w14:paraId="39D36B68" w14:textId="1D55FA05" w:rsidR="00605CB3" w:rsidRPr="00605CB3" w:rsidRDefault="00605CB3" w:rsidP="00605CB3">
            <w:pPr>
              <w:jc w:val="center"/>
              <w:rPr>
                <w:rFonts w:ascii="Arial" w:hAnsi="Arial"/>
                <w:sz w:val="20"/>
                <w:szCs w:val="20"/>
                <w:lang w:val="fr-FR"/>
              </w:rPr>
            </w:pPr>
            <w:r>
              <w:rPr>
                <w:rFonts w:ascii="Arial" w:hAnsi="Arial"/>
                <w:sz w:val="20"/>
                <w:szCs w:val="20"/>
                <w:lang w:val="fr-FR"/>
              </w:rPr>
              <w:t>P 10</w:t>
            </w:r>
          </w:p>
          <w:p w14:paraId="2E67375D" w14:textId="77777777" w:rsidR="00605CB3" w:rsidRDefault="00605CB3" w:rsidP="00605CB3">
            <w:pPr>
              <w:jc w:val="center"/>
              <w:rPr>
                <w:rFonts w:ascii="Arial" w:hAnsi="Arial"/>
                <w:sz w:val="20"/>
                <w:szCs w:val="20"/>
                <w:lang w:val="fr-FR"/>
              </w:rPr>
            </w:pPr>
            <w:r w:rsidRPr="00605CB3">
              <w:rPr>
                <w:rFonts w:ascii="Arial" w:hAnsi="Arial"/>
                <w:sz w:val="20"/>
                <w:szCs w:val="20"/>
                <w:lang w:val="fr-FR"/>
              </w:rPr>
              <w:t>P 10</w:t>
            </w:r>
          </w:p>
          <w:p w14:paraId="37F3EF0A" w14:textId="357E5AF4" w:rsidR="00605CB3" w:rsidRPr="00605CB3" w:rsidRDefault="00605CB3" w:rsidP="00605CB3">
            <w:pPr>
              <w:jc w:val="center"/>
              <w:rPr>
                <w:rFonts w:ascii="Arial" w:hAnsi="Arial"/>
                <w:sz w:val="20"/>
                <w:szCs w:val="20"/>
                <w:lang w:val="fr-FR"/>
              </w:rPr>
            </w:pPr>
            <w:r>
              <w:rPr>
                <w:rFonts w:ascii="Arial" w:hAnsi="Arial"/>
                <w:sz w:val="20"/>
                <w:szCs w:val="20"/>
                <w:lang w:val="fr-FR"/>
              </w:rPr>
              <w:t>P 11</w:t>
            </w:r>
          </w:p>
        </w:tc>
      </w:tr>
    </w:tbl>
    <w:p w14:paraId="02757045" w14:textId="77777777" w:rsidR="00A26265" w:rsidRPr="00A619A0" w:rsidRDefault="00A26265">
      <w:pPr>
        <w:jc w:val="both"/>
        <w:rPr>
          <w:rFonts w:ascii="Arial" w:hAnsi="Arial"/>
          <w:lang w:val="fr-FR"/>
        </w:rPr>
      </w:pPr>
    </w:p>
    <w:p w14:paraId="39E71975" w14:textId="77777777" w:rsidR="00174C3B" w:rsidRPr="00A619A0" w:rsidRDefault="00174C3B">
      <w:pPr>
        <w:jc w:val="both"/>
        <w:rPr>
          <w:rFonts w:ascii="Arial" w:hAnsi="Arial"/>
          <w:lang w:val="fr-FR"/>
        </w:rPr>
      </w:pPr>
    </w:p>
    <w:p w14:paraId="71C8679B" w14:textId="11ADA7C3" w:rsidR="00174C3B" w:rsidRPr="00A619A0" w:rsidRDefault="00174C3B" w:rsidP="00A619A0">
      <w:pPr>
        <w:pStyle w:val="Titre1"/>
        <w:spacing w:before="0"/>
        <w:rPr>
          <w:rFonts w:ascii="Arial" w:hAnsi="Arial"/>
          <w:color w:val="auto"/>
          <w:sz w:val="28"/>
          <w:szCs w:val="28"/>
          <w:lang w:val="fr-FR"/>
        </w:rPr>
      </w:pPr>
      <w:r w:rsidRPr="00A619A0">
        <w:rPr>
          <w:rFonts w:ascii="Arial" w:hAnsi="Arial"/>
          <w:color w:val="auto"/>
          <w:sz w:val="28"/>
          <w:szCs w:val="28"/>
          <w:lang w:val="fr-FR"/>
        </w:rPr>
        <w:t>I - PRINCIPES GENERAUX</w:t>
      </w:r>
      <w:r w:rsidR="00477735">
        <w:rPr>
          <w:rFonts w:ascii="Arial" w:hAnsi="Arial"/>
          <w:color w:val="auto"/>
          <w:sz w:val="28"/>
          <w:szCs w:val="28"/>
          <w:lang w:val="fr-FR"/>
        </w:rPr>
        <w:t xml:space="preserve"> DES EMPRUNTS OBLIGATAIRES</w:t>
      </w:r>
    </w:p>
    <w:p w14:paraId="7F6B2EF3" w14:textId="77777777" w:rsidR="00751A32" w:rsidRPr="00A619A0" w:rsidRDefault="00751A32" w:rsidP="00751A32">
      <w:pPr>
        <w:jc w:val="both"/>
        <w:rPr>
          <w:rFonts w:ascii="Arial" w:hAnsi="Arial"/>
          <w:sz w:val="22"/>
          <w:lang w:val="fr-FR"/>
        </w:rPr>
      </w:pPr>
    </w:p>
    <w:p w14:paraId="3A4D2098" w14:textId="77777777" w:rsidR="00751A32" w:rsidRPr="00A619A0" w:rsidRDefault="00751A32" w:rsidP="00751A32">
      <w:pPr>
        <w:pBdr>
          <w:top w:val="single" w:sz="4" w:space="1" w:color="auto"/>
          <w:left w:val="single" w:sz="4" w:space="4" w:color="auto"/>
          <w:bottom w:val="single" w:sz="4" w:space="1" w:color="auto"/>
          <w:right w:val="single" w:sz="4" w:space="4" w:color="auto"/>
        </w:pBdr>
        <w:jc w:val="center"/>
        <w:rPr>
          <w:rFonts w:ascii="Arial" w:hAnsi="Arial"/>
          <w:b/>
          <w:sz w:val="22"/>
          <w:lang w:val="fr-FR"/>
        </w:rPr>
      </w:pPr>
      <w:r w:rsidRPr="00A619A0">
        <w:rPr>
          <w:rFonts w:ascii="Arial" w:hAnsi="Arial"/>
          <w:b/>
          <w:sz w:val="22"/>
          <w:lang w:val="fr-FR"/>
        </w:rPr>
        <w:t>Article L228-38 Code de commerce</w:t>
      </w:r>
    </w:p>
    <w:p w14:paraId="3BE82D5A" w14:textId="77777777" w:rsidR="00751A32" w:rsidRPr="00A619A0" w:rsidRDefault="00751A32" w:rsidP="00751A32">
      <w:pPr>
        <w:pBdr>
          <w:top w:val="single" w:sz="4" w:space="1" w:color="auto"/>
          <w:left w:val="single" w:sz="4" w:space="4" w:color="auto"/>
          <w:bottom w:val="single" w:sz="4" w:space="1" w:color="auto"/>
          <w:right w:val="single" w:sz="4" w:space="4" w:color="auto"/>
        </w:pBdr>
        <w:jc w:val="both"/>
        <w:rPr>
          <w:rFonts w:ascii="Arial" w:hAnsi="Arial"/>
          <w:i/>
          <w:sz w:val="22"/>
          <w:lang w:val="fr-FR"/>
        </w:rPr>
      </w:pPr>
      <w:r w:rsidRPr="00A619A0">
        <w:rPr>
          <w:rFonts w:ascii="Arial" w:hAnsi="Arial"/>
          <w:i/>
          <w:sz w:val="22"/>
          <w:lang w:val="fr-FR"/>
        </w:rPr>
        <w:t>Comme il est dit à l'article L. 213-5 du code monétaire et financier :</w:t>
      </w:r>
    </w:p>
    <w:p w14:paraId="5520BB99" w14:textId="77777777" w:rsidR="00751A32" w:rsidRPr="00A619A0" w:rsidRDefault="00751A32" w:rsidP="00751A32">
      <w:pPr>
        <w:pBdr>
          <w:top w:val="single" w:sz="4" w:space="1" w:color="auto"/>
          <w:left w:val="single" w:sz="4" w:space="4" w:color="auto"/>
          <w:bottom w:val="single" w:sz="4" w:space="1" w:color="auto"/>
          <w:right w:val="single" w:sz="4" w:space="4" w:color="auto"/>
        </w:pBdr>
        <w:jc w:val="both"/>
        <w:rPr>
          <w:rFonts w:ascii="Arial" w:hAnsi="Arial"/>
          <w:i/>
          <w:sz w:val="22"/>
          <w:lang w:val="fr-FR"/>
        </w:rPr>
      </w:pPr>
      <w:r w:rsidRPr="00A619A0">
        <w:rPr>
          <w:rFonts w:ascii="Arial" w:hAnsi="Arial"/>
          <w:i/>
          <w:sz w:val="22"/>
          <w:lang w:val="fr-FR"/>
        </w:rPr>
        <w:t>"Art. L213-5 - Les obligations sont des titres négociables qui, dans une même émission, confèrent les mêmes droits de créance pour une même valeur nominale."</w:t>
      </w:r>
    </w:p>
    <w:p w14:paraId="63C9B79E" w14:textId="77777777" w:rsidR="00751A32" w:rsidRPr="00A619A0" w:rsidRDefault="00751A32" w:rsidP="00751A32">
      <w:pPr>
        <w:pBdr>
          <w:top w:val="single" w:sz="4" w:space="1" w:color="auto"/>
          <w:left w:val="single" w:sz="4" w:space="4" w:color="auto"/>
          <w:bottom w:val="single" w:sz="4" w:space="1" w:color="auto"/>
          <w:right w:val="single" w:sz="4" w:space="4" w:color="auto"/>
        </w:pBdr>
        <w:jc w:val="both"/>
        <w:rPr>
          <w:rFonts w:ascii="Arial" w:hAnsi="Arial"/>
          <w:sz w:val="22"/>
          <w:lang w:val="fr-FR"/>
        </w:rPr>
      </w:pPr>
    </w:p>
    <w:p w14:paraId="4C961CD6" w14:textId="4DF526C6" w:rsidR="00751A32" w:rsidRPr="00A619A0" w:rsidRDefault="00751A32" w:rsidP="00751A32">
      <w:pPr>
        <w:pBdr>
          <w:top w:val="single" w:sz="4" w:space="1" w:color="auto"/>
          <w:left w:val="single" w:sz="4" w:space="4" w:color="auto"/>
          <w:bottom w:val="single" w:sz="4" w:space="1" w:color="auto"/>
          <w:right w:val="single" w:sz="4" w:space="4" w:color="auto"/>
        </w:pBdr>
        <w:jc w:val="center"/>
        <w:rPr>
          <w:rFonts w:ascii="Arial" w:hAnsi="Arial"/>
          <w:b/>
          <w:sz w:val="22"/>
          <w:lang w:val="fr-FR"/>
        </w:rPr>
      </w:pPr>
      <w:r w:rsidRPr="00A619A0">
        <w:rPr>
          <w:rFonts w:ascii="Arial" w:hAnsi="Arial"/>
          <w:b/>
          <w:sz w:val="22"/>
          <w:lang w:val="fr-FR"/>
        </w:rPr>
        <w:t>Article L213-5 Code monétaire et financier</w:t>
      </w:r>
    </w:p>
    <w:p w14:paraId="35DD21EC" w14:textId="77777777" w:rsidR="00751A32" w:rsidRPr="00A619A0" w:rsidRDefault="00751A32" w:rsidP="00751A32">
      <w:pPr>
        <w:pBdr>
          <w:top w:val="single" w:sz="4" w:space="1" w:color="auto"/>
          <w:left w:val="single" w:sz="4" w:space="4" w:color="auto"/>
          <w:bottom w:val="single" w:sz="4" w:space="1" w:color="auto"/>
          <w:right w:val="single" w:sz="4" w:space="4" w:color="auto"/>
        </w:pBdr>
        <w:jc w:val="both"/>
        <w:rPr>
          <w:rFonts w:ascii="Arial" w:hAnsi="Arial"/>
          <w:i/>
          <w:sz w:val="22"/>
          <w:lang w:val="fr-FR"/>
        </w:rPr>
      </w:pPr>
      <w:r w:rsidRPr="00A619A0">
        <w:rPr>
          <w:rFonts w:ascii="Arial" w:hAnsi="Arial"/>
          <w:i/>
          <w:sz w:val="22"/>
          <w:lang w:val="fr-FR"/>
        </w:rPr>
        <w:t>Les obligations sont des titres négociables qui, dans une même émission, confèrent les mêmes droits de créance pour une même valeur nominale.</w:t>
      </w:r>
    </w:p>
    <w:p w14:paraId="0C2405B6" w14:textId="77777777" w:rsidR="006F2AA3" w:rsidRPr="00A619A0" w:rsidRDefault="006F2AA3">
      <w:pPr>
        <w:jc w:val="both"/>
        <w:rPr>
          <w:rFonts w:ascii="Arial" w:hAnsi="Arial"/>
          <w:i/>
          <w:sz w:val="22"/>
          <w:lang w:val="fr-FR"/>
        </w:rPr>
      </w:pPr>
    </w:p>
    <w:p w14:paraId="303B97CD" w14:textId="5CFBCD97" w:rsidR="00174C3B" w:rsidRPr="00A619A0" w:rsidRDefault="006F2AA3">
      <w:pPr>
        <w:jc w:val="both"/>
        <w:rPr>
          <w:rFonts w:ascii="Arial" w:hAnsi="Arial"/>
          <w:sz w:val="22"/>
          <w:lang w:val="fr-FR"/>
        </w:rPr>
      </w:pPr>
      <w:r w:rsidRPr="00A619A0">
        <w:rPr>
          <w:rFonts w:ascii="Arial" w:hAnsi="Arial"/>
          <w:sz w:val="22"/>
          <w:lang w:val="fr-FR"/>
        </w:rPr>
        <w:t>P</w:t>
      </w:r>
      <w:r w:rsidR="00174C3B" w:rsidRPr="00A619A0">
        <w:rPr>
          <w:rFonts w:ascii="Arial" w:hAnsi="Arial"/>
          <w:sz w:val="22"/>
          <w:lang w:val="fr-FR"/>
        </w:rPr>
        <w:t>our tout emprunt, la déduction des intérêts est possible dès lors que la dette a été contractée pour les besoins de l'entreprise.</w:t>
      </w:r>
    </w:p>
    <w:p w14:paraId="793B5BED" w14:textId="0D221257" w:rsidR="00174C3B" w:rsidRPr="00A619A0" w:rsidRDefault="00174C3B">
      <w:pPr>
        <w:jc w:val="both"/>
        <w:rPr>
          <w:rFonts w:ascii="Arial" w:hAnsi="Arial"/>
          <w:sz w:val="22"/>
          <w:lang w:val="fr-FR"/>
        </w:rPr>
      </w:pPr>
      <w:r w:rsidRPr="00A619A0">
        <w:rPr>
          <w:rFonts w:ascii="Arial" w:hAnsi="Arial"/>
          <w:sz w:val="22"/>
          <w:lang w:val="fr-FR"/>
        </w:rPr>
        <w:t>La déduction s'opère en principe sur les résultats de l'exercice, au titre des intérêts courus, ce qui correspond à des régularisations comptables. Il est cependant possible pour toute charge, intérêt ou autre, de procéder à la déduction fiscale des sommes versées, dans le cas d'un renouvellement régulier d'une année à l'autre, en application d'un contrat de longue durée.</w:t>
      </w:r>
    </w:p>
    <w:p w14:paraId="59E6F1AD" w14:textId="4AD35CF8" w:rsidR="00025FF3" w:rsidRPr="00A619A0" w:rsidRDefault="00025FF3">
      <w:pPr>
        <w:jc w:val="both"/>
        <w:rPr>
          <w:rFonts w:ascii="Arial" w:hAnsi="Arial"/>
          <w:sz w:val="22"/>
          <w:lang w:val="fr-FR"/>
        </w:rPr>
      </w:pPr>
      <w:r w:rsidRPr="00A619A0">
        <w:rPr>
          <w:rFonts w:ascii="Arial" w:hAnsi="Arial"/>
          <w:sz w:val="22"/>
          <w:lang w:val="fr-FR"/>
        </w:rPr>
        <w:t>Outre les intérêts, d’autres frais sont éventuellement supportés par la société émettrice.</w:t>
      </w:r>
    </w:p>
    <w:p w14:paraId="57FD1DD3" w14:textId="77777777" w:rsidR="00751A32" w:rsidRPr="00A619A0" w:rsidRDefault="00751A32">
      <w:pPr>
        <w:jc w:val="both"/>
        <w:rPr>
          <w:rFonts w:ascii="Arial" w:hAnsi="Arial"/>
          <w:sz w:val="22"/>
          <w:lang w:val="fr-FR"/>
        </w:rPr>
      </w:pPr>
    </w:p>
    <w:p w14:paraId="1D244D6A" w14:textId="77777777" w:rsidR="00751A32" w:rsidRPr="00A619A0" w:rsidRDefault="00751A32" w:rsidP="00751A32">
      <w:pPr>
        <w:jc w:val="both"/>
        <w:rPr>
          <w:rFonts w:ascii="Arial" w:hAnsi="Arial"/>
          <w:sz w:val="22"/>
          <w:lang w:val="fr-FR"/>
        </w:rPr>
      </w:pPr>
    </w:p>
    <w:p w14:paraId="14BAA949" w14:textId="77777777" w:rsidR="00751A32" w:rsidRPr="00A619A0" w:rsidRDefault="00751A32" w:rsidP="00751A32">
      <w:pPr>
        <w:jc w:val="both"/>
        <w:rPr>
          <w:rFonts w:ascii="Arial" w:hAnsi="Arial"/>
          <w:sz w:val="22"/>
          <w:lang w:val="fr-FR"/>
        </w:rPr>
      </w:pPr>
    </w:p>
    <w:p w14:paraId="14117A35" w14:textId="77777777" w:rsidR="00174C3B" w:rsidRPr="00A619A0" w:rsidRDefault="00174C3B" w:rsidP="00A619A0">
      <w:pPr>
        <w:pStyle w:val="Titre1"/>
        <w:spacing w:before="0"/>
        <w:rPr>
          <w:color w:val="auto"/>
          <w:lang w:val="fr-FR"/>
        </w:rPr>
      </w:pPr>
      <w:r w:rsidRPr="00A619A0">
        <w:rPr>
          <w:color w:val="auto"/>
          <w:lang w:val="fr-FR"/>
        </w:rPr>
        <w:t>II - PARTICULARITES DES EMPRUNTS OBLIGATAIRES</w:t>
      </w:r>
    </w:p>
    <w:p w14:paraId="7D89EEEF" w14:textId="3BC41947" w:rsidR="00174C3B" w:rsidRPr="00A619A0" w:rsidRDefault="00174C3B">
      <w:pPr>
        <w:jc w:val="both"/>
        <w:rPr>
          <w:rFonts w:ascii="Arial" w:hAnsi="Arial"/>
          <w:sz w:val="22"/>
          <w:lang w:val="fr-FR"/>
        </w:rPr>
      </w:pPr>
      <w:r w:rsidRPr="00A619A0">
        <w:rPr>
          <w:rFonts w:ascii="Arial" w:hAnsi="Arial"/>
          <w:b/>
          <w:sz w:val="22"/>
          <w:lang w:val="fr-FR"/>
        </w:rPr>
        <w:t xml:space="preserve">II – 1 </w:t>
      </w:r>
      <w:r w:rsidRPr="00A619A0">
        <w:rPr>
          <w:rFonts w:ascii="Arial" w:hAnsi="Arial"/>
          <w:b/>
          <w:sz w:val="22"/>
          <w:u w:val="single"/>
          <w:lang w:val="fr-FR"/>
        </w:rPr>
        <w:t>Définition</w:t>
      </w:r>
      <w:r w:rsidRPr="00A619A0">
        <w:rPr>
          <w:rFonts w:ascii="Arial" w:hAnsi="Arial"/>
          <w:sz w:val="22"/>
          <w:lang w:val="fr-FR"/>
        </w:rPr>
        <w:t xml:space="preserve"> :</w:t>
      </w:r>
    </w:p>
    <w:p w14:paraId="32395038" w14:textId="77777777" w:rsidR="00174C3B" w:rsidRPr="00A619A0" w:rsidRDefault="00174C3B">
      <w:pPr>
        <w:jc w:val="both"/>
        <w:rPr>
          <w:rFonts w:ascii="Arial" w:hAnsi="Arial"/>
          <w:sz w:val="22"/>
          <w:lang w:val="fr-FR"/>
        </w:rPr>
      </w:pPr>
      <w:r w:rsidRPr="00A619A0">
        <w:rPr>
          <w:rFonts w:ascii="Arial" w:hAnsi="Arial"/>
          <w:sz w:val="22"/>
          <w:lang w:val="fr-FR"/>
        </w:rPr>
        <w:t>- titre négociable</w:t>
      </w:r>
    </w:p>
    <w:p w14:paraId="5BC74FE8" w14:textId="77777777" w:rsidR="00174C3B" w:rsidRPr="00A619A0" w:rsidRDefault="00174C3B">
      <w:pPr>
        <w:jc w:val="both"/>
        <w:rPr>
          <w:rFonts w:ascii="Arial" w:hAnsi="Arial"/>
          <w:sz w:val="22"/>
          <w:lang w:val="fr-FR"/>
        </w:rPr>
      </w:pPr>
      <w:r w:rsidRPr="00A619A0">
        <w:rPr>
          <w:rFonts w:ascii="Arial" w:hAnsi="Arial"/>
          <w:sz w:val="22"/>
          <w:lang w:val="fr-FR"/>
        </w:rPr>
        <w:t>- émis par une société par action</w:t>
      </w:r>
    </w:p>
    <w:p w14:paraId="7F6792EA" w14:textId="445B0A5C" w:rsidR="00A26265" w:rsidRPr="00A619A0" w:rsidRDefault="00174C3B">
      <w:pPr>
        <w:jc w:val="both"/>
        <w:rPr>
          <w:rFonts w:ascii="Arial" w:hAnsi="Arial"/>
          <w:sz w:val="22"/>
          <w:lang w:val="fr-FR"/>
        </w:rPr>
      </w:pPr>
      <w:r w:rsidRPr="00A619A0">
        <w:rPr>
          <w:rFonts w:ascii="Arial" w:hAnsi="Arial"/>
          <w:sz w:val="22"/>
          <w:lang w:val="fr-FR"/>
        </w:rPr>
        <w:t>- emprunt autorisé par L'A.G.O.</w:t>
      </w:r>
    </w:p>
    <w:p w14:paraId="437C05EE" w14:textId="6B4799E8" w:rsidR="00A26265" w:rsidRDefault="00A26265">
      <w:pPr>
        <w:jc w:val="both"/>
        <w:rPr>
          <w:rFonts w:ascii="Arial" w:hAnsi="Arial"/>
          <w:sz w:val="22"/>
          <w:lang w:val="fr-FR"/>
        </w:rPr>
      </w:pPr>
    </w:p>
    <w:p w14:paraId="34E84986" w14:textId="7398B417" w:rsidR="0034523E" w:rsidRDefault="0034523E">
      <w:pPr>
        <w:jc w:val="both"/>
        <w:rPr>
          <w:rFonts w:ascii="Arial" w:hAnsi="Arial"/>
          <w:sz w:val="22"/>
          <w:lang w:val="fr-FR"/>
        </w:rPr>
      </w:pPr>
      <w:r>
        <w:rPr>
          <w:rFonts w:ascii="Arial" w:hAnsi="Arial"/>
          <w:sz w:val="22"/>
          <w:lang w:val="fr-FR"/>
        </w:rPr>
        <w:t>Sous certaines conditions, les SARL et les SAS peuvent émettre un emprunt obligataire.</w:t>
      </w:r>
    </w:p>
    <w:p w14:paraId="7BD624CB" w14:textId="77777777" w:rsidR="00C407E8" w:rsidRPr="00A619A0" w:rsidRDefault="00C407E8">
      <w:pPr>
        <w:jc w:val="both"/>
        <w:rPr>
          <w:rFonts w:ascii="Arial" w:hAnsi="Arial"/>
          <w:sz w:val="22"/>
          <w:lang w:val="fr-FR"/>
        </w:rPr>
      </w:pPr>
    </w:p>
    <w:p w14:paraId="5352968A" w14:textId="0973AEB8" w:rsidR="003E3FB2" w:rsidRPr="00A619A0" w:rsidRDefault="003E3FB2">
      <w:pPr>
        <w:jc w:val="both"/>
        <w:rPr>
          <w:rFonts w:ascii="Arial" w:hAnsi="Arial"/>
          <w:sz w:val="22"/>
          <w:lang w:val="fr-FR"/>
        </w:rPr>
      </w:pPr>
      <w:r w:rsidRPr="00A619A0">
        <w:rPr>
          <w:rFonts w:ascii="Arial" w:hAnsi="Arial"/>
          <w:sz w:val="22"/>
          <w:lang w:val="fr-FR"/>
        </w:rPr>
        <w:t>L’obligation a longtemps été présentée comme un placement « de père de famille ». On insiste maintenant sur les facteurs de risque :</w:t>
      </w:r>
    </w:p>
    <w:p w14:paraId="72D6A51F" w14:textId="003A96EE" w:rsidR="003E3FB2" w:rsidRPr="00A619A0" w:rsidRDefault="003E3FB2" w:rsidP="003E3FB2">
      <w:pPr>
        <w:pStyle w:val="Paragraphedeliste"/>
        <w:numPr>
          <w:ilvl w:val="0"/>
          <w:numId w:val="7"/>
        </w:numPr>
        <w:jc w:val="both"/>
        <w:rPr>
          <w:rFonts w:ascii="Arial" w:hAnsi="Arial"/>
          <w:sz w:val="22"/>
          <w:lang w:val="fr-FR"/>
        </w:rPr>
      </w:pPr>
      <w:proofErr w:type="gramStart"/>
      <w:r w:rsidRPr="00A619A0">
        <w:rPr>
          <w:rFonts w:ascii="Arial" w:hAnsi="Arial"/>
          <w:sz w:val="22"/>
          <w:lang w:val="fr-FR"/>
        </w:rPr>
        <w:t>risque</w:t>
      </w:r>
      <w:proofErr w:type="gramEnd"/>
      <w:r w:rsidRPr="00A619A0">
        <w:rPr>
          <w:rFonts w:ascii="Arial" w:hAnsi="Arial"/>
          <w:sz w:val="22"/>
          <w:lang w:val="fr-FR"/>
        </w:rPr>
        <w:t xml:space="preserve"> de taux (toute revente avant l'échéance peut entraîner une perte en capital),</w:t>
      </w:r>
    </w:p>
    <w:p w14:paraId="01E02BF4" w14:textId="77777777" w:rsidR="003E3FB2" w:rsidRPr="00A619A0" w:rsidRDefault="003E3FB2" w:rsidP="003E3FB2">
      <w:pPr>
        <w:pStyle w:val="Paragraphedeliste"/>
        <w:numPr>
          <w:ilvl w:val="0"/>
          <w:numId w:val="7"/>
        </w:numPr>
        <w:jc w:val="both"/>
        <w:rPr>
          <w:rFonts w:ascii="Arial" w:hAnsi="Arial"/>
          <w:sz w:val="22"/>
          <w:lang w:val="fr-FR"/>
        </w:rPr>
      </w:pPr>
      <w:proofErr w:type="gramStart"/>
      <w:r w:rsidRPr="00A619A0">
        <w:rPr>
          <w:rFonts w:ascii="Arial" w:hAnsi="Arial"/>
          <w:sz w:val="22"/>
          <w:lang w:val="fr-FR"/>
        </w:rPr>
        <w:t>risque</w:t>
      </w:r>
      <w:proofErr w:type="gramEnd"/>
      <w:r w:rsidRPr="00A619A0">
        <w:rPr>
          <w:rFonts w:ascii="Arial" w:hAnsi="Arial"/>
          <w:sz w:val="22"/>
          <w:lang w:val="fr-FR"/>
        </w:rPr>
        <w:t xml:space="preserve"> de liquidité (difficultés à trouver un acheteur),</w:t>
      </w:r>
    </w:p>
    <w:p w14:paraId="3602713B" w14:textId="4CF178B3" w:rsidR="003E3FB2" w:rsidRPr="00A619A0" w:rsidRDefault="003E3FB2" w:rsidP="003E3FB2">
      <w:pPr>
        <w:pStyle w:val="Paragraphedeliste"/>
        <w:numPr>
          <w:ilvl w:val="0"/>
          <w:numId w:val="7"/>
        </w:numPr>
        <w:jc w:val="both"/>
        <w:rPr>
          <w:rFonts w:ascii="Arial" w:hAnsi="Arial"/>
          <w:sz w:val="22"/>
          <w:lang w:val="fr-FR"/>
        </w:rPr>
      </w:pPr>
      <w:proofErr w:type="gramStart"/>
      <w:r w:rsidRPr="00A619A0">
        <w:rPr>
          <w:rFonts w:ascii="Arial" w:hAnsi="Arial"/>
          <w:sz w:val="22"/>
          <w:lang w:val="fr-FR"/>
        </w:rPr>
        <w:t>risque</w:t>
      </w:r>
      <w:proofErr w:type="gramEnd"/>
      <w:r w:rsidRPr="00A619A0">
        <w:rPr>
          <w:rFonts w:ascii="Arial" w:hAnsi="Arial"/>
          <w:sz w:val="22"/>
          <w:lang w:val="fr-FR"/>
        </w:rPr>
        <w:t xml:space="preserve"> de défaut de l'émetteur.</w:t>
      </w:r>
    </w:p>
    <w:p w14:paraId="2CDCB45D" w14:textId="77777777" w:rsidR="00AE5BB0" w:rsidRDefault="00AE5BB0" w:rsidP="00AE5BB0">
      <w:pPr>
        <w:jc w:val="both"/>
        <w:rPr>
          <w:rFonts w:ascii="Arial" w:hAnsi="Arial"/>
          <w:sz w:val="22"/>
          <w:lang w:val="fr-FR"/>
        </w:rPr>
      </w:pPr>
    </w:p>
    <w:p w14:paraId="29A26B10" w14:textId="1CF82319" w:rsidR="00025FF3" w:rsidRPr="00A619A0" w:rsidRDefault="00F03055">
      <w:pPr>
        <w:jc w:val="both"/>
        <w:rPr>
          <w:rFonts w:ascii="Arial" w:hAnsi="Arial"/>
          <w:sz w:val="22"/>
          <w:lang w:val="fr-FR"/>
        </w:rPr>
      </w:pPr>
      <w:r>
        <w:rPr>
          <w:rFonts w:ascii="Arial" w:hAnsi="Arial"/>
          <w:sz w:val="22"/>
          <w:lang w:val="fr-FR"/>
        </w:rPr>
        <w:t xml:space="preserve">   </w:t>
      </w:r>
    </w:p>
    <w:p w14:paraId="46BEAF2F" w14:textId="50CEF71C" w:rsidR="00174C3B" w:rsidRPr="0070382F" w:rsidRDefault="00005FF9">
      <w:pPr>
        <w:jc w:val="both"/>
        <w:rPr>
          <w:rFonts w:ascii="Arial" w:hAnsi="Arial"/>
          <w:b/>
          <w:sz w:val="22"/>
          <w:lang w:val="fr-FR"/>
        </w:rPr>
      </w:pPr>
      <w:r w:rsidRPr="0070382F">
        <w:rPr>
          <w:rFonts w:ascii="Arial" w:hAnsi="Arial"/>
          <w:b/>
          <w:sz w:val="22"/>
          <w:lang w:val="fr-FR"/>
        </w:rPr>
        <w:t>II -</w:t>
      </w:r>
      <w:r w:rsidR="00174C3B" w:rsidRPr="0070382F">
        <w:rPr>
          <w:rFonts w:ascii="Arial" w:hAnsi="Arial"/>
          <w:b/>
          <w:sz w:val="22"/>
          <w:lang w:val="fr-FR"/>
        </w:rPr>
        <w:t xml:space="preserve"> 2 </w:t>
      </w:r>
      <w:r w:rsidR="00174C3B" w:rsidRPr="0070382F">
        <w:rPr>
          <w:rFonts w:ascii="Arial" w:hAnsi="Arial"/>
          <w:b/>
          <w:sz w:val="22"/>
          <w:u w:val="single"/>
          <w:lang w:val="fr-FR"/>
        </w:rPr>
        <w:t>Modalités</w:t>
      </w:r>
    </w:p>
    <w:p w14:paraId="2AB3C29A" w14:textId="3D50715E" w:rsidR="00E7339B" w:rsidRDefault="00E7339B">
      <w:pPr>
        <w:jc w:val="both"/>
        <w:rPr>
          <w:rFonts w:ascii="Arial" w:hAnsi="Arial"/>
          <w:sz w:val="22"/>
          <w:lang w:val="fr-FR"/>
        </w:rPr>
      </w:pPr>
      <w:r>
        <w:rPr>
          <w:rFonts w:ascii="Arial" w:hAnsi="Arial"/>
          <w:sz w:val="22"/>
          <w:lang w:val="fr-FR"/>
        </w:rPr>
        <w:t>La loi de 1966 outre les règles générales sur les obligations, avait traité deux catégories particulières : les obligations échangeables et les obligations convertibles.</w:t>
      </w:r>
    </w:p>
    <w:p w14:paraId="5219E635" w14:textId="2FD21274" w:rsidR="00E7339B" w:rsidRDefault="00E7339B">
      <w:pPr>
        <w:jc w:val="both"/>
        <w:rPr>
          <w:rFonts w:ascii="Arial" w:hAnsi="Arial"/>
          <w:sz w:val="22"/>
          <w:lang w:val="fr-FR"/>
        </w:rPr>
      </w:pPr>
      <w:r>
        <w:rPr>
          <w:rFonts w:ascii="Arial" w:hAnsi="Arial"/>
          <w:sz w:val="22"/>
          <w:lang w:val="fr-FR"/>
        </w:rPr>
        <w:t>Depuis le texte originel, l’imagination débordante des praticiens avait élaboré de nombreuses variantes, dont certaines donnant accès au capital :</w:t>
      </w:r>
    </w:p>
    <w:p w14:paraId="291AB56C" w14:textId="1DE5B3A1" w:rsidR="00E7339B" w:rsidRDefault="00E7339B">
      <w:pPr>
        <w:jc w:val="both"/>
        <w:rPr>
          <w:rFonts w:ascii="Arial" w:hAnsi="Arial"/>
          <w:sz w:val="22"/>
          <w:lang w:val="fr-FR"/>
        </w:rPr>
      </w:pPr>
      <w:r>
        <w:rPr>
          <w:rFonts w:ascii="Arial" w:hAnsi="Arial"/>
          <w:sz w:val="22"/>
          <w:lang w:val="fr-FR"/>
        </w:rPr>
        <w:t>Cocos, ORA, OBSA, OCABSA, OBSAR, OBSAAR, OCEANE, OSCEANE, ORANE, ORNANE, ACABC, Obligation subordonnée perpétuelle, OPIRNANE</w:t>
      </w:r>
      <w:r w:rsidR="00B04E7E">
        <w:rPr>
          <w:rFonts w:ascii="Arial" w:hAnsi="Arial"/>
          <w:sz w:val="22"/>
          <w:lang w:val="fr-FR"/>
        </w:rPr>
        <w:t>, CAT bonds</w:t>
      </w:r>
      <w:r w:rsidR="0025710B">
        <w:rPr>
          <w:rFonts w:ascii="Arial" w:hAnsi="Arial"/>
          <w:sz w:val="22"/>
          <w:lang w:val="fr-FR"/>
        </w:rPr>
        <w:t>, OSCAR</w:t>
      </w:r>
      <w:r w:rsidR="003432B7">
        <w:rPr>
          <w:rFonts w:ascii="Arial" w:hAnsi="Arial"/>
          <w:sz w:val="22"/>
          <w:lang w:val="fr-FR"/>
        </w:rPr>
        <w:t>, TSDI</w:t>
      </w:r>
      <w:r w:rsidR="00A6235D">
        <w:rPr>
          <w:rFonts w:ascii="Arial" w:hAnsi="Arial"/>
          <w:sz w:val="22"/>
          <w:lang w:val="fr-FR"/>
        </w:rPr>
        <w:t xml:space="preserve">, </w:t>
      </w:r>
      <w:r w:rsidR="00F6046A" w:rsidRPr="00F6046A">
        <w:rPr>
          <w:rFonts w:ascii="Arial" w:hAnsi="Arial"/>
          <w:sz w:val="22"/>
          <w:lang w:val="fr-FR"/>
        </w:rPr>
        <w:t>emprunts " chauve-souris "</w:t>
      </w:r>
      <w:r w:rsidR="00F6046A">
        <w:rPr>
          <w:rFonts w:ascii="Arial" w:hAnsi="Arial"/>
          <w:sz w:val="22"/>
          <w:lang w:val="fr-FR"/>
        </w:rPr>
        <w:t xml:space="preserve">, </w:t>
      </w:r>
      <w:r w:rsidR="00A6235D">
        <w:rPr>
          <w:rFonts w:ascii="Arial" w:hAnsi="Arial"/>
          <w:sz w:val="22"/>
          <w:lang w:val="fr-FR"/>
        </w:rPr>
        <w:t>obligations indexées</w:t>
      </w:r>
      <w:r w:rsidR="00470B4A">
        <w:rPr>
          <w:rFonts w:ascii="Arial" w:hAnsi="Arial"/>
          <w:sz w:val="22"/>
          <w:lang w:val="fr-FR"/>
        </w:rPr>
        <w:t>, obligations à fenêtre</w:t>
      </w:r>
      <w:r w:rsidR="00B04E7E">
        <w:rPr>
          <w:rFonts w:ascii="Arial" w:hAnsi="Arial"/>
          <w:sz w:val="22"/>
          <w:lang w:val="fr-FR"/>
        </w:rPr>
        <w:t xml:space="preserve"> </w:t>
      </w:r>
      <w:r>
        <w:rPr>
          <w:rFonts w:ascii="Arial" w:hAnsi="Arial"/>
          <w:sz w:val="22"/>
          <w:lang w:val="fr-FR"/>
        </w:rPr>
        <w:t>et bien d’autres choses</w:t>
      </w:r>
      <w:r w:rsidR="00C53AFD">
        <w:rPr>
          <w:rFonts w:ascii="Arial" w:hAnsi="Arial"/>
          <w:sz w:val="22"/>
          <w:lang w:val="fr-FR"/>
        </w:rPr>
        <w:t>…</w:t>
      </w:r>
    </w:p>
    <w:p w14:paraId="620BD9D0" w14:textId="7F0FAA29" w:rsidR="00E7339B" w:rsidRDefault="00C53AFD">
      <w:pPr>
        <w:jc w:val="both"/>
        <w:rPr>
          <w:rFonts w:ascii="Arial" w:hAnsi="Arial"/>
          <w:sz w:val="22"/>
          <w:lang w:val="fr-FR"/>
        </w:rPr>
      </w:pPr>
      <w:r>
        <w:rPr>
          <w:rFonts w:ascii="Arial" w:hAnsi="Arial"/>
          <w:sz w:val="22"/>
          <w:lang w:val="fr-FR"/>
        </w:rPr>
        <w:t>Le législateur n’a pu suivre !</w:t>
      </w:r>
    </w:p>
    <w:p w14:paraId="16FFF26A" w14:textId="3733DE75" w:rsidR="00C53AFD" w:rsidRDefault="00C53AFD">
      <w:pPr>
        <w:jc w:val="both"/>
        <w:rPr>
          <w:rFonts w:ascii="Arial" w:hAnsi="Arial"/>
          <w:sz w:val="22"/>
          <w:lang w:val="fr-FR"/>
        </w:rPr>
      </w:pPr>
    </w:p>
    <w:p w14:paraId="15B07A6F" w14:textId="77777777" w:rsidR="009429CD" w:rsidRPr="009429CD" w:rsidRDefault="009429CD" w:rsidP="009429CD">
      <w:pPr>
        <w:pBdr>
          <w:top w:val="single" w:sz="4" w:space="1" w:color="auto"/>
          <w:left w:val="single" w:sz="4" w:space="4" w:color="auto"/>
          <w:bottom w:val="single" w:sz="4" w:space="1" w:color="auto"/>
          <w:right w:val="single" w:sz="4" w:space="4" w:color="auto"/>
        </w:pBdr>
        <w:jc w:val="both"/>
        <w:rPr>
          <w:rFonts w:ascii="Arial" w:hAnsi="Arial"/>
          <w:b/>
          <w:bCs/>
          <w:sz w:val="22"/>
          <w:lang w:val="fr-FR"/>
        </w:rPr>
      </w:pPr>
      <w:r w:rsidRPr="009429CD">
        <w:rPr>
          <w:rFonts w:ascii="Arial" w:hAnsi="Arial"/>
          <w:b/>
          <w:bCs/>
          <w:sz w:val="22"/>
          <w:lang w:val="fr-FR"/>
        </w:rPr>
        <w:t>Obligation à fenêtre</w:t>
      </w:r>
    </w:p>
    <w:p w14:paraId="5BEA1262" w14:textId="2E55A6E7" w:rsidR="009429CD" w:rsidRPr="009F41CE" w:rsidRDefault="009429CD" w:rsidP="009429CD">
      <w:pPr>
        <w:pBdr>
          <w:top w:val="single" w:sz="4" w:space="1" w:color="auto"/>
          <w:left w:val="single" w:sz="4" w:space="4" w:color="auto"/>
          <w:bottom w:val="single" w:sz="4" w:space="1" w:color="auto"/>
          <w:right w:val="single" w:sz="4" w:space="4" w:color="auto"/>
        </w:pBdr>
        <w:jc w:val="both"/>
        <w:rPr>
          <w:rFonts w:ascii="Arial" w:hAnsi="Arial"/>
          <w:sz w:val="20"/>
          <w:szCs w:val="20"/>
          <w:lang w:val="fr-FR"/>
        </w:rPr>
      </w:pPr>
      <w:r w:rsidRPr="009F41CE">
        <w:rPr>
          <w:rFonts w:ascii="Arial" w:hAnsi="Arial"/>
          <w:sz w:val="20"/>
          <w:szCs w:val="20"/>
          <w:lang w:val="fr-FR"/>
        </w:rPr>
        <w:t>Obligation émise à taux fixe et à échéance assez longue (15 à 18 ans) qui comporte des possibilités de remboursement anticipé à des échéances préfixées, soit au gré du porteur avec une pénalité (réduction du dernier coupon), soit au gré de l'émetteur avec versement d'une indemnité au porteur (majoration du dernier coupon ou prime de remboursement).</w:t>
      </w:r>
    </w:p>
    <w:p w14:paraId="3C287DF5" w14:textId="335BAFA2" w:rsidR="0081602A" w:rsidRPr="009F41CE" w:rsidRDefault="0081602A" w:rsidP="009429CD">
      <w:pPr>
        <w:pBdr>
          <w:top w:val="single" w:sz="4" w:space="1" w:color="auto"/>
          <w:left w:val="single" w:sz="4" w:space="4" w:color="auto"/>
          <w:bottom w:val="single" w:sz="4" w:space="1" w:color="auto"/>
          <w:right w:val="single" w:sz="4" w:space="4" w:color="auto"/>
        </w:pBdr>
        <w:jc w:val="both"/>
        <w:rPr>
          <w:rFonts w:ascii="Arial" w:hAnsi="Arial"/>
          <w:sz w:val="20"/>
          <w:szCs w:val="20"/>
          <w:lang w:val="fr-FR"/>
        </w:rPr>
      </w:pPr>
      <w:r w:rsidRPr="009F41CE">
        <w:rPr>
          <w:rFonts w:ascii="Arial" w:hAnsi="Arial"/>
          <w:sz w:val="20"/>
          <w:szCs w:val="20"/>
          <w:lang w:val="fr-FR"/>
        </w:rPr>
        <w:t>Devant cette explosion des pratiques, le législateur a renoncé à réglementer chaque type</w:t>
      </w:r>
      <w:r w:rsidR="00627F34" w:rsidRPr="009F41CE">
        <w:rPr>
          <w:rFonts w:ascii="Arial" w:hAnsi="Arial"/>
          <w:sz w:val="20"/>
          <w:szCs w:val="20"/>
          <w:lang w:val="fr-FR"/>
        </w:rPr>
        <w:t>, élaborant cependant des règles particulières pour les obligations donnant accès au capital</w:t>
      </w:r>
      <w:r w:rsidR="00470B4A" w:rsidRPr="009F41CE">
        <w:rPr>
          <w:rFonts w:ascii="Arial" w:hAnsi="Arial"/>
          <w:sz w:val="20"/>
          <w:szCs w:val="20"/>
          <w:lang w:val="fr-FR"/>
        </w:rPr>
        <w:t>.</w:t>
      </w:r>
      <w:r w:rsidR="009429CD" w:rsidRPr="009F41CE">
        <w:rPr>
          <w:rStyle w:val="Appelnotedebasdep"/>
          <w:rFonts w:ascii="Arial" w:hAnsi="Arial"/>
          <w:sz w:val="20"/>
          <w:szCs w:val="20"/>
          <w:lang w:val="fr-FR"/>
        </w:rPr>
        <w:footnoteReference w:id="1"/>
      </w:r>
    </w:p>
    <w:p w14:paraId="4357D3C9" w14:textId="77777777" w:rsidR="00E400F5" w:rsidRDefault="00E400F5">
      <w:pPr>
        <w:jc w:val="both"/>
        <w:rPr>
          <w:rFonts w:ascii="Arial" w:hAnsi="Arial"/>
          <w:sz w:val="22"/>
          <w:lang w:val="fr-FR"/>
        </w:rPr>
      </w:pPr>
    </w:p>
    <w:p w14:paraId="1C53658F" w14:textId="3EDEBC40" w:rsidR="00174C3B" w:rsidRPr="0070382F" w:rsidRDefault="00174C3B">
      <w:pPr>
        <w:jc w:val="both"/>
        <w:rPr>
          <w:rFonts w:ascii="Arial" w:hAnsi="Arial"/>
          <w:sz w:val="22"/>
          <w:lang w:val="fr-FR"/>
        </w:rPr>
      </w:pPr>
      <w:r w:rsidRPr="0070382F">
        <w:rPr>
          <w:rFonts w:ascii="Arial" w:hAnsi="Arial"/>
          <w:sz w:val="22"/>
          <w:lang w:val="fr-FR"/>
        </w:rPr>
        <w:t xml:space="preserve">On </w:t>
      </w:r>
      <w:r w:rsidR="00692429" w:rsidRPr="0070382F">
        <w:rPr>
          <w:rFonts w:ascii="Arial" w:hAnsi="Arial"/>
          <w:sz w:val="22"/>
          <w:lang w:val="fr-FR"/>
        </w:rPr>
        <w:t xml:space="preserve">trouve des variantes qui </w:t>
      </w:r>
      <w:r w:rsidR="00025FF3" w:rsidRPr="0070382F">
        <w:rPr>
          <w:rFonts w:ascii="Arial" w:hAnsi="Arial"/>
          <w:sz w:val="22"/>
          <w:lang w:val="fr-FR"/>
        </w:rPr>
        <w:t>ont pour objectif d’attirer les investisseurs. Certaines consistent en l’émission de</w:t>
      </w:r>
      <w:r w:rsidR="00692429" w:rsidRPr="0070382F">
        <w:rPr>
          <w:rFonts w:ascii="Arial" w:hAnsi="Arial"/>
          <w:sz w:val="22"/>
          <w:lang w:val="fr-FR"/>
        </w:rPr>
        <w:t xml:space="preserve"> titres permettant à l’obligataire (ou à la société) de jouer sur les avantages respectifs des obligations et des actions.</w:t>
      </w:r>
    </w:p>
    <w:p w14:paraId="539E70F6" w14:textId="77777777" w:rsidR="00692429" w:rsidRPr="00A619A0" w:rsidRDefault="00692429">
      <w:pPr>
        <w:jc w:val="both"/>
        <w:rPr>
          <w:rFonts w:ascii="Arial" w:hAnsi="Arial"/>
          <w:sz w:val="22"/>
          <w:lang w:val="fr-FR"/>
        </w:rPr>
      </w:pPr>
    </w:p>
    <w:p w14:paraId="2D6270C5" w14:textId="3CFF4D30" w:rsidR="00005FF9" w:rsidRPr="00A619A0" w:rsidRDefault="00005FF9" w:rsidP="00005FF9">
      <w:pPr>
        <w:pStyle w:val="Paragraphedeliste"/>
        <w:numPr>
          <w:ilvl w:val="0"/>
          <w:numId w:val="6"/>
        </w:numPr>
        <w:jc w:val="both"/>
        <w:rPr>
          <w:rFonts w:ascii="Arial" w:hAnsi="Arial"/>
          <w:sz w:val="22"/>
          <w:lang w:val="fr-FR"/>
        </w:rPr>
      </w:pPr>
      <w:r w:rsidRPr="00A619A0">
        <w:rPr>
          <w:rFonts w:ascii="Arial" w:hAnsi="Arial"/>
          <w:sz w:val="22"/>
          <w:lang w:val="fr-FR"/>
        </w:rPr>
        <w:t>Emprunts à lots qui doivent faire l'objet d'une autorisation légale.</w:t>
      </w:r>
    </w:p>
    <w:p w14:paraId="397086F3" w14:textId="4A099C15" w:rsidR="00DF5CF3" w:rsidRPr="00A619A0" w:rsidRDefault="00174C3B" w:rsidP="00DF5CF3">
      <w:pPr>
        <w:pStyle w:val="Paragraphedeliste"/>
        <w:numPr>
          <w:ilvl w:val="0"/>
          <w:numId w:val="6"/>
        </w:numPr>
        <w:jc w:val="both"/>
        <w:rPr>
          <w:rFonts w:ascii="Arial" w:hAnsi="Arial"/>
          <w:sz w:val="22"/>
          <w:lang w:val="fr-FR"/>
        </w:rPr>
      </w:pPr>
      <w:r w:rsidRPr="00A619A0">
        <w:rPr>
          <w:rFonts w:ascii="Arial" w:hAnsi="Arial"/>
          <w:sz w:val="22"/>
          <w:lang w:val="fr-FR"/>
        </w:rPr>
        <w:t>Emprunts à primes d'émission (prix d'émission inférieur à la valeur nominale) ou de remboursement (prix de remboursement supérieur à la valeur nominale) ou combinaison des deux.</w:t>
      </w:r>
      <w:r w:rsidR="00252837" w:rsidRPr="00A619A0">
        <w:rPr>
          <w:rFonts w:ascii="Arial" w:hAnsi="Arial"/>
          <w:sz w:val="22"/>
          <w:lang w:val="fr-FR"/>
        </w:rPr>
        <w:t xml:space="preserve"> </w:t>
      </w:r>
      <w:r w:rsidR="00207741" w:rsidRPr="00A619A0">
        <w:rPr>
          <w:rFonts w:ascii="Arial" w:hAnsi="Arial"/>
          <w:sz w:val="22"/>
          <w:lang w:val="fr-FR"/>
        </w:rPr>
        <w:t>Comptabilisation d’une « </w:t>
      </w:r>
      <w:r w:rsidR="00207741" w:rsidRPr="00A619A0">
        <w:rPr>
          <w:rFonts w:ascii="Arial" w:hAnsi="Arial"/>
          <w:b/>
          <w:sz w:val="22"/>
          <w:lang w:val="fr-FR"/>
        </w:rPr>
        <w:t>prime de remboursement </w:t>
      </w:r>
      <w:r w:rsidR="00207741" w:rsidRPr="00A619A0">
        <w:rPr>
          <w:rFonts w:ascii="Arial" w:hAnsi="Arial"/>
          <w:sz w:val="22"/>
          <w:lang w:val="fr-FR"/>
        </w:rPr>
        <w:t xml:space="preserve">» </w:t>
      </w:r>
      <w:r w:rsidR="00207741" w:rsidRPr="00A619A0">
        <w:rPr>
          <w:rFonts w:ascii="Arial" w:hAnsi="Arial"/>
          <w:sz w:val="22"/>
          <w:u w:val="single"/>
          <w:lang w:val="fr-FR"/>
        </w:rPr>
        <w:t>dans les deux cas</w:t>
      </w:r>
      <w:r w:rsidR="00207741" w:rsidRPr="00A619A0">
        <w:rPr>
          <w:rFonts w:ascii="Arial" w:hAnsi="Arial"/>
          <w:sz w:val="22"/>
          <w:lang w:val="fr-FR"/>
        </w:rPr>
        <w:t>.</w:t>
      </w:r>
      <w:r w:rsidR="0085499E" w:rsidRPr="00A619A0">
        <w:rPr>
          <w:rFonts w:ascii="Arial" w:hAnsi="Arial"/>
          <w:sz w:val="22"/>
          <w:lang w:val="fr-FR"/>
        </w:rPr>
        <w:t xml:space="preserve"> L’enregistrement comptable est le suivant :</w:t>
      </w:r>
    </w:p>
    <w:p w14:paraId="1C8F5762" w14:textId="42181E39" w:rsidR="00481C2D" w:rsidRDefault="00481C2D" w:rsidP="0085499E">
      <w:pPr>
        <w:jc w:val="both"/>
        <w:rPr>
          <w:rFonts w:ascii="Arial" w:hAnsi="Arial"/>
          <w:sz w:val="22"/>
          <w:lang w:val="fr-FR"/>
        </w:rPr>
      </w:pPr>
    </w:p>
    <w:p w14:paraId="324C3F75" w14:textId="77777777" w:rsidR="00481C2D" w:rsidRPr="00A619A0" w:rsidRDefault="00481C2D" w:rsidP="0085499E">
      <w:pPr>
        <w:jc w:val="both"/>
        <w:rPr>
          <w:rFonts w:ascii="Arial" w:hAnsi="Arial"/>
          <w:sz w:val="22"/>
          <w:lang w:val="fr-FR"/>
        </w:rPr>
      </w:pPr>
    </w:p>
    <w:tbl>
      <w:tblPr>
        <w:tblStyle w:val="Grilledutableau"/>
        <w:tblW w:w="0" w:type="auto"/>
        <w:tblLook w:val="04A0" w:firstRow="1" w:lastRow="0" w:firstColumn="1" w:lastColumn="0" w:noHBand="0" w:noVBand="1"/>
      </w:tblPr>
      <w:tblGrid>
        <w:gridCol w:w="520"/>
        <w:gridCol w:w="2163"/>
        <w:gridCol w:w="1856"/>
        <w:gridCol w:w="1297"/>
        <w:gridCol w:w="2654"/>
        <w:gridCol w:w="576"/>
      </w:tblGrid>
      <w:tr w:rsidR="0085499E" w:rsidRPr="00A619A0" w14:paraId="283994E8" w14:textId="77777777" w:rsidTr="0085499E">
        <w:tc>
          <w:tcPr>
            <w:tcW w:w="534" w:type="dxa"/>
            <w:tcBorders>
              <w:top w:val="nil"/>
              <w:left w:val="nil"/>
              <w:bottom w:val="nil"/>
            </w:tcBorders>
          </w:tcPr>
          <w:p w14:paraId="35EA288D" w14:textId="77777777" w:rsidR="0085499E" w:rsidRPr="00A619A0" w:rsidRDefault="0085499E" w:rsidP="0085499E">
            <w:pPr>
              <w:jc w:val="both"/>
              <w:rPr>
                <w:rFonts w:ascii="Arial" w:hAnsi="Arial"/>
                <w:b/>
                <w:sz w:val="22"/>
                <w:lang w:val="fr-FR"/>
              </w:rPr>
            </w:pPr>
          </w:p>
        </w:tc>
        <w:tc>
          <w:tcPr>
            <w:tcW w:w="8079" w:type="dxa"/>
            <w:gridSpan w:val="4"/>
          </w:tcPr>
          <w:p w14:paraId="2F2341A9" w14:textId="73A9463B" w:rsidR="0085499E" w:rsidRPr="00A619A0" w:rsidRDefault="0085499E" w:rsidP="0085499E">
            <w:pPr>
              <w:jc w:val="center"/>
              <w:rPr>
                <w:rFonts w:ascii="Arial" w:hAnsi="Arial"/>
                <w:b/>
                <w:sz w:val="22"/>
                <w:lang w:val="fr-FR"/>
              </w:rPr>
            </w:pPr>
            <w:r w:rsidRPr="00A619A0">
              <w:rPr>
                <w:rFonts w:ascii="Arial" w:hAnsi="Arial"/>
                <w:b/>
                <w:sz w:val="22"/>
                <w:lang w:val="fr-FR"/>
              </w:rPr>
              <w:t>BILAN À L’ÉMISSION</w:t>
            </w:r>
            <w:r w:rsidR="002B0D98">
              <w:rPr>
                <w:rFonts w:ascii="Arial" w:hAnsi="Arial"/>
                <w:b/>
                <w:sz w:val="22"/>
                <w:lang w:val="fr-FR"/>
              </w:rPr>
              <w:t xml:space="preserve"> (emprunt avec prime)</w:t>
            </w:r>
          </w:p>
        </w:tc>
        <w:tc>
          <w:tcPr>
            <w:tcW w:w="593" w:type="dxa"/>
            <w:tcBorders>
              <w:top w:val="nil"/>
              <w:bottom w:val="nil"/>
              <w:right w:val="nil"/>
            </w:tcBorders>
          </w:tcPr>
          <w:p w14:paraId="769AB5B3" w14:textId="77777777" w:rsidR="0085499E" w:rsidRPr="00A619A0" w:rsidRDefault="0085499E" w:rsidP="0085499E">
            <w:pPr>
              <w:jc w:val="both"/>
              <w:rPr>
                <w:rFonts w:ascii="Arial" w:hAnsi="Arial"/>
                <w:b/>
                <w:sz w:val="22"/>
                <w:lang w:val="fr-FR"/>
              </w:rPr>
            </w:pPr>
          </w:p>
        </w:tc>
      </w:tr>
      <w:tr w:rsidR="0085499E" w:rsidRPr="00A619A0" w14:paraId="1F749F8E" w14:textId="77777777" w:rsidTr="0085499E">
        <w:tc>
          <w:tcPr>
            <w:tcW w:w="534" w:type="dxa"/>
            <w:tcBorders>
              <w:top w:val="nil"/>
              <w:left w:val="nil"/>
              <w:bottom w:val="nil"/>
            </w:tcBorders>
          </w:tcPr>
          <w:p w14:paraId="44124BF1" w14:textId="77777777" w:rsidR="0085499E" w:rsidRPr="00A619A0" w:rsidRDefault="0085499E" w:rsidP="0085499E">
            <w:pPr>
              <w:jc w:val="both"/>
              <w:rPr>
                <w:rFonts w:ascii="Arial" w:hAnsi="Arial"/>
                <w:b/>
                <w:sz w:val="22"/>
                <w:lang w:val="fr-FR"/>
              </w:rPr>
            </w:pPr>
          </w:p>
        </w:tc>
        <w:tc>
          <w:tcPr>
            <w:tcW w:w="4068" w:type="dxa"/>
            <w:gridSpan w:val="2"/>
          </w:tcPr>
          <w:p w14:paraId="296B0A94" w14:textId="5F227A05" w:rsidR="0085499E" w:rsidRPr="00A619A0" w:rsidRDefault="0085499E" w:rsidP="0085499E">
            <w:pPr>
              <w:jc w:val="center"/>
              <w:rPr>
                <w:rFonts w:ascii="Arial" w:hAnsi="Arial"/>
                <w:b/>
                <w:sz w:val="22"/>
                <w:lang w:val="fr-FR"/>
              </w:rPr>
            </w:pPr>
            <w:r w:rsidRPr="00A619A0">
              <w:rPr>
                <w:rFonts w:ascii="Arial" w:hAnsi="Arial"/>
                <w:b/>
                <w:sz w:val="22"/>
                <w:lang w:val="fr-FR"/>
              </w:rPr>
              <w:t>Actif</w:t>
            </w:r>
          </w:p>
        </w:tc>
        <w:tc>
          <w:tcPr>
            <w:tcW w:w="4011" w:type="dxa"/>
            <w:gridSpan w:val="2"/>
          </w:tcPr>
          <w:p w14:paraId="2A37DDC9" w14:textId="48B00A4D" w:rsidR="0085499E" w:rsidRPr="00A619A0" w:rsidRDefault="0085499E" w:rsidP="0085499E">
            <w:pPr>
              <w:jc w:val="center"/>
              <w:rPr>
                <w:rFonts w:ascii="Arial" w:hAnsi="Arial"/>
                <w:b/>
                <w:sz w:val="22"/>
                <w:lang w:val="fr-FR"/>
              </w:rPr>
            </w:pPr>
            <w:r w:rsidRPr="00A619A0">
              <w:rPr>
                <w:rFonts w:ascii="Arial" w:hAnsi="Arial"/>
                <w:b/>
                <w:sz w:val="22"/>
                <w:lang w:val="fr-FR"/>
              </w:rPr>
              <w:t>Passif</w:t>
            </w:r>
          </w:p>
        </w:tc>
        <w:tc>
          <w:tcPr>
            <w:tcW w:w="593" w:type="dxa"/>
            <w:tcBorders>
              <w:top w:val="nil"/>
              <w:bottom w:val="nil"/>
              <w:right w:val="nil"/>
            </w:tcBorders>
          </w:tcPr>
          <w:p w14:paraId="3C443366" w14:textId="77777777" w:rsidR="0085499E" w:rsidRPr="00A619A0" w:rsidRDefault="0085499E" w:rsidP="0085499E">
            <w:pPr>
              <w:jc w:val="both"/>
              <w:rPr>
                <w:rFonts w:ascii="Arial" w:hAnsi="Arial"/>
                <w:b/>
                <w:sz w:val="22"/>
                <w:lang w:val="fr-FR"/>
              </w:rPr>
            </w:pPr>
          </w:p>
        </w:tc>
      </w:tr>
      <w:tr w:rsidR="00A93B1B" w:rsidRPr="00A619A0" w14:paraId="1E953136" w14:textId="77777777" w:rsidTr="0085499E">
        <w:tc>
          <w:tcPr>
            <w:tcW w:w="534" w:type="dxa"/>
            <w:tcBorders>
              <w:top w:val="nil"/>
              <w:left w:val="nil"/>
              <w:bottom w:val="nil"/>
            </w:tcBorders>
          </w:tcPr>
          <w:p w14:paraId="5819D9B6" w14:textId="77777777" w:rsidR="00A93B1B" w:rsidRPr="00A619A0" w:rsidRDefault="00A93B1B" w:rsidP="0085499E">
            <w:pPr>
              <w:jc w:val="both"/>
              <w:rPr>
                <w:rFonts w:ascii="Arial" w:hAnsi="Arial"/>
                <w:sz w:val="22"/>
                <w:lang w:val="fr-FR"/>
              </w:rPr>
            </w:pPr>
          </w:p>
        </w:tc>
        <w:tc>
          <w:tcPr>
            <w:tcW w:w="2182" w:type="dxa"/>
          </w:tcPr>
          <w:p w14:paraId="72C1EDC3" w14:textId="248808D0" w:rsidR="00A93B1B" w:rsidRPr="00A619A0" w:rsidRDefault="00A93B1B" w:rsidP="0085499E">
            <w:pPr>
              <w:jc w:val="both"/>
              <w:rPr>
                <w:rFonts w:ascii="Arial" w:hAnsi="Arial"/>
                <w:sz w:val="22"/>
                <w:lang w:val="fr-FR"/>
              </w:rPr>
            </w:pPr>
            <w:r w:rsidRPr="00A619A0">
              <w:rPr>
                <w:rFonts w:ascii="Arial" w:hAnsi="Arial"/>
                <w:sz w:val="22"/>
                <w:lang w:val="fr-FR"/>
              </w:rPr>
              <w:t>Disponibilités</w:t>
            </w:r>
          </w:p>
        </w:tc>
        <w:tc>
          <w:tcPr>
            <w:tcW w:w="1886" w:type="dxa"/>
          </w:tcPr>
          <w:p w14:paraId="14CB3918" w14:textId="15B65F2B" w:rsidR="00A93B1B" w:rsidRPr="00A619A0" w:rsidRDefault="00A93B1B" w:rsidP="0085499E">
            <w:pPr>
              <w:jc w:val="center"/>
              <w:rPr>
                <w:rFonts w:ascii="Arial" w:hAnsi="Arial"/>
                <w:sz w:val="20"/>
                <w:szCs w:val="20"/>
                <w:lang w:val="fr-FR"/>
              </w:rPr>
            </w:pPr>
            <w:r w:rsidRPr="00A619A0">
              <w:rPr>
                <w:rFonts w:ascii="Arial" w:hAnsi="Arial"/>
                <w:sz w:val="20"/>
                <w:szCs w:val="20"/>
                <w:lang w:val="fr-FR"/>
              </w:rPr>
              <w:t>E (prix d’émission)</w:t>
            </w:r>
          </w:p>
        </w:tc>
        <w:tc>
          <w:tcPr>
            <w:tcW w:w="1318" w:type="dxa"/>
            <w:vMerge w:val="restart"/>
          </w:tcPr>
          <w:p w14:paraId="535A0CE2" w14:textId="26E88AD4" w:rsidR="00A93B1B" w:rsidRPr="00A619A0" w:rsidRDefault="00A93B1B" w:rsidP="0085499E">
            <w:pPr>
              <w:jc w:val="both"/>
              <w:rPr>
                <w:rFonts w:ascii="Arial" w:hAnsi="Arial"/>
                <w:sz w:val="22"/>
                <w:lang w:val="fr-FR"/>
              </w:rPr>
            </w:pPr>
            <w:r w:rsidRPr="00A619A0">
              <w:rPr>
                <w:rFonts w:ascii="Arial" w:hAnsi="Arial"/>
                <w:sz w:val="22"/>
                <w:lang w:val="fr-FR"/>
              </w:rPr>
              <w:t>Dettes</w:t>
            </w:r>
          </w:p>
        </w:tc>
        <w:tc>
          <w:tcPr>
            <w:tcW w:w="2693" w:type="dxa"/>
            <w:vMerge w:val="restart"/>
          </w:tcPr>
          <w:p w14:paraId="40AD18A9" w14:textId="42229FBD" w:rsidR="00A93B1B" w:rsidRPr="00A619A0" w:rsidRDefault="00A93B1B" w:rsidP="0085499E">
            <w:pPr>
              <w:jc w:val="center"/>
              <w:rPr>
                <w:rFonts w:ascii="Arial" w:hAnsi="Arial"/>
                <w:sz w:val="22"/>
                <w:lang w:val="fr-FR"/>
              </w:rPr>
            </w:pPr>
            <w:r w:rsidRPr="00A619A0">
              <w:rPr>
                <w:rFonts w:ascii="Arial" w:hAnsi="Arial"/>
                <w:sz w:val="22"/>
                <w:lang w:val="fr-FR"/>
              </w:rPr>
              <w:t>R (valeur de remboursement)</w:t>
            </w:r>
          </w:p>
        </w:tc>
        <w:tc>
          <w:tcPr>
            <w:tcW w:w="593" w:type="dxa"/>
            <w:tcBorders>
              <w:top w:val="nil"/>
              <w:bottom w:val="nil"/>
              <w:right w:val="nil"/>
            </w:tcBorders>
          </w:tcPr>
          <w:p w14:paraId="4B97EE13" w14:textId="77777777" w:rsidR="00A93B1B" w:rsidRPr="00A619A0" w:rsidRDefault="00A93B1B" w:rsidP="0085499E">
            <w:pPr>
              <w:jc w:val="both"/>
              <w:rPr>
                <w:rFonts w:ascii="Arial" w:hAnsi="Arial"/>
                <w:sz w:val="22"/>
                <w:lang w:val="fr-FR"/>
              </w:rPr>
            </w:pPr>
          </w:p>
        </w:tc>
      </w:tr>
      <w:tr w:rsidR="00A93B1B" w:rsidRPr="00A619A0" w14:paraId="52AA7B4D" w14:textId="77777777" w:rsidTr="0085499E">
        <w:tc>
          <w:tcPr>
            <w:tcW w:w="534" w:type="dxa"/>
            <w:tcBorders>
              <w:top w:val="nil"/>
              <w:left w:val="nil"/>
              <w:bottom w:val="nil"/>
            </w:tcBorders>
          </w:tcPr>
          <w:p w14:paraId="5C8DA414" w14:textId="77777777" w:rsidR="00A93B1B" w:rsidRPr="00A619A0" w:rsidRDefault="00A93B1B" w:rsidP="0085499E">
            <w:pPr>
              <w:jc w:val="both"/>
              <w:rPr>
                <w:rFonts w:ascii="Arial" w:hAnsi="Arial"/>
                <w:sz w:val="22"/>
                <w:lang w:val="fr-FR"/>
              </w:rPr>
            </w:pPr>
          </w:p>
        </w:tc>
        <w:tc>
          <w:tcPr>
            <w:tcW w:w="2182" w:type="dxa"/>
          </w:tcPr>
          <w:p w14:paraId="40DC8DB3" w14:textId="4556DC64" w:rsidR="00A93B1B" w:rsidRPr="00A619A0" w:rsidRDefault="00A93B1B" w:rsidP="0085499E">
            <w:pPr>
              <w:jc w:val="both"/>
              <w:rPr>
                <w:rFonts w:ascii="Arial" w:hAnsi="Arial"/>
                <w:sz w:val="22"/>
                <w:lang w:val="fr-FR"/>
              </w:rPr>
            </w:pPr>
            <w:r w:rsidRPr="00A619A0">
              <w:rPr>
                <w:rFonts w:ascii="Arial" w:hAnsi="Arial"/>
                <w:sz w:val="22"/>
                <w:lang w:val="fr-FR"/>
              </w:rPr>
              <w:t>Prime de remboursement</w:t>
            </w:r>
          </w:p>
        </w:tc>
        <w:tc>
          <w:tcPr>
            <w:tcW w:w="1886" w:type="dxa"/>
          </w:tcPr>
          <w:p w14:paraId="6834DE39" w14:textId="3051D427" w:rsidR="00A93B1B" w:rsidRPr="00A619A0" w:rsidRDefault="00A93B1B" w:rsidP="0085499E">
            <w:pPr>
              <w:jc w:val="center"/>
              <w:rPr>
                <w:rFonts w:ascii="Arial" w:hAnsi="Arial"/>
                <w:sz w:val="20"/>
                <w:szCs w:val="20"/>
                <w:lang w:val="fr-FR"/>
              </w:rPr>
            </w:pPr>
            <w:r w:rsidRPr="00A619A0">
              <w:rPr>
                <w:rFonts w:ascii="Arial" w:hAnsi="Arial"/>
                <w:sz w:val="20"/>
                <w:szCs w:val="20"/>
                <w:lang w:val="fr-FR"/>
              </w:rPr>
              <w:t>R-E</w:t>
            </w:r>
          </w:p>
        </w:tc>
        <w:tc>
          <w:tcPr>
            <w:tcW w:w="1318" w:type="dxa"/>
            <w:vMerge/>
          </w:tcPr>
          <w:p w14:paraId="4F3E1483" w14:textId="77777777" w:rsidR="00A93B1B" w:rsidRPr="00A619A0" w:rsidRDefault="00A93B1B" w:rsidP="0085499E">
            <w:pPr>
              <w:jc w:val="both"/>
              <w:rPr>
                <w:rFonts w:ascii="Arial" w:hAnsi="Arial"/>
                <w:sz w:val="22"/>
                <w:lang w:val="fr-FR"/>
              </w:rPr>
            </w:pPr>
          </w:p>
        </w:tc>
        <w:tc>
          <w:tcPr>
            <w:tcW w:w="2693" w:type="dxa"/>
            <w:vMerge/>
          </w:tcPr>
          <w:p w14:paraId="1BA5BD55" w14:textId="77777777" w:rsidR="00A93B1B" w:rsidRPr="00A619A0" w:rsidRDefault="00A93B1B" w:rsidP="0085499E">
            <w:pPr>
              <w:jc w:val="center"/>
              <w:rPr>
                <w:rFonts w:ascii="Arial" w:hAnsi="Arial"/>
                <w:sz w:val="22"/>
                <w:lang w:val="fr-FR"/>
              </w:rPr>
            </w:pPr>
          </w:p>
        </w:tc>
        <w:tc>
          <w:tcPr>
            <w:tcW w:w="593" w:type="dxa"/>
            <w:tcBorders>
              <w:top w:val="nil"/>
              <w:bottom w:val="nil"/>
              <w:right w:val="nil"/>
            </w:tcBorders>
          </w:tcPr>
          <w:p w14:paraId="405D3441" w14:textId="77777777" w:rsidR="00A93B1B" w:rsidRPr="00A619A0" w:rsidRDefault="00A93B1B" w:rsidP="0085499E">
            <w:pPr>
              <w:jc w:val="both"/>
              <w:rPr>
                <w:rFonts w:ascii="Arial" w:hAnsi="Arial"/>
                <w:sz w:val="22"/>
                <w:lang w:val="fr-FR"/>
              </w:rPr>
            </w:pPr>
          </w:p>
        </w:tc>
      </w:tr>
      <w:tr w:rsidR="0085499E" w:rsidRPr="00A619A0" w14:paraId="0A7766A4" w14:textId="77777777" w:rsidTr="0085499E">
        <w:tc>
          <w:tcPr>
            <w:tcW w:w="534" w:type="dxa"/>
            <w:tcBorders>
              <w:top w:val="nil"/>
              <w:left w:val="nil"/>
              <w:bottom w:val="nil"/>
            </w:tcBorders>
          </w:tcPr>
          <w:p w14:paraId="62C27D7A" w14:textId="77777777" w:rsidR="0085499E" w:rsidRPr="00A619A0" w:rsidRDefault="0085499E" w:rsidP="0085499E">
            <w:pPr>
              <w:jc w:val="both"/>
              <w:rPr>
                <w:rFonts w:ascii="Arial" w:hAnsi="Arial"/>
                <w:sz w:val="22"/>
                <w:lang w:val="fr-FR"/>
              </w:rPr>
            </w:pPr>
          </w:p>
        </w:tc>
        <w:tc>
          <w:tcPr>
            <w:tcW w:w="2182" w:type="dxa"/>
          </w:tcPr>
          <w:p w14:paraId="5A5498F2" w14:textId="77777777" w:rsidR="0085499E" w:rsidRPr="00A619A0" w:rsidRDefault="0085499E" w:rsidP="0085499E">
            <w:pPr>
              <w:jc w:val="both"/>
              <w:rPr>
                <w:rFonts w:ascii="Arial" w:hAnsi="Arial"/>
                <w:sz w:val="22"/>
                <w:lang w:val="fr-FR"/>
              </w:rPr>
            </w:pPr>
          </w:p>
        </w:tc>
        <w:tc>
          <w:tcPr>
            <w:tcW w:w="1886" w:type="dxa"/>
          </w:tcPr>
          <w:p w14:paraId="7A7C5DC4" w14:textId="01B6EBB8" w:rsidR="0085499E" w:rsidRPr="00A619A0" w:rsidRDefault="0085499E" w:rsidP="0085499E">
            <w:pPr>
              <w:jc w:val="center"/>
              <w:rPr>
                <w:rFonts w:ascii="Arial" w:hAnsi="Arial"/>
                <w:sz w:val="20"/>
                <w:szCs w:val="20"/>
                <w:lang w:val="fr-FR"/>
              </w:rPr>
            </w:pPr>
            <w:r w:rsidRPr="00A619A0">
              <w:rPr>
                <w:rFonts w:ascii="Arial" w:hAnsi="Arial"/>
                <w:sz w:val="20"/>
                <w:szCs w:val="20"/>
                <w:lang w:val="fr-FR"/>
              </w:rPr>
              <w:t>Total = E+R-E</w:t>
            </w:r>
            <w:r w:rsidR="00B54B26" w:rsidRPr="00A619A0">
              <w:rPr>
                <w:rFonts w:ascii="Arial" w:hAnsi="Arial"/>
                <w:sz w:val="20"/>
                <w:szCs w:val="20"/>
                <w:lang w:val="fr-FR"/>
              </w:rPr>
              <w:t xml:space="preserve"> </w:t>
            </w:r>
            <w:r w:rsidRPr="00A619A0">
              <w:rPr>
                <w:rFonts w:ascii="Arial" w:hAnsi="Arial"/>
                <w:sz w:val="20"/>
                <w:szCs w:val="20"/>
                <w:lang w:val="fr-FR"/>
              </w:rPr>
              <w:t>=</w:t>
            </w:r>
            <w:r w:rsidR="00B54B26" w:rsidRPr="00A619A0">
              <w:rPr>
                <w:rFonts w:ascii="Arial" w:hAnsi="Arial"/>
                <w:sz w:val="20"/>
                <w:szCs w:val="20"/>
                <w:lang w:val="fr-FR"/>
              </w:rPr>
              <w:t xml:space="preserve"> </w:t>
            </w:r>
            <w:r w:rsidRPr="00A619A0">
              <w:rPr>
                <w:rFonts w:ascii="Arial" w:hAnsi="Arial"/>
                <w:sz w:val="20"/>
                <w:szCs w:val="20"/>
                <w:lang w:val="fr-FR"/>
              </w:rPr>
              <w:t>R</w:t>
            </w:r>
          </w:p>
        </w:tc>
        <w:tc>
          <w:tcPr>
            <w:tcW w:w="1318" w:type="dxa"/>
          </w:tcPr>
          <w:p w14:paraId="102630F3" w14:textId="77777777" w:rsidR="0085499E" w:rsidRPr="00A619A0" w:rsidRDefault="0085499E" w:rsidP="0085499E">
            <w:pPr>
              <w:jc w:val="both"/>
              <w:rPr>
                <w:rFonts w:ascii="Arial" w:hAnsi="Arial"/>
                <w:sz w:val="22"/>
                <w:lang w:val="fr-FR"/>
              </w:rPr>
            </w:pPr>
          </w:p>
        </w:tc>
        <w:tc>
          <w:tcPr>
            <w:tcW w:w="2693" w:type="dxa"/>
          </w:tcPr>
          <w:p w14:paraId="2430A0C9" w14:textId="235675DA" w:rsidR="0085499E" w:rsidRPr="00A619A0" w:rsidRDefault="0085499E" w:rsidP="0085499E">
            <w:pPr>
              <w:jc w:val="center"/>
              <w:rPr>
                <w:rFonts w:ascii="Arial" w:hAnsi="Arial"/>
                <w:sz w:val="22"/>
                <w:lang w:val="fr-FR"/>
              </w:rPr>
            </w:pPr>
            <w:r w:rsidRPr="00A619A0">
              <w:rPr>
                <w:rFonts w:ascii="Arial" w:hAnsi="Arial"/>
                <w:sz w:val="22"/>
                <w:lang w:val="fr-FR"/>
              </w:rPr>
              <w:t>Total = R</w:t>
            </w:r>
          </w:p>
        </w:tc>
        <w:tc>
          <w:tcPr>
            <w:tcW w:w="593" w:type="dxa"/>
            <w:tcBorders>
              <w:top w:val="nil"/>
              <w:bottom w:val="nil"/>
              <w:right w:val="nil"/>
            </w:tcBorders>
          </w:tcPr>
          <w:p w14:paraId="789515EF" w14:textId="77777777" w:rsidR="0085499E" w:rsidRPr="00A619A0" w:rsidRDefault="0085499E" w:rsidP="0085499E">
            <w:pPr>
              <w:jc w:val="both"/>
              <w:rPr>
                <w:rFonts w:ascii="Arial" w:hAnsi="Arial"/>
                <w:sz w:val="22"/>
                <w:lang w:val="fr-FR"/>
              </w:rPr>
            </w:pPr>
          </w:p>
        </w:tc>
      </w:tr>
    </w:tbl>
    <w:p w14:paraId="1BB61381" w14:textId="77777777" w:rsidR="0085499E" w:rsidRPr="00A619A0" w:rsidRDefault="0085499E" w:rsidP="0085499E">
      <w:pPr>
        <w:jc w:val="both"/>
        <w:rPr>
          <w:rFonts w:ascii="Arial" w:hAnsi="Arial"/>
          <w:sz w:val="22"/>
          <w:lang w:val="fr-FR"/>
        </w:rPr>
      </w:pPr>
    </w:p>
    <w:p w14:paraId="3316FEED" w14:textId="3A547BBF" w:rsidR="0085499E" w:rsidRDefault="00A24099" w:rsidP="0085499E">
      <w:pPr>
        <w:jc w:val="both"/>
        <w:rPr>
          <w:rFonts w:ascii="Arial" w:hAnsi="Arial"/>
          <w:sz w:val="22"/>
          <w:lang w:val="fr-FR"/>
        </w:rPr>
      </w:pPr>
      <w:r>
        <w:rPr>
          <w:rFonts w:ascii="Arial" w:hAnsi="Arial"/>
          <w:sz w:val="22"/>
          <w:lang w:val="fr-FR"/>
        </w:rPr>
        <w:t xml:space="preserve">On observe la présence de cet </w:t>
      </w:r>
      <w:r w:rsidR="009F41CE">
        <w:rPr>
          <w:rFonts w:ascii="Arial" w:hAnsi="Arial"/>
          <w:sz w:val="22"/>
          <w:lang w:val="fr-FR"/>
        </w:rPr>
        <w:t>« </w:t>
      </w:r>
      <w:r>
        <w:rPr>
          <w:rFonts w:ascii="Arial" w:hAnsi="Arial"/>
          <w:sz w:val="22"/>
          <w:lang w:val="fr-FR"/>
        </w:rPr>
        <w:t>actif</w:t>
      </w:r>
      <w:r w:rsidR="009F41CE">
        <w:rPr>
          <w:rFonts w:ascii="Arial" w:hAnsi="Arial"/>
          <w:sz w:val="22"/>
          <w:lang w:val="fr-FR"/>
        </w:rPr>
        <w:t> »</w:t>
      </w:r>
      <w:r>
        <w:rPr>
          <w:rFonts w:ascii="Arial" w:hAnsi="Arial"/>
          <w:sz w:val="22"/>
          <w:lang w:val="fr-FR"/>
        </w:rPr>
        <w:t xml:space="preserve"> particulier qu’est la prime de remboursement</w:t>
      </w:r>
      <w:r w:rsidR="00C507EB">
        <w:rPr>
          <w:rFonts w:ascii="Arial" w:hAnsi="Arial"/>
          <w:sz w:val="22"/>
          <w:lang w:val="fr-FR"/>
        </w:rPr>
        <w:t xml:space="preserve"> qui est amortissable.</w:t>
      </w:r>
    </w:p>
    <w:p w14:paraId="7C80A33A" w14:textId="206AEA11" w:rsidR="00A24099" w:rsidRDefault="00A24099" w:rsidP="0085499E">
      <w:pPr>
        <w:jc w:val="both"/>
        <w:rPr>
          <w:rFonts w:ascii="Arial" w:hAnsi="Arial"/>
          <w:sz w:val="22"/>
          <w:lang w:val="fr-FR"/>
        </w:rPr>
      </w:pPr>
    </w:p>
    <w:p w14:paraId="40A25595" w14:textId="2D851D7B" w:rsidR="001102F1" w:rsidRPr="0069631A" w:rsidRDefault="0069631A" w:rsidP="0085499E">
      <w:pPr>
        <w:jc w:val="both"/>
        <w:rPr>
          <w:rFonts w:ascii="Arial" w:hAnsi="Arial"/>
          <w:b/>
          <w:sz w:val="22"/>
          <w:lang w:val="fr-FR"/>
        </w:rPr>
      </w:pPr>
      <w:r w:rsidRPr="0069631A">
        <w:rPr>
          <w:rFonts w:ascii="Arial" w:hAnsi="Arial"/>
          <w:b/>
          <w:sz w:val="22"/>
          <w:lang w:val="fr-FR"/>
        </w:rPr>
        <w:t>Valeurs mobilières donnant accès au capital ou donnant droit à l'attribution de titres de créance</w:t>
      </w:r>
    </w:p>
    <w:p w14:paraId="025782AC" w14:textId="77777777" w:rsidR="001102F1" w:rsidRPr="001102F1" w:rsidRDefault="001102F1" w:rsidP="001102F1">
      <w:pPr>
        <w:jc w:val="both"/>
        <w:rPr>
          <w:rFonts w:ascii="Arial" w:hAnsi="Arial"/>
          <w:sz w:val="22"/>
          <w:lang w:val="fr-FR"/>
        </w:rPr>
      </w:pPr>
      <w:r w:rsidRPr="001102F1">
        <w:rPr>
          <w:rFonts w:ascii="Arial" w:hAnsi="Arial"/>
          <w:sz w:val="22"/>
          <w:lang w:val="fr-FR"/>
        </w:rPr>
        <w:t>Les sociétés par actions peuvent émettre des valeurs mobilières donnant accès au capital ou donnant droit à l'attribution de titres de créance.</w:t>
      </w:r>
    </w:p>
    <w:p w14:paraId="33756AEA" w14:textId="66C8CD53" w:rsidR="001102F1" w:rsidRDefault="001102F1" w:rsidP="001102F1">
      <w:pPr>
        <w:jc w:val="both"/>
        <w:rPr>
          <w:rFonts w:ascii="Arial" w:hAnsi="Arial"/>
          <w:sz w:val="22"/>
          <w:lang w:val="fr-FR"/>
        </w:rPr>
      </w:pPr>
      <w:r w:rsidRPr="001102F1">
        <w:rPr>
          <w:rFonts w:ascii="Arial" w:hAnsi="Arial"/>
          <w:sz w:val="22"/>
          <w:lang w:val="fr-FR"/>
        </w:rPr>
        <w:lastRenderedPageBreak/>
        <w:t>Les actionnaires d'une société émettant des valeurs mobilières donnant accès au capital ont, proportionnellement au montant de leurs actions, un droit de préférence à la souscription de ces valeurs mobilières.</w:t>
      </w:r>
    </w:p>
    <w:p w14:paraId="4079DA98" w14:textId="6766CEAF" w:rsidR="0069631A" w:rsidRDefault="0069631A" w:rsidP="001102F1">
      <w:pPr>
        <w:jc w:val="both"/>
        <w:rPr>
          <w:rFonts w:ascii="Arial" w:hAnsi="Arial"/>
          <w:sz w:val="22"/>
          <w:lang w:val="fr-FR"/>
        </w:rPr>
      </w:pPr>
      <w:r w:rsidRPr="0069631A">
        <w:rPr>
          <w:rFonts w:ascii="Arial" w:hAnsi="Arial"/>
          <w:sz w:val="22"/>
          <w:lang w:val="fr-FR"/>
        </w:rPr>
        <w:t>Les émissions de valeurs mobilières donnant accès au capital ou donnant droit à l'attribution de titres de créance</w:t>
      </w:r>
      <w:r>
        <w:rPr>
          <w:rFonts w:ascii="Arial" w:hAnsi="Arial"/>
          <w:sz w:val="22"/>
          <w:lang w:val="fr-FR"/>
        </w:rPr>
        <w:t xml:space="preserve"> </w:t>
      </w:r>
      <w:r w:rsidRPr="0069631A">
        <w:rPr>
          <w:rFonts w:ascii="Arial" w:hAnsi="Arial"/>
          <w:sz w:val="22"/>
          <w:lang w:val="fr-FR"/>
        </w:rPr>
        <w:t>sont autorisées par l'assemblée générale extraordinaire des actionnaires</w:t>
      </w:r>
      <w:r>
        <w:rPr>
          <w:rFonts w:ascii="Arial" w:hAnsi="Arial"/>
          <w:sz w:val="22"/>
          <w:lang w:val="fr-FR"/>
        </w:rPr>
        <w:t xml:space="preserve"> qui</w:t>
      </w:r>
      <w:r w:rsidRPr="0069631A">
        <w:rPr>
          <w:rFonts w:ascii="Arial" w:hAnsi="Arial"/>
          <w:sz w:val="22"/>
          <w:lang w:val="fr-FR"/>
        </w:rPr>
        <w:t xml:space="preserve"> se prononce sur le rapport du conseil d'administration ou du directoire et sur le rapport spécial du commissaire aux comptes.</w:t>
      </w:r>
    </w:p>
    <w:p w14:paraId="7B30D212" w14:textId="77777777" w:rsidR="0069631A" w:rsidRPr="0069631A" w:rsidRDefault="0069631A" w:rsidP="0069631A">
      <w:pPr>
        <w:jc w:val="both"/>
        <w:rPr>
          <w:rFonts w:ascii="Arial" w:hAnsi="Arial"/>
          <w:sz w:val="22"/>
          <w:lang w:val="fr-FR"/>
        </w:rPr>
      </w:pPr>
      <w:r w:rsidRPr="0069631A">
        <w:rPr>
          <w:rFonts w:ascii="Arial" w:hAnsi="Arial"/>
          <w:sz w:val="22"/>
          <w:lang w:val="fr-FR"/>
        </w:rPr>
        <w:t>Une société par actions peut émettre des valeurs mobilières donnant accès au capital de la société qui possède directement ou indirectement plus de la moitié de son capital ou de la société dont elle possède directement ou indirectement plus de la moitié du capital.</w:t>
      </w:r>
    </w:p>
    <w:p w14:paraId="38DA0BD4" w14:textId="2004928B" w:rsidR="0069631A" w:rsidRDefault="0069631A" w:rsidP="0069631A">
      <w:pPr>
        <w:jc w:val="both"/>
        <w:rPr>
          <w:rFonts w:ascii="Arial" w:hAnsi="Arial"/>
          <w:sz w:val="22"/>
          <w:lang w:val="fr-FR"/>
        </w:rPr>
      </w:pPr>
      <w:r>
        <w:rPr>
          <w:rFonts w:ascii="Arial" w:hAnsi="Arial"/>
          <w:sz w:val="22"/>
          <w:lang w:val="fr-FR"/>
        </w:rPr>
        <w:t>L</w:t>
      </w:r>
      <w:r w:rsidRPr="0069631A">
        <w:rPr>
          <w:rFonts w:ascii="Arial" w:hAnsi="Arial"/>
          <w:sz w:val="22"/>
          <w:lang w:val="fr-FR"/>
        </w:rPr>
        <w:t>'émission doit être autorisée par l</w:t>
      </w:r>
      <w:r>
        <w:rPr>
          <w:rFonts w:ascii="Arial" w:hAnsi="Arial"/>
          <w:sz w:val="22"/>
          <w:lang w:val="fr-FR"/>
        </w:rPr>
        <w:t>es AGE des deux sociétés.</w:t>
      </w:r>
    </w:p>
    <w:p w14:paraId="6A769FC2" w14:textId="77777777" w:rsidR="0069631A" w:rsidRDefault="0069631A" w:rsidP="0069631A">
      <w:pPr>
        <w:jc w:val="both"/>
        <w:rPr>
          <w:rFonts w:ascii="Arial" w:hAnsi="Arial"/>
          <w:sz w:val="22"/>
          <w:lang w:val="fr-FR"/>
        </w:rPr>
      </w:pPr>
    </w:p>
    <w:p w14:paraId="1C15E5B3" w14:textId="16457167" w:rsidR="00005FF9" w:rsidRPr="0069631A" w:rsidRDefault="00DF5CF3" w:rsidP="0069631A">
      <w:pPr>
        <w:jc w:val="both"/>
        <w:rPr>
          <w:rFonts w:ascii="Arial" w:hAnsi="Arial"/>
          <w:sz w:val="22"/>
          <w:lang w:val="fr-FR"/>
        </w:rPr>
      </w:pPr>
      <w:r w:rsidRPr="0069631A">
        <w:rPr>
          <w:rFonts w:ascii="Arial" w:hAnsi="Arial"/>
          <w:b/>
          <w:sz w:val="22"/>
          <w:lang w:val="fr-FR"/>
        </w:rPr>
        <w:t>E</w:t>
      </w:r>
      <w:r w:rsidR="00355710" w:rsidRPr="0069631A">
        <w:rPr>
          <w:rFonts w:ascii="Arial" w:hAnsi="Arial"/>
          <w:b/>
          <w:sz w:val="22"/>
          <w:lang w:val="fr-FR"/>
        </w:rPr>
        <w:t>mprunts autorisés par l'A.G.E.</w:t>
      </w:r>
      <w:r w:rsidR="00005FF9" w:rsidRPr="0069631A">
        <w:rPr>
          <w:rFonts w:ascii="Arial" w:hAnsi="Arial"/>
          <w:b/>
          <w:sz w:val="22"/>
          <w:lang w:val="fr-FR"/>
        </w:rPr>
        <w:t xml:space="preserve"> </w:t>
      </w:r>
      <w:r w:rsidR="00005FF9" w:rsidRPr="0069631A">
        <w:rPr>
          <w:rFonts w:ascii="Arial" w:hAnsi="Arial"/>
          <w:sz w:val="22"/>
          <w:lang w:val="fr-FR"/>
        </w:rPr>
        <w:t>car donnant accès au capital</w:t>
      </w:r>
      <w:r w:rsidRPr="0069631A">
        <w:rPr>
          <w:rFonts w:ascii="Arial" w:hAnsi="Arial"/>
          <w:b/>
          <w:sz w:val="22"/>
          <w:lang w:val="fr-FR"/>
        </w:rPr>
        <w:t xml:space="preserve"> : </w:t>
      </w:r>
      <w:r w:rsidR="00CD6CB9" w:rsidRPr="0069631A">
        <w:rPr>
          <w:rFonts w:ascii="Arial" w:hAnsi="Arial"/>
          <w:sz w:val="22"/>
          <w:lang w:val="fr-FR"/>
        </w:rPr>
        <w:t>tous ceux qui établissent un lien entre obligations et actions</w:t>
      </w:r>
      <w:r w:rsidR="00355710" w:rsidRPr="0069631A">
        <w:rPr>
          <w:rFonts w:ascii="Arial" w:hAnsi="Arial"/>
          <w:sz w:val="22"/>
          <w:lang w:val="fr-FR"/>
        </w:rPr>
        <w:t xml:space="preserve">. </w:t>
      </w:r>
      <w:r w:rsidR="00941E07" w:rsidRPr="0069631A">
        <w:rPr>
          <w:rFonts w:ascii="Arial" w:hAnsi="Arial"/>
          <w:sz w:val="22"/>
          <w:lang w:val="fr-FR"/>
        </w:rPr>
        <w:t>Les actions peuvent être nouvelles, mais il peut aussi s’agir d’actions existantes. Ces emprunts</w:t>
      </w:r>
      <w:r w:rsidR="00355710" w:rsidRPr="0069631A">
        <w:rPr>
          <w:rFonts w:ascii="Arial" w:hAnsi="Arial"/>
          <w:sz w:val="22"/>
          <w:lang w:val="fr-FR"/>
        </w:rPr>
        <w:t xml:space="preserve"> permettent de proposer aux obligataires d’être</w:t>
      </w:r>
      <w:r w:rsidR="00005FF9" w:rsidRPr="0069631A">
        <w:rPr>
          <w:rFonts w:ascii="Arial" w:hAnsi="Arial"/>
          <w:sz w:val="22"/>
          <w:lang w:val="fr-FR"/>
        </w:rPr>
        <w:t> :</w:t>
      </w:r>
    </w:p>
    <w:p w14:paraId="0C0B4939" w14:textId="77777777" w:rsidR="00005FF9" w:rsidRPr="00A619A0" w:rsidRDefault="00355710" w:rsidP="00005FF9">
      <w:pPr>
        <w:pStyle w:val="Paragraphedeliste"/>
        <w:numPr>
          <w:ilvl w:val="1"/>
          <w:numId w:val="6"/>
        </w:numPr>
        <w:jc w:val="both"/>
        <w:rPr>
          <w:rFonts w:ascii="Arial" w:hAnsi="Arial"/>
          <w:sz w:val="22"/>
          <w:lang w:val="fr-FR"/>
        </w:rPr>
      </w:pPr>
      <w:proofErr w:type="gramStart"/>
      <w:r w:rsidRPr="00A619A0">
        <w:rPr>
          <w:rFonts w:ascii="Arial" w:hAnsi="Arial"/>
          <w:b/>
          <w:sz w:val="22"/>
          <w:lang w:val="fr-FR"/>
        </w:rPr>
        <w:t>obligataire</w:t>
      </w:r>
      <w:proofErr w:type="gramEnd"/>
      <w:r w:rsidRPr="00A619A0">
        <w:rPr>
          <w:rFonts w:ascii="Arial" w:hAnsi="Arial"/>
          <w:b/>
          <w:sz w:val="22"/>
          <w:lang w:val="fr-FR"/>
        </w:rPr>
        <w:t xml:space="preserve"> ou actionnaire</w:t>
      </w:r>
      <w:r w:rsidRPr="00A619A0">
        <w:rPr>
          <w:rFonts w:ascii="Arial" w:hAnsi="Arial"/>
          <w:sz w:val="22"/>
          <w:lang w:val="fr-FR"/>
        </w:rPr>
        <w:t>,</w:t>
      </w:r>
    </w:p>
    <w:p w14:paraId="4A6C420D" w14:textId="6AF4C2F9" w:rsidR="00005FF9" w:rsidRPr="00A619A0" w:rsidRDefault="00025FF3" w:rsidP="00005FF9">
      <w:pPr>
        <w:pStyle w:val="Paragraphedeliste"/>
        <w:numPr>
          <w:ilvl w:val="1"/>
          <w:numId w:val="6"/>
        </w:numPr>
        <w:jc w:val="both"/>
        <w:rPr>
          <w:rFonts w:ascii="Arial" w:hAnsi="Arial"/>
          <w:sz w:val="22"/>
          <w:lang w:val="fr-FR"/>
        </w:rPr>
      </w:pPr>
      <w:proofErr w:type="gramStart"/>
      <w:r w:rsidRPr="00A619A0">
        <w:rPr>
          <w:rFonts w:ascii="Arial" w:hAnsi="Arial"/>
          <w:b/>
          <w:sz w:val="22"/>
          <w:lang w:val="fr-FR"/>
        </w:rPr>
        <w:t>obligataire</w:t>
      </w:r>
      <w:proofErr w:type="gramEnd"/>
      <w:r w:rsidRPr="00A619A0">
        <w:rPr>
          <w:rFonts w:ascii="Arial" w:hAnsi="Arial"/>
          <w:b/>
          <w:sz w:val="22"/>
          <w:lang w:val="fr-FR"/>
        </w:rPr>
        <w:t xml:space="preserve"> puis</w:t>
      </w:r>
      <w:r w:rsidR="00355710" w:rsidRPr="00A619A0">
        <w:rPr>
          <w:rFonts w:ascii="Arial" w:hAnsi="Arial"/>
          <w:b/>
          <w:sz w:val="22"/>
          <w:lang w:val="fr-FR"/>
        </w:rPr>
        <w:t xml:space="preserve"> actionnaire</w:t>
      </w:r>
      <w:r w:rsidR="00355710" w:rsidRPr="00A619A0">
        <w:rPr>
          <w:rFonts w:ascii="Arial" w:hAnsi="Arial"/>
          <w:sz w:val="22"/>
          <w:lang w:val="fr-FR"/>
        </w:rPr>
        <w:t>,</w:t>
      </w:r>
    </w:p>
    <w:p w14:paraId="60BBE236" w14:textId="5ED07148" w:rsidR="00005FF9" w:rsidRPr="00A619A0" w:rsidRDefault="00025FF3" w:rsidP="00005FF9">
      <w:pPr>
        <w:pStyle w:val="Paragraphedeliste"/>
        <w:numPr>
          <w:ilvl w:val="1"/>
          <w:numId w:val="6"/>
        </w:numPr>
        <w:jc w:val="both"/>
        <w:rPr>
          <w:rFonts w:ascii="Arial" w:hAnsi="Arial"/>
          <w:sz w:val="22"/>
          <w:lang w:val="fr-FR"/>
        </w:rPr>
      </w:pPr>
      <w:proofErr w:type="gramStart"/>
      <w:r w:rsidRPr="00A619A0">
        <w:rPr>
          <w:rFonts w:ascii="Arial" w:hAnsi="Arial"/>
          <w:b/>
          <w:sz w:val="22"/>
          <w:lang w:val="fr-FR"/>
        </w:rPr>
        <w:t>obligataire</w:t>
      </w:r>
      <w:proofErr w:type="gramEnd"/>
      <w:r w:rsidRPr="00A619A0">
        <w:rPr>
          <w:rFonts w:ascii="Arial" w:hAnsi="Arial"/>
          <w:b/>
          <w:sz w:val="22"/>
          <w:lang w:val="fr-FR"/>
        </w:rPr>
        <w:t xml:space="preserve"> et</w:t>
      </w:r>
      <w:r w:rsidR="00355710" w:rsidRPr="00A619A0">
        <w:rPr>
          <w:rFonts w:ascii="Arial" w:hAnsi="Arial"/>
          <w:b/>
          <w:sz w:val="22"/>
          <w:lang w:val="fr-FR"/>
        </w:rPr>
        <w:t xml:space="preserve"> actionnaire</w:t>
      </w:r>
      <w:r w:rsidR="00005FF9" w:rsidRPr="00A619A0">
        <w:rPr>
          <w:rFonts w:ascii="Arial" w:hAnsi="Arial"/>
          <w:sz w:val="22"/>
          <w:lang w:val="fr-FR"/>
        </w:rPr>
        <w:t>,</w:t>
      </w:r>
    </w:p>
    <w:p w14:paraId="298EAB64" w14:textId="62EA9A53" w:rsidR="00355710" w:rsidRPr="00A619A0" w:rsidRDefault="00355710" w:rsidP="00005FF9">
      <w:pPr>
        <w:pStyle w:val="Paragraphedeliste"/>
        <w:numPr>
          <w:ilvl w:val="1"/>
          <w:numId w:val="6"/>
        </w:numPr>
        <w:jc w:val="both"/>
        <w:rPr>
          <w:rFonts w:ascii="Arial" w:hAnsi="Arial"/>
          <w:sz w:val="22"/>
          <w:lang w:val="fr-FR"/>
        </w:rPr>
      </w:pPr>
      <w:proofErr w:type="gramStart"/>
      <w:r w:rsidRPr="00A619A0">
        <w:rPr>
          <w:rFonts w:ascii="Arial" w:hAnsi="Arial"/>
          <w:b/>
          <w:sz w:val="22"/>
          <w:lang w:val="fr-FR"/>
        </w:rPr>
        <w:t>encore</w:t>
      </w:r>
      <w:proofErr w:type="gramEnd"/>
      <w:r w:rsidRPr="00A619A0">
        <w:rPr>
          <w:rFonts w:ascii="Arial" w:hAnsi="Arial"/>
          <w:b/>
          <w:sz w:val="22"/>
          <w:lang w:val="fr-FR"/>
        </w:rPr>
        <w:t xml:space="preserve"> plus obligataire </w:t>
      </w:r>
      <w:r w:rsidRPr="00A619A0">
        <w:rPr>
          <w:rFonts w:ascii="Arial" w:hAnsi="Arial"/>
          <w:sz w:val="22"/>
          <w:lang w:val="fr-FR"/>
        </w:rPr>
        <w:t>!</w:t>
      </w:r>
    </w:p>
    <w:p w14:paraId="5D2F486E" w14:textId="195FD728" w:rsidR="00AF13C3" w:rsidRPr="00A619A0" w:rsidRDefault="00AF13C3" w:rsidP="00005FF9">
      <w:pPr>
        <w:pStyle w:val="Paragraphedeliste"/>
        <w:numPr>
          <w:ilvl w:val="1"/>
          <w:numId w:val="6"/>
        </w:numPr>
        <w:jc w:val="both"/>
        <w:rPr>
          <w:rFonts w:ascii="Arial" w:hAnsi="Arial"/>
          <w:sz w:val="22"/>
          <w:lang w:val="fr-FR"/>
        </w:rPr>
      </w:pPr>
      <w:proofErr w:type="gramStart"/>
      <w:r w:rsidRPr="00A619A0">
        <w:rPr>
          <w:rFonts w:ascii="Arial" w:hAnsi="Arial"/>
          <w:b/>
          <w:sz w:val="22"/>
          <w:lang w:val="fr-FR"/>
        </w:rPr>
        <w:t>toujours</w:t>
      </w:r>
      <w:proofErr w:type="gramEnd"/>
      <w:r w:rsidRPr="00A619A0">
        <w:rPr>
          <w:rFonts w:ascii="Arial" w:hAnsi="Arial"/>
          <w:b/>
          <w:sz w:val="22"/>
          <w:lang w:val="fr-FR"/>
        </w:rPr>
        <w:t xml:space="preserve"> obligataire </w:t>
      </w:r>
      <w:r w:rsidRPr="00A619A0">
        <w:rPr>
          <w:rFonts w:ascii="Arial" w:hAnsi="Arial"/>
          <w:sz w:val="22"/>
          <w:lang w:val="fr-FR"/>
        </w:rPr>
        <w:t>?</w:t>
      </w:r>
    </w:p>
    <w:p w14:paraId="14675F5C" w14:textId="6151EBBA" w:rsidR="00355710" w:rsidRPr="00A619A0" w:rsidRDefault="00355710" w:rsidP="00355710">
      <w:pPr>
        <w:tabs>
          <w:tab w:val="left" w:pos="1240"/>
        </w:tabs>
        <w:jc w:val="both"/>
        <w:rPr>
          <w:rFonts w:ascii="Arial" w:hAnsi="Arial"/>
          <w:sz w:val="22"/>
          <w:lang w:val="fr-FR"/>
        </w:rPr>
      </w:pPr>
      <w:r w:rsidRPr="00A619A0">
        <w:rPr>
          <w:rFonts w:ascii="Arial" w:hAnsi="Arial"/>
          <w:sz w:val="22"/>
          <w:lang w:val="fr-FR"/>
        </w:rPr>
        <w:t xml:space="preserve"> </w:t>
      </w:r>
    </w:p>
    <w:p w14:paraId="0CCDD94C" w14:textId="77777777" w:rsidR="00AF13C3" w:rsidRPr="00A619A0" w:rsidRDefault="00AF13C3" w:rsidP="00355710">
      <w:pPr>
        <w:tabs>
          <w:tab w:val="left" w:pos="1240"/>
        </w:tabs>
        <w:jc w:val="both"/>
        <w:rPr>
          <w:rFonts w:ascii="Arial" w:hAnsi="Arial"/>
          <w:sz w:val="22"/>
          <w:lang w:val="fr-FR"/>
        </w:rPr>
      </w:pPr>
    </w:p>
    <w:p w14:paraId="47FBFA67" w14:textId="77777777" w:rsidR="00AF13C3" w:rsidRPr="00A619A0" w:rsidRDefault="00AF13C3" w:rsidP="00355710">
      <w:pPr>
        <w:tabs>
          <w:tab w:val="left" w:pos="1240"/>
        </w:tabs>
        <w:jc w:val="both"/>
        <w:rPr>
          <w:rFonts w:ascii="Arial" w:hAnsi="Arial"/>
          <w:sz w:val="22"/>
          <w:lang w:val="fr-FR"/>
        </w:rPr>
      </w:pPr>
    </w:p>
    <w:p w14:paraId="5A455D15" w14:textId="12CC2F09" w:rsidR="00AF13C3" w:rsidRPr="00A619A0" w:rsidRDefault="00AF13C3" w:rsidP="00AF13C3">
      <w:pPr>
        <w:tabs>
          <w:tab w:val="left" w:pos="1240"/>
        </w:tabs>
        <w:jc w:val="both"/>
        <w:rPr>
          <w:rFonts w:ascii="Arial" w:hAnsi="Arial"/>
          <w:b/>
          <w:sz w:val="22"/>
          <w:lang w:val="fr-FR"/>
        </w:rPr>
      </w:pPr>
      <w:r w:rsidRPr="00A619A0">
        <w:rPr>
          <w:rFonts w:ascii="Arial" w:hAnsi="Arial"/>
          <w:b/>
          <w:sz w:val="22"/>
          <w:lang w:val="fr-FR"/>
        </w:rPr>
        <w:t xml:space="preserve">A) </w:t>
      </w:r>
      <w:r w:rsidRPr="00A619A0">
        <w:rPr>
          <w:rFonts w:ascii="Arial" w:hAnsi="Arial"/>
          <w:b/>
          <w:bCs/>
          <w:caps/>
          <w:sz w:val="22"/>
          <w:lang w:val="fr-FR"/>
        </w:rPr>
        <w:t xml:space="preserve">Obligataire </w:t>
      </w:r>
      <w:r w:rsidRPr="00A619A0">
        <w:rPr>
          <w:rFonts w:ascii="Arial" w:hAnsi="Arial"/>
          <w:b/>
          <w:bCs/>
          <w:caps/>
          <w:sz w:val="28"/>
          <w:szCs w:val="28"/>
          <w:u w:val="single"/>
          <w:lang w:val="fr-FR"/>
        </w:rPr>
        <w:t>ou</w:t>
      </w:r>
      <w:r w:rsidRPr="00A619A0">
        <w:rPr>
          <w:rFonts w:ascii="Arial" w:hAnsi="Arial"/>
          <w:b/>
          <w:bCs/>
          <w:caps/>
          <w:sz w:val="22"/>
          <w:lang w:val="fr-FR"/>
        </w:rPr>
        <w:t xml:space="preserve"> actionnaire </w:t>
      </w:r>
      <w:r w:rsidRPr="00A619A0">
        <w:rPr>
          <w:rFonts w:ascii="Arial" w:hAnsi="Arial"/>
          <w:b/>
          <w:sz w:val="22"/>
          <w:lang w:val="fr-FR"/>
        </w:rPr>
        <w:t xml:space="preserve">: </w:t>
      </w:r>
      <w:r w:rsidR="00207741" w:rsidRPr="00A619A0">
        <w:rPr>
          <w:rFonts w:ascii="Arial" w:hAnsi="Arial"/>
          <w:b/>
          <w:sz w:val="22"/>
          <w:lang w:val="fr-FR"/>
        </w:rPr>
        <w:t>O</w:t>
      </w:r>
      <w:r w:rsidR="00174C3B" w:rsidRPr="00A619A0">
        <w:rPr>
          <w:rFonts w:ascii="Arial" w:hAnsi="Arial"/>
          <w:b/>
          <w:sz w:val="22"/>
          <w:lang w:val="fr-FR"/>
        </w:rPr>
        <w:t xml:space="preserve">bligations </w:t>
      </w:r>
      <w:r w:rsidR="00174C3B" w:rsidRPr="005E7827">
        <w:rPr>
          <w:rFonts w:ascii="Arial" w:hAnsi="Arial"/>
          <w:b/>
          <w:bCs/>
          <w:caps/>
          <w:sz w:val="22"/>
          <w:szCs w:val="22"/>
          <w:lang w:val="fr-FR"/>
        </w:rPr>
        <w:t>échangeables</w:t>
      </w:r>
      <w:r w:rsidR="00174C3B" w:rsidRPr="00A619A0">
        <w:rPr>
          <w:rFonts w:ascii="Arial" w:hAnsi="Arial"/>
          <w:b/>
          <w:sz w:val="22"/>
          <w:lang w:val="fr-FR"/>
        </w:rPr>
        <w:t xml:space="preserve"> contre des actions</w:t>
      </w:r>
    </w:p>
    <w:p w14:paraId="22523D07" w14:textId="561C19B0" w:rsidR="00AF13C3" w:rsidRPr="009F41CE" w:rsidRDefault="006C2E18" w:rsidP="00174C3B">
      <w:pPr>
        <w:tabs>
          <w:tab w:val="left" w:pos="1240"/>
        </w:tabs>
        <w:jc w:val="both"/>
        <w:rPr>
          <w:rFonts w:ascii="Arial" w:hAnsi="Arial"/>
          <w:b/>
          <w:sz w:val="22"/>
          <w:lang w:val="fr-FR"/>
        </w:rPr>
      </w:pPr>
      <w:r>
        <w:rPr>
          <w:rFonts w:ascii="Arial" w:hAnsi="Arial"/>
          <w:sz w:val="22"/>
          <w:lang w:val="fr-FR"/>
        </w:rPr>
        <w:t>Deux catégories de titres sont en jeu en même temps : des obligations et des actions, les actions étant</w:t>
      </w:r>
      <w:r w:rsidR="000024B5" w:rsidRPr="00A619A0">
        <w:rPr>
          <w:rFonts w:ascii="Arial" w:hAnsi="Arial"/>
          <w:sz w:val="22"/>
          <w:lang w:val="fr-FR"/>
        </w:rPr>
        <w:t xml:space="preserve"> autres que celles de la société émettrice de l’emprunt</w:t>
      </w:r>
      <w:r w:rsidR="00174C3B" w:rsidRPr="00A619A0">
        <w:rPr>
          <w:rFonts w:ascii="Arial" w:hAnsi="Arial"/>
          <w:sz w:val="22"/>
          <w:lang w:val="fr-FR"/>
        </w:rPr>
        <w:t> :</w:t>
      </w:r>
    </w:p>
    <w:p w14:paraId="6E17F5B2" w14:textId="77777777" w:rsidR="005C3008" w:rsidRPr="00A619A0" w:rsidRDefault="005C3008" w:rsidP="00174C3B">
      <w:pPr>
        <w:tabs>
          <w:tab w:val="left" w:pos="1240"/>
        </w:tabs>
        <w:jc w:val="both"/>
        <w:rPr>
          <w:rFonts w:ascii="Arial" w:hAnsi="Arial"/>
          <w:sz w:val="22"/>
          <w:lang w:val="fr-FR"/>
        </w:rPr>
      </w:pPr>
    </w:p>
    <w:p w14:paraId="3B1DF841" w14:textId="77777777" w:rsidR="00FC476E" w:rsidRPr="009F41CE" w:rsidRDefault="00FC476E" w:rsidP="00FC476E">
      <w:pPr>
        <w:pBdr>
          <w:top w:val="single" w:sz="4" w:space="1" w:color="auto"/>
          <w:left w:val="single" w:sz="4" w:space="4" w:color="auto"/>
          <w:bottom w:val="single" w:sz="4" w:space="0" w:color="auto"/>
          <w:right w:val="single" w:sz="4" w:space="4" w:color="auto"/>
        </w:pBdr>
        <w:tabs>
          <w:tab w:val="left" w:pos="1240"/>
        </w:tabs>
        <w:jc w:val="both"/>
        <w:rPr>
          <w:rFonts w:ascii="Arial" w:hAnsi="Arial"/>
          <w:b/>
          <w:bCs/>
          <w:i/>
          <w:iCs/>
          <w:caps/>
          <w:sz w:val="20"/>
          <w:szCs w:val="20"/>
          <w:lang w:val="fr-FR"/>
        </w:rPr>
      </w:pPr>
      <w:r w:rsidRPr="009F41CE">
        <w:rPr>
          <w:rFonts w:ascii="Arial" w:hAnsi="Arial"/>
          <w:b/>
          <w:bCs/>
          <w:i/>
          <w:iCs/>
          <w:caps/>
          <w:sz w:val="20"/>
          <w:szCs w:val="20"/>
          <w:lang w:val="fr-FR"/>
        </w:rPr>
        <w:t>Suez Envt : GBL lance une émission d'obligations échangeables</w:t>
      </w:r>
    </w:p>
    <w:p w14:paraId="07C9BB72" w14:textId="77777777" w:rsidR="00FC476E" w:rsidRPr="009F41CE" w:rsidRDefault="00FC476E" w:rsidP="00FC476E">
      <w:pPr>
        <w:pBdr>
          <w:top w:val="single" w:sz="4" w:space="1" w:color="auto"/>
          <w:left w:val="single" w:sz="4" w:space="4" w:color="auto"/>
          <w:bottom w:val="single" w:sz="4" w:space="0" w:color="auto"/>
          <w:right w:val="single" w:sz="4" w:space="4" w:color="auto"/>
        </w:pBdr>
        <w:tabs>
          <w:tab w:val="left" w:pos="1240"/>
        </w:tabs>
        <w:jc w:val="both"/>
        <w:rPr>
          <w:rFonts w:ascii="Arial" w:hAnsi="Arial"/>
          <w:i/>
          <w:sz w:val="20"/>
          <w:szCs w:val="20"/>
          <w:lang w:val="fr-FR"/>
        </w:rPr>
      </w:pPr>
      <w:r w:rsidRPr="009F41CE">
        <w:rPr>
          <w:rFonts w:ascii="Arial" w:hAnsi="Arial"/>
          <w:i/>
          <w:sz w:val="20"/>
          <w:szCs w:val="20"/>
          <w:lang w:val="fr-FR"/>
        </w:rPr>
        <w:t xml:space="preserve">07/09/2012| </w:t>
      </w:r>
      <w:proofErr w:type="gramStart"/>
      <w:r w:rsidRPr="009F41CE">
        <w:rPr>
          <w:rFonts w:ascii="Arial" w:hAnsi="Arial"/>
          <w:i/>
          <w:sz w:val="20"/>
          <w:szCs w:val="20"/>
          <w:lang w:val="fr-FR"/>
        </w:rPr>
        <w:t>09:</w:t>
      </w:r>
      <w:proofErr w:type="gramEnd"/>
      <w:r w:rsidRPr="009F41CE">
        <w:rPr>
          <w:rFonts w:ascii="Arial" w:hAnsi="Arial"/>
          <w:i/>
          <w:sz w:val="20"/>
          <w:szCs w:val="20"/>
          <w:lang w:val="fr-FR"/>
        </w:rPr>
        <w:t>45</w:t>
      </w:r>
    </w:p>
    <w:p w14:paraId="71462175" w14:textId="6187F0A2" w:rsidR="00FC476E" w:rsidRPr="009F41CE" w:rsidRDefault="00FC476E" w:rsidP="00FC476E">
      <w:pPr>
        <w:pBdr>
          <w:top w:val="single" w:sz="4" w:space="1" w:color="auto"/>
          <w:left w:val="single" w:sz="4" w:space="4" w:color="auto"/>
          <w:bottom w:val="single" w:sz="4" w:space="0" w:color="auto"/>
          <w:right w:val="single" w:sz="4" w:space="4" w:color="auto"/>
        </w:pBdr>
        <w:tabs>
          <w:tab w:val="left" w:pos="1240"/>
        </w:tabs>
        <w:jc w:val="both"/>
        <w:rPr>
          <w:rFonts w:ascii="Arial" w:hAnsi="Arial"/>
          <w:i/>
          <w:sz w:val="20"/>
          <w:szCs w:val="20"/>
          <w:lang w:val="fr-FR"/>
        </w:rPr>
      </w:pPr>
      <w:r w:rsidRPr="009F41CE">
        <w:rPr>
          <w:rFonts w:ascii="Arial" w:hAnsi="Arial"/>
          <w:b/>
          <w:i/>
          <w:sz w:val="20"/>
          <w:szCs w:val="20"/>
          <w:lang w:val="fr-FR"/>
        </w:rPr>
        <w:t>GBL</w:t>
      </w:r>
      <w:r w:rsidRPr="009F41CE">
        <w:rPr>
          <w:rFonts w:ascii="Arial" w:hAnsi="Arial"/>
          <w:i/>
          <w:sz w:val="20"/>
          <w:szCs w:val="20"/>
          <w:lang w:val="fr-FR"/>
        </w:rPr>
        <w:t xml:space="preserve"> (Groupe Bruxelles Lambert) annonce le lancement d'une émission d'obligations </w:t>
      </w:r>
      <w:r w:rsidRPr="009F41CE">
        <w:rPr>
          <w:rFonts w:ascii="Arial" w:hAnsi="Arial"/>
          <w:b/>
          <w:i/>
          <w:sz w:val="20"/>
          <w:szCs w:val="20"/>
          <w:lang w:val="fr-FR"/>
        </w:rPr>
        <w:t>échangeable</w:t>
      </w:r>
      <w:r w:rsidRPr="009F41CE">
        <w:rPr>
          <w:rFonts w:ascii="Arial" w:hAnsi="Arial"/>
          <w:i/>
          <w:sz w:val="20"/>
          <w:szCs w:val="20"/>
          <w:lang w:val="fr-FR"/>
        </w:rPr>
        <w:t xml:space="preserve">s en actions existantes ordinaires de </w:t>
      </w:r>
      <w:r w:rsidRPr="009F41CE">
        <w:rPr>
          <w:rFonts w:ascii="Arial" w:hAnsi="Arial"/>
          <w:b/>
          <w:i/>
          <w:sz w:val="20"/>
          <w:szCs w:val="20"/>
          <w:lang w:val="fr-FR"/>
        </w:rPr>
        <w:t>Suez Environnement</w:t>
      </w:r>
      <w:r w:rsidRPr="009F41CE">
        <w:rPr>
          <w:rFonts w:ascii="Arial" w:hAnsi="Arial"/>
          <w:i/>
          <w:sz w:val="20"/>
          <w:szCs w:val="20"/>
          <w:lang w:val="fr-FR"/>
        </w:rPr>
        <w:t xml:space="preserve"> pour un montant d'environ 400 millions d'euros.</w:t>
      </w:r>
    </w:p>
    <w:p w14:paraId="514F8349" w14:textId="19BAED4C" w:rsidR="00FC476E" w:rsidRPr="009F41CE" w:rsidRDefault="00FC476E" w:rsidP="00FC476E">
      <w:pPr>
        <w:pBdr>
          <w:top w:val="single" w:sz="4" w:space="1" w:color="auto"/>
          <w:left w:val="single" w:sz="4" w:space="4" w:color="auto"/>
          <w:bottom w:val="single" w:sz="4" w:space="0" w:color="auto"/>
          <w:right w:val="single" w:sz="4" w:space="4" w:color="auto"/>
        </w:pBdr>
        <w:tabs>
          <w:tab w:val="left" w:pos="1240"/>
        </w:tabs>
        <w:jc w:val="both"/>
        <w:rPr>
          <w:rFonts w:ascii="Arial" w:hAnsi="Arial"/>
          <w:i/>
          <w:sz w:val="20"/>
          <w:szCs w:val="20"/>
          <w:lang w:val="fr-FR"/>
        </w:rPr>
      </w:pPr>
      <w:r w:rsidRPr="009F41CE">
        <w:rPr>
          <w:rFonts w:ascii="Arial" w:hAnsi="Arial"/>
          <w:i/>
          <w:sz w:val="20"/>
          <w:szCs w:val="20"/>
          <w:lang w:val="fr-FR"/>
        </w:rPr>
        <w:t>Les porteurs d'obligations pourront demander l'échange de leurs obligations contre des actions Suez Environnement, sous réserve de la faculté de GBL de payer en numéraire tout ou partie de la valeur des actions Suez Environnement en substitution de leur échange.</w:t>
      </w:r>
    </w:p>
    <w:p w14:paraId="726C719E" w14:textId="37E2FAC3" w:rsidR="00174C3B" w:rsidRPr="009F41CE" w:rsidRDefault="005766E4" w:rsidP="00FC476E">
      <w:pPr>
        <w:pBdr>
          <w:top w:val="single" w:sz="4" w:space="1" w:color="auto"/>
          <w:left w:val="single" w:sz="4" w:space="4" w:color="auto"/>
          <w:bottom w:val="single" w:sz="4" w:space="0" w:color="auto"/>
          <w:right w:val="single" w:sz="4" w:space="4" w:color="auto"/>
        </w:pBdr>
        <w:tabs>
          <w:tab w:val="left" w:pos="1240"/>
        </w:tabs>
        <w:jc w:val="both"/>
        <w:rPr>
          <w:rFonts w:ascii="Arial" w:hAnsi="Arial"/>
          <w:i/>
          <w:sz w:val="20"/>
          <w:szCs w:val="20"/>
          <w:lang w:val="fr-FR"/>
        </w:rPr>
      </w:pPr>
      <w:r w:rsidRPr="009F41CE">
        <w:rPr>
          <w:rFonts w:ascii="Arial" w:hAnsi="Arial"/>
          <w:i/>
          <w:sz w:val="20"/>
          <w:szCs w:val="20"/>
          <w:lang w:val="fr-FR"/>
        </w:rPr>
        <w:t>Les obligation</w:t>
      </w:r>
      <w:r w:rsidR="00FC476E" w:rsidRPr="009F41CE">
        <w:rPr>
          <w:rFonts w:ascii="Arial" w:hAnsi="Arial"/>
          <w:i/>
          <w:sz w:val="20"/>
          <w:szCs w:val="20"/>
          <w:lang w:val="fr-FR"/>
        </w:rPr>
        <w:t>s auront une maturité de trois ans et porteront intérêt à un taux annuel compris entre 0,0% et 0,5%. Elles seront remboursées au pair le 21 septembre 2015, sous réserve de l'option exerçable par GBL de remettre des actions Suez Environnement aux porteurs des obligations et de payer, le cas échéant, en numéraire le solde entre la valeur des actions à livrer et le nominal des obligations.</w:t>
      </w:r>
      <w:r w:rsidR="00174C3B" w:rsidRPr="009F41CE">
        <w:rPr>
          <w:rFonts w:ascii="Arial" w:hAnsi="Arial"/>
          <w:i/>
          <w:sz w:val="20"/>
          <w:szCs w:val="20"/>
          <w:lang w:val="fr-FR"/>
        </w:rPr>
        <w:t xml:space="preserve"> </w:t>
      </w:r>
    </w:p>
    <w:p w14:paraId="018F652D" w14:textId="0F87A314" w:rsidR="00FC476E" w:rsidRPr="00A619A0" w:rsidRDefault="00FC476E" w:rsidP="002322E8">
      <w:pPr>
        <w:tabs>
          <w:tab w:val="left" w:pos="1240"/>
        </w:tabs>
        <w:jc w:val="both"/>
        <w:rPr>
          <w:rFonts w:ascii="Arial" w:hAnsi="Arial"/>
          <w:sz w:val="22"/>
          <w:lang w:val="fr-FR"/>
        </w:rPr>
      </w:pPr>
    </w:p>
    <w:p w14:paraId="3932296F" w14:textId="77777777" w:rsidR="00AF13C3" w:rsidRPr="00A619A0" w:rsidRDefault="00AF13C3">
      <w:pPr>
        <w:tabs>
          <w:tab w:val="left" w:pos="1240"/>
        </w:tabs>
        <w:jc w:val="both"/>
        <w:rPr>
          <w:rFonts w:ascii="Arial" w:hAnsi="Arial"/>
          <w:sz w:val="22"/>
          <w:lang w:val="fr-FR"/>
        </w:rPr>
      </w:pPr>
    </w:p>
    <w:p w14:paraId="269CAFD8" w14:textId="5BDAF510" w:rsidR="00AF13C3" w:rsidRPr="00A619A0" w:rsidRDefault="00AF13C3" w:rsidP="00AF13C3">
      <w:pPr>
        <w:tabs>
          <w:tab w:val="left" w:pos="1240"/>
        </w:tabs>
        <w:jc w:val="both"/>
        <w:rPr>
          <w:rFonts w:ascii="Arial" w:hAnsi="Arial"/>
          <w:b/>
          <w:sz w:val="22"/>
          <w:lang w:val="fr-FR"/>
        </w:rPr>
      </w:pPr>
      <w:r w:rsidRPr="00A619A0">
        <w:rPr>
          <w:rFonts w:ascii="Arial" w:hAnsi="Arial"/>
          <w:b/>
          <w:sz w:val="22"/>
          <w:lang w:val="fr-FR"/>
        </w:rPr>
        <w:t xml:space="preserve">B) </w:t>
      </w:r>
      <w:r w:rsidRPr="00A619A0">
        <w:rPr>
          <w:rFonts w:ascii="Arial" w:hAnsi="Arial"/>
          <w:b/>
          <w:bCs/>
          <w:caps/>
          <w:sz w:val="22"/>
          <w:lang w:val="fr-FR"/>
        </w:rPr>
        <w:t xml:space="preserve">Obligataire </w:t>
      </w:r>
      <w:r w:rsidRPr="00A619A0">
        <w:rPr>
          <w:rFonts w:ascii="Arial" w:hAnsi="Arial"/>
          <w:b/>
          <w:bCs/>
          <w:caps/>
          <w:sz w:val="28"/>
          <w:szCs w:val="28"/>
          <w:u w:val="single"/>
          <w:lang w:val="fr-FR"/>
        </w:rPr>
        <w:t>puis</w:t>
      </w:r>
      <w:r w:rsidRPr="00A619A0">
        <w:rPr>
          <w:rFonts w:ascii="Arial" w:hAnsi="Arial"/>
          <w:b/>
          <w:bCs/>
          <w:caps/>
          <w:sz w:val="22"/>
          <w:lang w:val="fr-FR"/>
        </w:rPr>
        <w:t xml:space="preserve"> actionnaire</w:t>
      </w:r>
    </w:p>
    <w:p w14:paraId="26C83BBA" w14:textId="683DDCAE" w:rsidR="000151DF" w:rsidRPr="00A619A0" w:rsidRDefault="000151DF" w:rsidP="00AF13C3">
      <w:pPr>
        <w:tabs>
          <w:tab w:val="left" w:pos="1240"/>
        </w:tabs>
        <w:jc w:val="both"/>
        <w:rPr>
          <w:rFonts w:ascii="Arial" w:hAnsi="Arial"/>
          <w:b/>
          <w:sz w:val="22"/>
          <w:lang w:val="fr-FR"/>
        </w:rPr>
      </w:pPr>
      <w:r w:rsidRPr="00A619A0">
        <w:rPr>
          <w:rFonts w:ascii="Arial" w:hAnsi="Arial"/>
          <w:b/>
          <w:sz w:val="22"/>
          <w:lang w:val="fr-FR"/>
        </w:rPr>
        <w:t xml:space="preserve">B-1) Obligations </w:t>
      </w:r>
      <w:r w:rsidRPr="005E7827">
        <w:rPr>
          <w:rFonts w:ascii="Arial" w:hAnsi="Arial"/>
          <w:b/>
          <w:bCs/>
          <w:caps/>
          <w:sz w:val="22"/>
          <w:szCs w:val="22"/>
          <w:lang w:val="fr-FR"/>
        </w:rPr>
        <w:t>convertibles</w:t>
      </w:r>
      <w:r w:rsidRPr="00A619A0">
        <w:rPr>
          <w:rFonts w:ascii="Arial" w:hAnsi="Arial"/>
          <w:b/>
          <w:sz w:val="22"/>
          <w:lang w:val="fr-FR"/>
        </w:rPr>
        <w:t xml:space="preserve"> en actions.</w:t>
      </w:r>
    </w:p>
    <w:p w14:paraId="472C7EB0" w14:textId="652AD69F" w:rsidR="00174C3B" w:rsidRPr="00A619A0" w:rsidRDefault="00174C3B" w:rsidP="00AF13C3">
      <w:pPr>
        <w:tabs>
          <w:tab w:val="left" w:pos="1240"/>
        </w:tabs>
        <w:jc w:val="both"/>
        <w:rPr>
          <w:rFonts w:ascii="Arial" w:hAnsi="Arial"/>
          <w:b/>
          <w:sz w:val="22"/>
          <w:lang w:val="fr-FR"/>
        </w:rPr>
      </w:pPr>
      <w:r w:rsidRPr="00A619A0">
        <w:rPr>
          <w:rFonts w:ascii="Arial" w:hAnsi="Arial"/>
          <w:sz w:val="22"/>
          <w:lang w:val="fr-FR"/>
        </w:rPr>
        <w:t xml:space="preserve">La société émet </w:t>
      </w:r>
      <w:r w:rsidRPr="00A619A0">
        <w:rPr>
          <w:rFonts w:ascii="Arial" w:hAnsi="Arial"/>
          <w:b/>
          <w:sz w:val="22"/>
          <w:lang w:val="fr-FR"/>
        </w:rPr>
        <w:t>uniquement des obligations</w:t>
      </w:r>
      <w:r w:rsidRPr="00A619A0">
        <w:rPr>
          <w:rFonts w:ascii="Arial" w:hAnsi="Arial"/>
          <w:sz w:val="22"/>
          <w:lang w:val="fr-FR"/>
        </w:rPr>
        <w:t xml:space="preserve"> dont le propriétaire peut demander, dans certaines conditions, la conversion, c'est à dire la transformation, en actions</w:t>
      </w:r>
      <w:r w:rsidR="00692429" w:rsidRPr="00A619A0">
        <w:rPr>
          <w:rFonts w:ascii="Arial" w:hAnsi="Arial"/>
          <w:sz w:val="22"/>
          <w:lang w:val="fr-FR"/>
        </w:rPr>
        <w:t xml:space="preserve"> </w:t>
      </w:r>
      <w:r w:rsidRPr="00A619A0">
        <w:rPr>
          <w:rFonts w:ascii="Arial" w:hAnsi="Arial"/>
          <w:sz w:val="22"/>
          <w:lang w:val="fr-FR"/>
        </w:rPr>
        <w:t xml:space="preserve">; l'obligataire a ainsi le choix de la nature de son </w:t>
      </w:r>
      <w:proofErr w:type="gramStart"/>
      <w:r w:rsidRPr="00A619A0">
        <w:rPr>
          <w:rFonts w:ascii="Arial" w:hAnsi="Arial"/>
          <w:sz w:val="22"/>
          <w:lang w:val="fr-FR"/>
        </w:rPr>
        <w:t>placement  mais</w:t>
      </w:r>
      <w:proofErr w:type="gramEnd"/>
      <w:r w:rsidRPr="00A619A0">
        <w:rPr>
          <w:rFonts w:ascii="Arial" w:hAnsi="Arial"/>
          <w:sz w:val="22"/>
          <w:lang w:val="fr-FR"/>
        </w:rPr>
        <w:t xml:space="preserve"> la société n'a qu'une source de financement.</w:t>
      </w:r>
      <w:r w:rsidR="004C043E" w:rsidRPr="00A619A0">
        <w:rPr>
          <w:rFonts w:ascii="Arial" w:hAnsi="Arial"/>
          <w:sz w:val="22"/>
          <w:lang w:val="fr-FR"/>
        </w:rPr>
        <w:t xml:space="preserve"> </w:t>
      </w:r>
    </w:p>
    <w:p w14:paraId="1104F13E" w14:textId="77777777" w:rsidR="00174C3B" w:rsidRPr="00A619A0" w:rsidRDefault="00174C3B">
      <w:pPr>
        <w:tabs>
          <w:tab w:val="left" w:pos="1240"/>
        </w:tabs>
        <w:jc w:val="both"/>
        <w:rPr>
          <w:rFonts w:ascii="Arial" w:hAnsi="Arial"/>
          <w:sz w:val="22"/>
          <w:lang w:val="fr-FR"/>
        </w:rPr>
      </w:pPr>
    </w:p>
    <w:p w14:paraId="41AB8EC8" w14:textId="451EFC62" w:rsidR="00144EE1" w:rsidRPr="00312249" w:rsidRDefault="00481C2D" w:rsidP="00144EE1">
      <w:pPr>
        <w:tabs>
          <w:tab w:val="left" w:pos="1240"/>
        </w:tabs>
        <w:jc w:val="both"/>
        <w:rPr>
          <w:rFonts w:ascii="Arial" w:hAnsi="Arial"/>
          <w:b/>
          <w:sz w:val="22"/>
          <w:lang w:val="fr-FR"/>
        </w:rPr>
      </w:pPr>
      <w:r w:rsidRPr="00312249">
        <w:rPr>
          <w:rFonts w:ascii="Arial" w:hAnsi="Arial"/>
          <w:b/>
          <w:sz w:val="22"/>
          <w:lang w:val="fr-FR"/>
        </w:rPr>
        <w:t>Émission</w:t>
      </w:r>
      <w:r w:rsidR="00144EE1" w:rsidRPr="00312249">
        <w:rPr>
          <w:rFonts w:ascii="Arial" w:hAnsi="Arial"/>
          <w:b/>
          <w:sz w:val="22"/>
          <w:lang w:val="fr-FR"/>
        </w:rPr>
        <w:t xml:space="preserve"> d’un emprunt obligataire convertible</w:t>
      </w:r>
    </w:p>
    <w:p w14:paraId="6A89F615" w14:textId="1925887F" w:rsidR="00144EE1" w:rsidRPr="005467AF" w:rsidRDefault="00144EE1" w:rsidP="00312249">
      <w:pPr>
        <w:pBdr>
          <w:top w:val="single" w:sz="4" w:space="1" w:color="auto"/>
          <w:left w:val="single" w:sz="4" w:space="4" w:color="auto"/>
          <w:bottom w:val="single" w:sz="4" w:space="1" w:color="auto"/>
          <w:right w:val="single" w:sz="4" w:space="4" w:color="auto"/>
        </w:pBdr>
        <w:tabs>
          <w:tab w:val="left" w:pos="1240"/>
        </w:tabs>
        <w:jc w:val="both"/>
        <w:rPr>
          <w:rFonts w:ascii="Arial" w:hAnsi="Arial"/>
          <w:i/>
          <w:sz w:val="20"/>
          <w:szCs w:val="20"/>
          <w:lang w:val="fr-FR"/>
        </w:rPr>
      </w:pPr>
      <w:proofErr w:type="gramStart"/>
      <w:r w:rsidRPr="006979D9">
        <w:rPr>
          <w:rFonts w:ascii="Arial" w:hAnsi="Arial"/>
          <w:i/>
          <w:sz w:val="22"/>
          <w:lang w:val="fr-FR"/>
        </w:rPr>
        <w:t xml:space="preserve">Paris,  </w:t>
      </w:r>
      <w:r w:rsidRPr="005467AF">
        <w:rPr>
          <w:rFonts w:ascii="Arial" w:hAnsi="Arial"/>
          <w:i/>
          <w:sz w:val="20"/>
          <w:szCs w:val="20"/>
          <w:lang w:val="fr-FR"/>
        </w:rPr>
        <w:t>France</w:t>
      </w:r>
      <w:proofErr w:type="gramEnd"/>
      <w:r w:rsidRPr="005467AF">
        <w:rPr>
          <w:rFonts w:ascii="Arial" w:hAnsi="Arial"/>
          <w:i/>
          <w:sz w:val="20"/>
          <w:szCs w:val="20"/>
          <w:lang w:val="fr-FR"/>
        </w:rPr>
        <w:t xml:space="preserve"> et Cambridge,  Royaume-Uni 06 avril 2017</w:t>
      </w:r>
    </w:p>
    <w:p w14:paraId="767027B9" w14:textId="18D9D69C" w:rsidR="00144EE1" w:rsidRPr="005467AF" w:rsidRDefault="00144EE1" w:rsidP="00312249">
      <w:pPr>
        <w:pBdr>
          <w:top w:val="single" w:sz="4" w:space="1" w:color="auto"/>
          <w:left w:val="single" w:sz="4" w:space="4" w:color="auto"/>
          <w:bottom w:val="single" w:sz="4" w:space="1" w:color="auto"/>
          <w:right w:val="single" w:sz="4" w:space="4" w:color="auto"/>
        </w:pBdr>
        <w:tabs>
          <w:tab w:val="left" w:pos="1240"/>
        </w:tabs>
        <w:jc w:val="both"/>
        <w:rPr>
          <w:rFonts w:ascii="Arial" w:hAnsi="Arial"/>
          <w:i/>
          <w:sz w:val="20"/>
          <w:szCs w:val="20"/>
          <w:lang w:val="fr-FR"/>
        </w:rPr>
      </w:pPr>
      <w:proofErr w:type="spellStart"/>
      <w:r w:rsidRPr="005467AF">
        <w:rPr>
          <w:rFonts w:ascii="Arial" w:hAnsi="Arial"/>
          <w:i/>
          <w:sz w:val="20"/>
          <w:szCs w:val="20"/>
          <w:lang w:val="fr-FR"/>
        </w:rPr>
        <w:t>Novacyt</w:t>
      </w:r>
      <w:proofErr w:type="spellEnd"/>
      <w:r w:rsidRPr="005467AF">
        <w:rPr>
          <w:rFonts w:ascii="Arial" w:hAnsi="Arial"/>
          <w:i/>
          <w:sz w:val="20"/>
          <w:szCs w:val="20"/>
          <w:lang w:val="fr-FR"/>
        </w:rPr>
        <w:t xml:space="preserve"> (</w:t>
      </w:r>
      <w:proofErr w:type="gramStart"/>
      <w:r w:rsidRPr="005467AF">
        <w:rPr>
          <w:rFonts w:ascii="Arial" w:hAnsi="Arial"/>
          <w:i/>
          <w:sz w:val="20"/>
          <w:szCs w:val="20"/>
          <w:lang w:val="fr-FR"/>
        </w:rPr>
        <w:t>ALTERNEXT:</w:t>
      </w:r>
      <w:proofErr w:type="gramEnd"/>
      <w:r w:rsidRPr="005467AF">
        <w:rPr>
          <w:rFonts w:ascii="Arial" w:hAnsi="Arial"/>
          <w:i/>
          <w:sz w:val="20"/>
          <w:szCs w:val="20"/>
          <w:lang w:val="fr-FR"/>
        </w:rPr>
        <w:t xml:space="preserve"> ALNOV), spécialiste mondial des diagnostics cliniques, annonce avoir  émis un emprunt obligataire convertible d’un montant de 1.500.000 euros par émission de 1.500.000 obligations convertibles en actions  au  profit  des  fonds  FCPI  Dividendes  Plus  n°4  et  FCPI Dividendes  Plus  n°5.  </w:t>
      </w:r>
      <w:proofErr w:type="gramStart"/>
      <w:r w:rsidRPr="005467AF">
        <w:rPr>
          <w:rFonts w:ascii="Arial" w:hAnsi="Arial"/>
          <w:i/>
          <w:sz w:val="20"/>
          <w:szCs w:val="20"/>
          <w:lang w:val="fr-FR"/>
        </w:rPr>
        <w:t>Le  31</w:t>
      </w:r>
      <w:proofErr w:type="gramEnd"/>
      <w:r w:rsidRPr="005467AF">
        <w:rPr>
          <w:rFonts w:ascii="Arial" w:hAnsi="Arial"/>
          <w:i/>
          <w:sz w:val="20"/>
          <w:szCs w:val="20"/>
          <w:lang w:val="fr-FR"/>
        </w:rPr>
        <w:t xml:space="preserve">  mars  2016,  la  Société  a  constaté  la  souscripti</w:t>
      </w:r>
      <w:r w:rsidR="000461F9" w:rsidRPr="005467AF">
        <w:rPr>
          <w:rFonts w:ascii="Arial" w:hAnsi="Arial"/>
          <w:i/>
          <w:sz w:val="20"/>
          <w:szCs w:val="20"/>
          <w:lang w:val="fr-FR"/>
        </w:rPr>
        <w:t>on  de  ces  1.500.000 OC</w:t>
      </w:r>
      <w:r w:rsidRPr="005467AF">
        <w:rPr>
          <w:rFonts w:ascii="Arial" w:hAnsi="Arial"/>
          <w:i/>
          <w:sz w:val="20"/>
          <w:szCs w:val="20"/>
          <w:lang w:val="fr-FR"/>
        </w:rPr>
        <w:t>.</w:t>
      </w:r>
    </w:p>
    <w:p w14:paraId="7F91B7A0" w14:textId="0CD6C062" w:rsidR="00144EE1" w:rsidRPr="005467AF" w:rsidRDefault="000461F9" w:rsidP="00312249">
      <w:pPr>
        <w:pBdr>
          <w:top w:val="single" w:sz="4" w:space="1" w:color="auto"/>
          <w:left w:val="single" w:sz="4" w:space="4" w:color="auto"/>
          <w:bottom w:val="single" w:sz="4" w:space="1" w:color="auto"/>
          <w:right w:val="single" w:sz="4" w:space="4" w:color="auto"/>
        </w:pBdr>
        <w:tabs>
          <w:tab w:val="left" w:pos="1240"/>
        </w:tabs>
        <w:jc w:val="both"/>
        <w:rPr>
          <w:rFonts w:ascii="Arial" w:hAnsi="Arial"/>
          <w:i/>
          <w:sz w:val="20"/>
          <w:szCs w:val="20"/>
          <w:lang w:val="fr-FR"/>
        </w:rPr>
      </w:pPr>
      <w:proofErr w:type="gramStart"/>
      <w:r w:rsidRPr="005467AF">
        <w:rPr>
          <w:rFonts w:ascii="Arial" w:hAnsi="Arial"/>
          <w:i/>
          <w:sz w:val="20"/>
          <w:szCs w:val="20"/>
          <w:lang w:val="fr-FR"/>
        </w:rPr>
        <w:t>Ces  OC</w:t>
      </w:r>
      <w:proofErr w:type="gramEnd"/>
      <w:r w:rsidR="00144EE1" w:rsidRPr="005467AF">
        <w:rPr>
          <w:rFonts w:ascii="Arial" w:hAnsi="Arial"/>
          <w:i/>
          <w:sz w:val="20"/>
          <w:szCs w:val="20"/>
          <w:lang w:val="fr-FR"/>
        </w:rPr>
        <w:t xml:space="preserve">  ont  été  émises  en  une  seule  tranche  avec  une  maturité  de  3  ans  et  un  taux d’intérêt  annuel  de  7,9% et  une  prime de  non conversion  versée  à  terme  échu  de  0,1%.  Cette somme a </w:t>
      </w:r>
      <w:r w:rsidR="00144EE1" w:rsidRPr="005467AF">
        <w:rPr>
          <w:rFonts w:ascii="Arial" w:hAnsi="Arial"/>
          <w:i/>
          <w:sz w:val="20"/>
          <w:szCs w:val="20"/>
          <w:lang w:val="fr-FR"/>
        </w:rPr>
        <w:lastRenderedPageBreak/>
        <w:t>été affe</w:t>
      </w:r>
      <w:r w:rsidRPr="005467AF">
        <w:rPr>
          <w:rFonts w:ascii="Arial" w:hAnsi="Arial"/>
          <w:i/>
          <w:sz w:val="20"/>
          <w:szCs w:val="20"/>
          <w:lang w:val="fr-FR"/>
        </w:rPr>
        <w:t xml:space="preserve">ctée à </w:t>
      </w:r>
      <w:proofErr w:type="spellStart"/>
      <w:r w:rsidRPr="005467AF">
        <w:rPr>
          <w:rFonts w:ascii="Arial" w:hAnsi="Arial"/>
          <w:i/>
          <w:sz w:val="20"/>
          <w:szCs w:val="20"/>
          <w:lang w:val="fr-FR"/>
        </w:rPr>
        <w:t>Novacyt</w:t>
      </w:r>
      <w:proofErr w:type="spellEnd"/>
      <w:r w:rsidRPr="005467AF">
        <w:rPr>
          <w:rFonts w:ascii="Arial" w:hAnsi="Arial"/>
          <w:i/>
          <w:sz w:val="20"/>
          <w:szCs w:val="20"/>
          <w:lang w:val="fr-FR"/>
        </w:rPr>
        <w:t xml:space="preserve"> SA. Les OC</w:t>
      </w:r>
      <w:r w:rsidR="00144EE1" w:rsidRPr="005467AF">
        <w:rPr>
          <w:rFonts w:ascii="Arial" w:hAnsi="Arial"/>
          <w:i/>
          <w:sz w:val="20"/>
          <w:szCs w:val="20"/>
          <w:lang w:val="fr-FR"/>
        </w:rPr>
        <w:t xml:space="preserve"> ne sont convertibles qu’en cas de </w:t>
      </w:r>
      <w:proofErr w:type="spellStart"/>
      <w:r w:rsidR="00144EE1" w:rsidRPr="005467AF">
        <w:rPr>
          <w:rFonts w:ascii="Arial" w:hAnsi="Arial"/>
          <w:i/>
          <w:sz w:val="20"/>
          <w:szCs w:val="20"/>
          <w:lang w:val="fr-FR"/>
        </w:rPr>
        <w:t>non respect</w:t>
      </w:r>
      <w:proofErr w:type="spellEnd"/>
      <w:r w:rsidR="00144EE1" w:rsidRPr="005467AF">
        <w:rPr>
          <w:rFonts w:ascii="Arial" w:hAnsi="Arial"/>
          <w:i/>
          <w:sz w:val="20"/>
          <w:szCs w:val="20"/>
          <w:lang w:val="fr-FR"/>
        </w:rPr>
        <w:t xml:space="preserve"> </w:t>
      </w:r>
      <w:proofErr w:type="gramStart"/>
      <w:r w:rsidR="00144EE1" w:rsidRPr="005467AF">
        <w:rPr>
          <w:rFonts w:ascii="Arial" w:hAnsi="Arial"/>
          <w:i/>
          <w:sz w:val="20"/>
          <w:szCs w:val="20"/>
          <w:lang w:val="fr-FR"/>
        </w:rPr>
        <w:t>par  la</w:t>
      </w:r>
      <w:proofErr w:type="gramEnd"/>
      <w:r w:rsidR="00144EE1" w:rsidRPr="005467AF">
        <w:rPr>
          <w:rFonts w:ascii="Arial" w:hAnsi="Arial"/>
          <w:i/>
          <w:sz w:val="20"/>
          <w:szCs w:val="20"/>
          <w:lang w:val="fr-FR"/>
        </w:rPr>
        <w:t xml:space="preserve">  Société  de  ses  obligations  de  remboursement.</w:t>
      </w:r>
    </w:p>
    <w:p w14:paraId="3B084A9C" w14:textId="64CF6AE9" w:rsidR="00144EE1" w:rsidRPr="005467AF" w:rsidRDefault="00144EE1" w:rsidP="00312249">
      <w:pPr>
        <w:pBdr>
          <w:top w:val="single" w:sz="4" w:space="1" w:color="auto"/>
          <w:left w:val="single" w:sz="4" w:space="4" w:color="auto"/>
          <w:bottom w:val="single" w:sz="4" w:space="1" w:color="auto"/>
          <w:right w:val="single" w:sz="4" w:space="4" w:color="auto"/>
        </w:pBdr>
        <w:tabs>
          <w:tab w:val="left" w:pos="1240"/>
        </w:tabs>
        <w:jc w:val="both"/>
        <w:rPr>
          <w:rFonts w:ascii="Arial" w:hAnsi="Arial"/>
          <w:i/>
          <w:sz w:val="20"/>
          <w:szCs w:val="20"/>
          <w:lang w:val="fr-FR"/>
        </w:rPr>
      </w:pPr>
      <w:proofErr w:type="gramStart"/>
      <w:r w:rsidRPr="005467AF">
        <w:rPr>
          <w:rFonts w:ascii="Arial" w:hAnsi="Arial"/>
          <w:i/>
          <w:sz w:val="20"/>
          <w:szCs w:val="20"/>
          <w:lang w:val="fr-FR"/>
        </w:rPr>
        <w:t>La  parité</w:t>
      </w:r>
      <w:proofErr w:type="gramEnd"/>
      <w:r w:rsidRPr="005467AF">
        <w:rPr>
          <w:rFonts w:ascii="Arial" w:hAnsi="Arial"/>
          <w:i/>
          <w:sz w:val="20"/>
          <w:szCs w:val="20"/>
          <w:lang w:val="fr-FR"/>
        </w:rPr>
        <w:t xml:space="preserve">  de  conversion  étant  de  1,25  action nouvelle </w:t>
      </w:r>
      <w:r w:rsidR="000461F9" w:rsidRPr="005467AF">
        <w:rPr>
          <w:rFonts w:ascii="Arial" w:hAnsi="Arial"/>
          <w:i/>
          <w:sz w:val="20"/>
          <w:szCs w:val="20"/>
          <w:lang w:val="fr-FR"/>
        </w:rPr>
        <w:t>de la société pour une OC</w:t>
      </w:r>
      <w:r w:rsidRPr="005467AF">
        <w:rPr>
          <w:rFonts w:ascii="Arial" w:hAnsi="Arial"/>
          <w:i/>
          <w:sz w:val="20"/>
          <w:szCs w:val="20"/>
          <w:lang w:val="fr-FR"/>
        </w:rPr>
        <w:t>.</w:t>
      </w:r>
    </w:p>
    <w:p w14:paraId="0A1D6204" w14:textId="79782982" w:rsidR="00144EE1" w:rsidRPr="005467AF" w:rsidRDefault="00FF1582" w:rsidP="00312249">
      <w:pPr>
        <w:pBdr>
          <w:top w:val="single" w:sz="4" w:space="1" w:color="auto"/>
          <w:left w:val="single" w:sz="4" w:space="4" w:color="auto"/>
          <w:bottom w:val="single" w:sz="4" w:space="1" w:color="auto"/>
          <w:right w:val="single" w:sz="4" w:space="4" w:color="auto"/>
        </w:pBdr>
        <w:tabs>
          <w:tab w:val="left" w:pos="1240"/>
        </w:tabs>
        <w:jc w:val="both"/>
        <w:rPr>
          <w:rFonts w:ascii="Arial" w:hAnsi="Arial"/>
          <w:i/>
          <w:sz w:val="20"/>
          <w:szCs w:val="20"/>
          <w:lang w:val="fr-FR"/>
        </w:rPr>
      </w:pPr>
      <w:r w:rsidRPr="005467AF">
        <w:rPr>
          <w:rFonts w:ascii="Arial" w:hAnsi="Arial"/>
          <w:i/>
          <w:sz w:val="20"/>
          <w:szCs w:val="20"/>
          <w:lang w:val="fr-FR"/>
        </w:rPr>
        <w:t>…</w:t>
      </w:r>
    </w:p>
    <w:p w14:paraId="634F06D5" w14:textId="77777777" w:rsidR="00312249" w:rsidRPr="00A619A0" w:rsidRDefault="00312249" w:rsidP="00144EE1">
      <w:pPr>
        <w:tabs>
          <w:tab w:val="left" w:pos="1240"/>
        </w:tabs>
        <w:jc w:val="both"/>
        <w:rPr>
          <w:rFonts w:ascii="Arial" w:hAnsi="Arial"/>
          <w:sz w:val="22"/>
          <w:lang w:val="fr-FR"/>
        </w:rPr>
      </w:pPr>
    </w:p>
    <w:p w14:paraId="5E8717D4" w14:textId="451FFDFC" w:rsidR="00E36A2E" w:rsidRPr="00A619A0" w:rsidRDefault="00336F49" w:rsidP="00174C3B">
      <w:pPr>
        <w:tabs>
          <w:tab w:val="left" w:pos="1240"/>
        </w:tabs>
        <w:jc w:val="both"/>
        <w:rPr>
          <w:rFonts w:ascii="Arial" w:hAnsi="Arial"/>
          <w:sz w:val="22"/>
          <w:lang w:val="fr-FR"/>
        </w:rPr>
      </w:pPr>
      <w:r w:rsidRPr="00A619A0">
        <w:rPr>
          <w:rFonts w:ascii="Arial" w:hAnsi="Arial"/>
          <w:sz w:val="22"/>
          <w:lang w:val="fr-FR"/>
        </w:rPr>
        <w:t>L'un des inconvénients des obligations convertibles est que souvent</w:t>
      </w:r>
      <w:r w:rsidR="00F3182D">
        <w:rPr>
          <w:rFonts w:ascii="Arial" w:hAnsi="Arial"/>
          <w:sz w:val="22"/>
          <w:lang w:val="fr-FR"/>
        </w:rPr>
        <w:t>,</w:t>
      </w:r>
      <w:r w:rsidRPr="00A619A0">
        <w:rPr>
          <w:rFonts w:ascii="Arial" w:hAnsi="Arial"/>
          <w:sz w:val="22"/>
          <w:lang w:val="fr-FR"/>
        </w:rPr>
        <w:t xml:space="preserve"> la société émettrice a la possibilité de rembourser l'obligation "au pair" si l'action dépasse un certain seuil. En d'autre</w:t>
      </w:r>
      <w:r w:rsidR="00175744">
        <w:rPr>
          <w:rFonts w:ascii="Arial" w:hAnsi="Arial"/>
          <w:sz w:val="22"/>
          <w:lang w:val="fr-FR"/>
        </w:rPr>
        <w:t>s</w:t>
      </w:r>
      <w:r w:rsidRPr="00A619A0">
        <w:rPr>
          <w:rFonts w:ascii="Arial" w:hAnsi="Arial"/>
          <w:sz w:val="22"/>
          <w:lang w:val="fr-FR"/>
        </w:rPr>
        <w:t xml:space="preserve"> terme</w:t>
      </w:r>
      <w:r w:rsidR="00175744">
        <w:rPr>
          <w:rFonts w:ascii="Arial" w:hAnsi="Arial"/>
          <w:sz w:val="22"/>
          <w:lang w:val="fr-FR"/>
        </w:rPr>
        <w:t>s</w:t>
      </w:r>
      <w:r w:rsidRPr="00A619A0">
        <w:rPr>
          <w:rFonts w:ascii="Arial" w:hAnsi="Arial"/>
          <w:sz w:val="22"/>
          <w:lang w:val="fr-FR"/>
        </w:rPr>
        <w:t>, elle peut forcer les détenteurs à convertir leurs obligations en action si celle-ci dépasse un certain seuil.</w:t>
      </w:r>
    </w:p>
    <w:p w14:paraId="7652C500" w14:textId="5AEB4CF6" w:rsidR="00025FF3" w:rsidRPr="00A619A0" w:rsidRDefault="00EF78CD" w:rsidP="00174C3B">
      <w:pPr>
        <w:tabs>
          <w:tab w:val="left" w:pos="1240"/>
        </w:tabs>
        <w:jc w:val="both"/>
        <w:rPr>
          <w:rFonts w:ascii="Arial" w:hAnsi="Arial"/>
          <w:sz w:val="22"/>
          <w:lang w:val="fr-FR"/>
        </w:rPr>
      </w:pPr>
      <w:r w:rsidRPr="00A619A0">
        <w:rPr>
          <w:rFonts w:ascii="Arial" w:hAnsi="Arial"/>
          <w:sz w:val="22"/>
          <w:lang w:val="fr-FR"/>
        </w:rPr>
        <w:t xml:space="preserve">Les obligations convertibles se comportent comme des obligations si le cours de l'action est trop bas </w:t>
      </w:r>
      <w:r w:rsidR="005E6771" w:rsidRPr="00A619A0">
        <w:rPr>
          <w:rFonts w:ascii="Arial" w:hAnsi="Arial"/>
          <w:sz w:val="22"/>
          <w:lang w:val="fr-FR"/>
        </w:rPr>
        <w:t>par rapport à leur nominal. P</w:t>
      </w:r>
      <w:r w:rsidRPr="00A619A0">
        <w:rPr>
          <w:rFonts w:ascii="Arial" w:hAnsi="Arial"/>
          <w:sz w:val="22"/>
          <w:lang w:val="fr-FR"/>
        </w:rPr>
        <w:t xml:space="preserve">lus l'action monte et se rapproche ou dépasse le nominal, plus l'obligation convertible aura tendance </w:t>
      </w:r>
      <w:r w:rsidR="005E6771" w:rsidRPr="00A619A0">
        <w:rPr>
          <w:rFonts w:ascii="Arial" w:hAnsi="Arial"/>
          <w:sz w:val="22"/>
          <w:lang w:val="fr-FR"/>
        </w:rPr>
        <w:t>à se comporter comme une action : on a donc bien un titre hybride (cf. IV-3).</w:t>
      </w:r>
    </w:p>
    <w:p w14:paraId="1E946998" w14:textId="77777777" w:rsidR="00EF78CD" w:rsidRPr="00A619A0" w:rsidRDefault="00EF78CD" w:rsidP="00174C3B">
      <w:pPr>
        <w:tabs>
          <w:tab w:val="left" w:pos="1240"/>
        </w:tabs>
        <w:jc w:val="both"/>
        <w:rPr>
          <w:rFonts w:ascii="Arial" w:hAnsi="Arial"/>
          <w:sz w:val="22"/>
          <w:lang w:val="fr-FR"/>
        </w:rPr>
      </w:pPr>
    </w:p>
    <w:p w14:paraId="4567863C" w14:textId="387D0954" w:rsidR="000151DF" w:rsidRPr="00A619A0" w:rsidRDefault="00025FF3">
      <w:pPr>
        <w:tabs>
          <w:tab w:val="left" w:pos="1240"/>
        </w:tabs>
        <w:jc w:val="both"/>
        <w:rPr>
          <w:rFonts w:ascii="Arial" w:hAnsi="Arial"/>
          <w:b/>
          <w:sz w:val="22"/>
          <w:lang w:val="fr-FR"/>
        </w:rPr>
      </w:pPr>
      <w:r w:rsidRPr="00A619A0">
        <w:rPr>
          <w:rFonts w:ascii="Arial" w:hAnsi="Arial"/>
          <w:b/>
          <w:sz w:val="22"/>
          <w:lang w:val="fr-FR"/>
        </w:rPr>
        <w:t>B-2</w:t>
      </w:r>
      <w:r w:rsidR="000151DF" w:rsidRPr="00A619A0">
        <w:rPr>
          <w:rFonts w:ascii="Arial" w:hAnsi="Arial"/>
          <w:b/>
          <w:sz w:val="22"/>
          <w:lang w:val="fr-FR"/>
        </w:rPr>
        <w:t>) Titres subordonnés &amp; « contingent convertibles » (COCOS)</w:t>
      </w:r>
    </w:p>
    <w:p w14:paraId="2F9583D7" w14:textId="59A59055" w:rsidR="000151DF" w:rsidRPr="00A619A0" w:rsidRDefault="000151DF">
      <w:pPr>
        <w:tabs>
          <w:tab w:val="left" w:pos="1240"/>
        </w:tabs>
        <w:jc w:val="both"/>
        <w:rPr>
          <w:rFonts w:ascii="Arial" w:hAnsi="Arial"/>
          <w:sz w:val="22"/>
          <w:lang w:val="fr-FR"/>
        </w:rPr>
      </w:pPr>
      <w:r w:rsidRPr="00A619A0">
        <w:rPr>
          <w:rFonts w:ascii="Arial" w:hAnsi="Arial"/>
          <w:sz w:val="22"/>
          <w:lang w:val="fr-FR"/>
        </w:rPr>
        <w:t>Dans ce cas, la conversion n’est plus à l’initiative de l’obligataire, mais résulte d’une décision de l’émetteur</w:t>
      </w:r>
      <w:r w:rsidR="00FF12D8" w:rsidRPr="00A619A0">
        <w:rPr>
          <w:rFonts w:ascii="Arial" w:hAnsi="Arial"/>
          <w:sz w:val="22"/>
          <w:lang w:val="fr-FR"/>
        </w:rPr>
        <w:t>, sous condition de réalisation d’un évènement (trigger)</w:t>
      </w:r>
      <w:r w:rsidRPr="00A619A0">
        <w:rPr>
          <w:rFonts w:ascii="Arial" w:hAnsi="Arial"/>
          <w:sz w:val="22"/>
          <w:lang w:val="fr-FR"/>
        </w:rPr>
        <w:t>. Le contrat d’émission de l’emprunt obligataire précise les conditions dans lesquelles cette conversion pourra ou devra être effectuée par l’émetteur.</w:t>
      </w:r>
    </w:p>
    <w:p w14:paraId="36384234" w14:textId="7413A26E" w:rsidR="003444D9" w:rsidRPr="00A619A0" w:rsidRDefault="003444D9">
      <w:pPr>
        <w:tabs>
          <w:tab w:val="left" w:pos="1240"/>
        </w:tabs>
        <w:jc w:val="both"/>
        <w:rPr>
          <w:rFonts w:ascii="Arial" w:hAnsi="Arial"/>
          <w:sz w:val="22"/>
          <w:lang w:val="fr-FR"/>
        </w:rPr>
      </w:pPr>
      <w:r w:rsidRPr="00A619A0">
        <w:rPr>
          <w:rFonts w:ascii="Arial" w:hAnsi="Arial"/>
          <w:sz w:val="22"/>
          <w:lang w:val="fr-FR"/>
        </w:rPr>
        <w:t>Le concept a été particulièrement utilisé dans le cadre de la gestion de crise des secteurs de la banque et de l’assurance</w:t>
      </w:r>
      <w:r w:rsidR="001149F8" w:rsidRPr="00A619A0">
        <w:rPr>
          <w:rFonts w:ascii="Arial" w:hAnsi="Arial"/>
          <w:sz w:val="22"/>
          <w:lang w:val="fr-FR"/>
        </w:rPr>
        <w:t>.</w:t>
      </w:r>
    </w:p>
    <w:p w14:paraId="15EF92FE" w14:textId="77777777" w:rsidR="000151DF" w:rsidRPr="00A619A0" w:rsidRDefault="000151DF">
      <w:pPr>
        <w:tabs>
          <w:tab w:val="left" w:pos="1240"/>
        </w:tabs>
        <w:jc w:val="both"/>
        <w:rPr>
          <w:rFonts w:ascii="Arial" w:hAnsi="Arial"/>
          <w:sz w:val="22"/>
          <w:lang w:val="fr-FR"/>
        </w:rPr>
      </w:pPr>
    </w:p>
    <w:p w14:paraId="1D62460C" w14:textId="7F2F80E9" w:rsidR="00025FF3" w:rsidRPr="0022434E" w:rsidRDefault="001C7B50" w:rsidP="00025FF3">
      <w:pPr>
        <w:tabs>
          <w:tab w:val="left" w:pos="1240"/>
        </w:tabs>
        <w:jc w:val="both"/>
        <w:rPr>
          <w:rFonts w:ascii="Arial" w:hAnsi="Arial"/>
          <w:b/>
          <w:sz w:val="22"/>
          <w:lang w:val="fr-FR"/>
        </w:rPr>
      </w:pPr>
      <w:r w:rsidRPr="0022434E">
        <w:rPr>
          <w:rFonts w:ascii="Arial" w:hAnsi="Arial"/>
          <w:b/>
          <w:sz w:val="22"/>
          <w:lang w:val="fr-FR"/>
        </w:rPr>
        <w:t>B-3</w:t>
      </w:r>
      <w:r w:rsidR="00025FF3" w:rsidRPr="0022434E">
        <w:rPr>
          <w:rFonts w:ascii="Arial" w:hAnsi="Arial"/>
          <w:b/>
          <w:sz w:val="22"/>
          <w:lang w:val="fr-FR"/>
        </w:rPr>
        <w:t xml:space="preserve">) Obligations </w:t>
      </w:r>
      <w:r w:rsidR="00025FF3" w:rsidRPr="005E7827">
        <w:rPr>
          <w:rFonts w:ascii="Arial" w:hAnsi="Arial"/>
          <w:b/>
          <w:bCs/>
          <w:caps/>
          <w:sz w:val="22"/>
          <w:szCs w:val="22"/>
          <w:lang w:val="fr-FR"/>
        </w:rPr>
        <w:t>remboursables</w:t>
      </w:r>
      <w:r w:rsidR="00025FF3" w:rsidRPr="0022434E">
        <w:rPr>
          <w:rFonts w:ascii="Arial" w:hAnsi="Arial"/>
          <w:b/>
          <w:sz w:val="22"/>
          <w:lang w:val="fr-FR"/>
        </w:rPr>
        <w:t xml:space="preserve"> en actions (ORA)</w:t>
      </w:r>
    </w:p>
    <w:p w14:paraId="26F8BB0D" w14:textId="430AF5B8" w:rsidR="001149F8" w:rsidRPr="0022434E" w:rsidRDefault="00025FF3">
      <w:pPr>
        <w:tabs>
          <w:tab w:val="left" w:pos="1240"/>
        </w:tabs>
        <w:jc w:val="both"/>
        <w:rPr>
          <w:rFonts w:ascii="Arial" w:hAnsi="Arial"/>
          <w:sz w:val="22"/>
          <w:lang w:val="fr-FR"/>
        </w:rPr>
      </w:pPr>
      <w:r w:rsidRPr="0022434E">
        <w:rPr>
          <w:rFonts w:ascii="Arial" w:hAnsi="Arial"/>
          <w:sz w:val="22"/>
          <w:lang w:val="fr-FR"/>
        </w:rPr>
        <w:t>Pour la société émettrice, l’inconvénient de l’obligation, c’est qu’elle doit être remboursée</w:t>
      </w:r>
      <w:r w:rsidR="001C7B50" w:rsidRPr="0022434E">
        <w:rPr>
          <w:rFonts w:ascii="Arial" w:hAnsi="Arial"/>
          <w:sz w:val="22"/>
          <w:lang w:val="fr-FR"/>
        </w:rPr>
        <w:t xml:space="preserve">, </w:t>
      </w:r>
      <w:r w:rsidR="006F2AA3" w:rsidRPr="0022434E">
        <w:rPr>
          <w:rFonts w:ascii="Arial" w:hAnsi="Arial"/>
          <w:sz w:val="22"/>
          <w:lang w:val="fr-FR"/>
        </w:rPr>
        <w:t xml:space="preserve">comme toute dette, </w:t>
      </w:r>
      <w:r w:rsidR="001C7B50" w:rsidRPr="0022434E">
        <w:rPr>
          <w:rFonts w:ascii="Arial" w:hAnsi="Arial"/>
          <w:sz w:val="22"/>
          <w:lang w:val="fr-FR"/>
        </w:rPr>
        <w:t>par un décaissement effectif. Mais la société peut juridiquement « payer » son créancier en lui remettant des actions : les siennes propres ou bien celles d’autres sociétés.</w:t>
      </w:r>
    </w:p>
    <w:p w14:paraId="5C71770F" w14:textId="0EE82518" w:rsidR="001C7B50" w:rsidRPr="0022434E" w:rsidRDefault="001C7B50">
      <w:pPr>
        <w:tabs>
          <w:tab w:val="left" w:pos="1240"/>
        </w:tabs>
        <w:jc w:val="both"/>
        <w:rPr>
          <w:rFonts w:ascii="Arial" w:hAnsi="Arial"/>
          <w:sz w:val="22"/>
          <w:lang w:val="fr-FR"/>
        </w:rPr>
      </w:pPr>
      <w:r w:rsidRPr="0022434E">
        <w:rPr>
          <w:rFonts w:ascii="Arial" w:hAnsi="Arial"/>
          <w:sz w:val="22"/>
          <w:lang w:val="fr-FR"/>
        </w:rPr>
        <w:t>S’il s’agit d’actions nouvelles, il n’y aura aucune sortie d’espèces ; dans le cas d’actions anciennes, il aura fallu les acheter aux propriétaires pour les remettre aux obligataires intéressés.</w:t>
      </w:r>
    </w:p>
    <w:p w14:paraId="05FB25DC" w14:textId="77777777" w:rsidR="001C7B50" w:rsidRPr="00A619A0" w:rsidRDefault="001C7B50">
      <w:pPr>
        <w:tabs>
          <w:tab w:val="left" w:pos="1240"/>
        </w:tabs>
        <w:jc w:val="both"/>
        <w:rPr>
          <w:rFonts w:ascii="Arial" w:hAnsi="Arial"/>
          <w:sz w:val="22"/>
          <w:lang w:val="fr-FR"/>
        </w:rPr>
      </w:pPr>
    </w:p>
    <w:p w14:paraId="7AE3B7B9" w14:textId="77777777" w:rsidR="001C7B50" w:rsidRPr="00A619A0" w:rsidRDefault="001C7B50">
      <w:pPr>
        <w:tabs>
          <w:tab w:val="left" w:pos="1240"/>
        </w:tabs>
        <w:jc w:val="both"/>
        <w:rPr>
          <w:rFonts w:ascii="Arial" w:hAnsi="Arial"/>
          <w:sz w:val="22"/>
          <w:lang w:val="fr-FR"/>
        </w:rPr>
      </w:pPr>
    </w:p>
    <w:p w14:paraId="5CD125EB" w14:textId="48DDE144" w:rsidR="003A4592" w:rsidRPr="00AC4E28" w:rsidRDefault="001149F8">
      <w:pPr>
        <w:tabs>
          <w:tab w:val="left" w:pos="1240"/>
        </w:tabs>
        <w:jc w:val="both"/>
        <w:rPr>
          <w:rFonts w:ascii="Arial" w:hAnsi="Arial"/>
          <w:b/>
          <w:sz w:val="22"/>
          <w:lang w:val="fr-FR"/>
        </w:rPr>
      </w:pPr>
      <w:r w:rsidRPr="00AC4E28">
        <w:rPr>
          <w:rFonts w:ascii="Arial" w:hAnsi="Arial"/>
          <w:b/>
          <w:sz w:val="22"/>
          <w:lang w:val="fr-FR"/>
        </w:rPr>
        <w:t xml:space="preserve">C) </w:t>
      </w:r>
      <w:r w:rsidRPr="00AC4E28">
        <w:rPr>
          <w:rFonts w:ascii="Arial" w:hAnsi="Arial"/>
          <w:b/>
          <w:bCs/>
          <w:caps/>
          <w:sz w:val="22"/>
          <w:lang w:val="fr-FR"/>
        </w:rPr>
        <w:t xml:space="preserve">Obligataire </w:t>
      </w:r>
      <w:r w:rsidRPr="00AC4E28">
        <w:rPr>
          <w:rFonts w:ascii="Arial" w:hAnsi="Arial"/>
          <w:b/>
          <w:bCs/>
          <w:caps/>
          <w:sz w:val="28"/>
          <w:szCs w:val="28"/>
          <w:u w:val="single"/>
          <w:lang w:val="fr-FR"/>
        </w:rPr>
        <w:t>ET</w:t>
      </w:r>
      <w:r w:rsidRPr="00AC4E28">
        <w:rPr>
          <w:rFonts w:ascii="Arial" w:hAnsi="Arial"/>
          <w:b/>
          <w:bCs/>
          <w:caps/>
          <w:sz w:val="22"/>
          <w:lang w:val="fr-FR"/>
        </w:rPr>
        <w:t xml:space="preserve"> actionnaire </w:t>
      </w:r>
      <w:r w:rsidRPr="00AC4E28">
        <w:rPr>
          <w:rFonts w:ascii="Arial" w:hAnsi="Arial"/>
          <w:b/>
          <w:sz w:val="22"/>
          <w:lang w:val="fr-FR"/>
        </w:rPr>
        <w:t xml:space="preserve">: </w:t>
      </w:r>
      <w:r w:rsidR="00207741" w:rsidRPr="00AC4E28">
        <w:rPr>
          <w:rFonts w:ascii="Arial" w:hAnsi="Arial"/>
          <w:b/>
          <w:sz w:val="22"/>
          <w:lang w:val="fr-FR"/>
        </w:rPr>
        <w:t>O</w:t>
      </w:r>
      <w:r w:rsidR="00174C3B" w:rsidRPr="00AC4E28">
        <w:rPr>
          <w:rFonts w:ascii="Arial" w:hAnsi="Arial"/>
          <w:b/>
          <w:sz w:val="22"/>
          <w:lang w:val="fr-FR"/>
        </w:rPr>
        <w:t xml:space="preserve">bligations à </w:t>
      </w:r>
      <w:r w:rsidR="00174C3B" w:rsidRPr="005E7827">
        <w:rPr>
          <w:rFonts w:ascii="Arial" w:hAnsi="Arial"/>
          <w:b/>
          <w:bCs/>
          <w:caps/>
          <w:sz w:val="22"/>
          <w:szCs w:val="22"/>
          <w:lang w:val="fr-FR"/>
        </w:rPr>
        <w:t>bons de souscription</w:t>
      </w:r>
      <w:r w:rsidR="00174C3B" w:rsidRPr="00AC4E28">
        <w:rPr>
          <w:rFonts w:ascii="Arial" w:hAnsi="Arial"/>
          <w:b/>
          <w:sz w:val="22"/>
          <w:lang w:val="fr-FR"/>
        </w:rPr>
        <w:t xml:space="preserve"> d'actions (OBSA)</w:t>
      </w:r>
    </w:p>
    <w:p w14:paraId="46A90090" w14:textId="3EF20C2B" w:rsidR="00174C3B" w:rsidRDefault="00174C3B">
      <w:pPr>
        <w:tabs>
          <w:tab w:val="left" w:pos="1240"/>
        </w:tabs>
        <w:jc w:val="both"/>
        <w:rPr>
          <w:rFonts w:ascii="Arial" w:hAnsi="Arial"/>
          <w:sz w:val="22"/>
          <w:lang w:val="fr-FR"/>
        </w:rPr>
      </w:pPr>
      <w:r w:rsidRPr="00AC4E28">
        <w:rPr>
          <w:rFonts w:ascii="Arial" w:hAnsi="Arial"/>
          <w:sz w:val="22"/>
          <w:lang w:val="fr-FR"/>
        </w:rPr>
        <w:t>La société émet uniquement un emprunt obligataire, mais il est prévu que l'obligataire pourra</w:t>
      </w:r>
      <w:r w:rsidR="00CB0C6C">
        <w:rPr>
          <w:rFonts w:ascii="Arial" w:hAnsi="Arial"/>
          <w:sz w:val="22"/>
          <w:lang w:val="fr-FR"/>
        </w:rPr>
        <w:t xml:space="preserve"> ultérieurement</w:t>
      </w:r>
      <w:r w:rsidRPr="00AC4E28">
        <w:rPr>
          <w:rFonts w:ascii="Arial" w:hAnsi="Arial"/>
          <w:sz w:val="22"/>
          <w:lang w:val="fr-FR"/>
        </w:rPr>
        <w:t>, dans certaines conditions, souscrire des actions à émettre par la société</w:t>
      </w:r>
      <w:r w:rsidR="00346131" w:rsidRPr="00AC4E28">
        <w:rPr>
          <w:rFonts w:ascii="Arial" w:hAnsi="Arial"/>
          <w:sz w:val="22"/>
          <w:lang w:val="fr-FR"/>
        </w:rPr>
        <w:t xml:space="preserve"> </w:t>
      </w:r>
      <w:r w:rsidRPr="00AC4E28">
        <w:rPr>
          <w:rFonts w:ascii="Arial" w:hAnsi="Arial"/>
          <w:sz w:val="22"/>
          <w:lang w:val="fr-FR"/>
        </w:rPr>
        <w:t>; l'obligataire peut donc faire deux types de placement et la société disposer d'u</w:t>
      </w:r>
      <w:r w:rsidR="00025FF3" w:rsidRPr="00AC4E28">
        <w:rPr>
          <w:rFonts w:ascii="Arial" w:hAnsi="Arial"/>
          <w:sz w:val="22"/>
          <w:lang w:val="fr-FR"/>
        </w:rPr>
        <w:t>ne double source de financement : les obligations comportent des bons de souscription exerçables par le porteur.</w:t>
      </w:r>
    </w:p>
    <w:p w14:paraId="7D158DE9" w14:textId="441B5F69" w:rsidR="00A6066C" w:rsidRDefault="00A6066C" w:rsidP="00F80C91">
      <w:pPr>
        <w:tabs>
          <w:tab w:val="left" w:pos="1240"/>
        </w:tabs>
        <w:jc w:val="both"/>
        <w:rPr>
          <w:rFonts w:ascii="Arial" w:hAnsi="Arial"/>
          <w:sz w:val="22"/>
          <w:lang w:val="fr-FR"/>
        </w:rPr>
      </w:pPr>
      <w:r>
        <w:rPr>
          <w:rFonts w:ascii="Arial" w:hAnsi="Arial"/>
          <w:sz w:val="22"/>
          <w:lang w:val="fr-FR"/>
        </w:rPr>
        <w:t>Le législateur a renoncé à réglementer ces opérations par des textes spécifiques</w:t>
      </w:r>
      <w:r w:rsidR="00F80C91">
        <w:rPr>
          <w:rFonts w:ascii="Arial" w:hAnsi="Arial"/>
          <w:sz w:val="22"/>
          <w:lang w:val="fr-FR"/>
        </w:rPr>
        <w:t xml:space="preserve">. </w:t>
      </w:r>
      <w:r>
        <w:rPr>
          <w:rFonts w:ascii="Arial" w:hAnsi="Arial"/>
          <w:sz w:val="22"/>
          <w:lang w:val="fr-FR"/>
        </w:rPr>
        <w:t>La pratique en continue</w:t>
      </w:r>
      <w:r w:rsidR="001F161C">
        <w:rPr>
          <w:rFonts w:ascii="Arial" w:hAnsi="Arial"/>
          <w:sz w:val="22"/>
          <w:lang w:val="fr-FR"/>
        </w:rPr>
        <w:t xml:space="preserve"> cependant</w:t>
      </w:r>
      <w:r>
        <w:rPr>
          <w:rFonts w:ascii="Arial" w:hAnsi="Arial"/>
          <w:sz w:val="22"/>
          <w:lang w:val="fr-FR"/>
        </w:rPr>
        <w:t> :</w:t>
      </w:r>
    </w:p>
    <w:tbl>
      <w:tblPr>
        <w:tblStyle w:val="Grilledutableau"/>
        <w:tblW w:w="0" w:type="auto"/>
        <w:tblLook w:val="04A0" w:firstRow="1" w:lastRow="0" w:firstColumn="1" w:lastColumn="0" w:noHBand="0" w:noVBand="1"/>
      </w:tblPr>
      <w:tblGrid>
        <w:gridCol w:w="9056"/>
      </w:tblGrid>
      <w:tr w:rsidR="002F2833" w14:paraId="5A7E21EA" w14:textId="77777777" w:rsidTr="002F2833">
        <w:tc>
          <w:tcPr>
            <w:tcW w:w="9056" w:type="dxa"/>
          </w:tcPr>
          <w:p w14:paraId="2E58701A" w14:textId="77777777" w:rsidR="002F2833" w:rsidRPr="002F2833" w:rsidRDefault="002F2833" w:rsidP="002F2833">
            <w:pPr>
              <w:jc w:val="center"/>
              <w:rPr>
                <w:rFonts w:ascii="Arial" w:hAnsi="Arial"/>
                <w:b/>
                <w:bCs/>
                <w:i/>
                <w:iCs/>
                <w:sz w:val="20"/>
                <w:szCs w:val="20"/>
                <w:lang w:val="fr-FR"/>
              </w:rPr>
            </w:pPr>
            <w:r w:rsidRPr="002F2833">
              <w:rPr>
                <w:rFonts w:ascii="Arial" w:hAnsi="Arial"/>
                <w:b/>
                <w:bCs/>
                <w:i/>
                <w:iCs/>
                <w:sz w:val="20"/>
                <w:szCs w:val="20"/>
                <w:lang w:val="fr-FR"/>
              </w:rPr>
              <w:t>Communiqués de presse</w:t>
            </w:r>
          </w:p>
          <w:p w14:paraId="27D9C33C" w14:textId="77777777" w:rsidR="002F2833" w:rsidRPr="002F2833" w:rsidRDefault="002F2833" w:rsidP="002F2833">
            <w:pPr>
              <w:jc w:val="center"/>
              <w:rPr>
                <w:rFonts w:ascii="Arial" w:hAnsi="Arial"/>
                <w:b/>
                <w:bCs/>
                <w:i/>
                <w:iCs/>
                <w:sz w:val="20"/>
                <w:szCs w:val="20"/>
                <w:lang w:val="fr-FR"/>
              </w:rPr>
            </w:pPr>
            <w:proofErr w:type="spellStart"/>
            <w:r w:rsidRPr="002F2833">
              <w:rPr>
                <w:rFonts w:ascii="Arial" w:hAnsi="Arial"/>
                <w:b/>
                <w:bCs/>
                <w:i/>
                <w:iCs/>
                <w:sz w:val="20"/>
                <w:szCs w:val="20"/>
                <w:lang w:val="fr-FR"/>
              </w:rPr>
              <w:t>Pharnext</w:t>
            </w:r>
            <w:proofErr w:type="spellEnd"/>
            <w:r w:rsidRPr="002F2833">
              <w:rPr>
                <w:rFonts w:ascii="Arial" w:hAnsi="Arial"/>
                <w:b/>
                <w:bCs/>
                <w:i/>
                <w:iCs/>
                <w:sz w:val="20"/>
                <w:szCs w:val="20"/>
                <w:lang w:val="fr-FR"/>
              </w:rPr>
              <w:t xml:space="preserve"> réalise une levée de fonds obligataire de 20,5M€</w:t>
            </w:r>
          </w:p>
          <w:p w14:paraId="6D1F40AA" w14:textId="77777777" w:rsidR="002F2833" w:rsidRDefault="002F2833" w:rsidP="002F2833">
            <w:pPr>
              <w:jc w:val="both"/>
              <w:rPr>
                <w:rFonts w:ascii="Arial" w:hAnsi="Arial"/>
                <w:i/>
                <w:iCs/>
                <w:sz w:val="20"/>
                <w:szCs w:val="20"/>
                <w:lang w:val="fr-FR"/>
              </w:rPr>
            </w:pPr>
            <w:r w:rsidRPr="002F2833">
              <w:rPr>
                <w:rFonts w:ascii="Arial" w:hAnsi="Arial"/>
                <w:i/>
                <w:iCs/>
                <w:sz w:val="20"/>
                <w:szCs w:val="20"/>
                <w:lang w:val="fr-FR"/>
              </w:rPr>
              <w:t xml:space="preserve">• Levée d’un emprunt obligataire d’une enveloppe de 20 millions d’euros (maturité à 5 ans) auprès d’IPF </w:t>
            </w:r>
            <w:proofErr w:type="spellStart"/>
            <w:r w:rsidRPr="002F2833">
              <w:rPr>
                <w:rFonts w:ascii="Arial" w:hAnsi="Arial"/>
                <w:i/>
                <w:iCs/>
                <w:sz w:val="20"/>
                <w:szCs w:val="20"/>
                <w:lang w:val="fr-FR"/>
              </w:rPr>
              <w:t>Partners</w:t>
            </w:r>
            <w:proofErr w:type="spellEnd"/>
            <w:r w:rsidRPr="002F2833">
              <w:rPr>
                <w:rFonts w:ascii="Arial" w:hAnsi="Arial"/>
                <w:i/>
                <w:iCs/>
                <w:sz w:val="20"/>
                <w:szCs w:val="20"/>
                <w:lang w:val="fr-FR"/>
              </w:rPr>
              <w:t xml:space="preserve"> et de 500.000 euros (maturité à un an) auprès de </w:t>
            </w:r>
            <w:proofErr w:type="spellStart"/>
            <w:r w:rsidRPr="002F2833">
              <w:rPr>
                <w:rFonts w:ascii="Arial" w:hAnsi="Arial"/>
                <w:i/>
                <w:iCs/>
                <w:sz w:val="20"/>
                <w:szCs w:val="20"/>
                <w:lang w:val="fr-FR"/>
              </w:rPr>
              <w:t>Yorkville</w:t>
            </w:r>
            <w:proofErr w:type="spellEnd"/>
            <w:r w:rsidRPr="002F2833">
              <w:rPr>
                <w:rFonts w:ascii="Arial" w:hAnsi="Arial"/>
                <w:i/>
                <w:iCs/>
                <w:sz w:val="20"/>
                <w:szCs w:val="20"/>
                <w:lang w:val="fr-FR"/>
              </w:rPr>
              <w:t xml:space="preserve"> </w:t>
            </w:r>
            <w:proofErr w:type="spellStart"/>
            <w:r w:rsidRPr="002F2833">
              <w:rPr>
                <w:rFonts w:ascii="Arial" w:hAnsi="Arial"/>
                <w:i/>
                <w:iCs/>
                <w:sz w:val="20"/>
                <w:szCs w:val="20"/>
                <w:lang w:val="fr-FR"/>
              </w:rPr>
              <w:t>Advisors</w:t>
            </w:r>
            <w:proofErr w:type="spellEnd"/>
          </w:p>
          <w:p w14:paraId="28944093" w14:textId="2F0E8EE6" w:rsidR="002F2833" w:rsidRPr="002F2833" w:rsidRDefault="002F2833" w:rsidP="002F2833">
            <w:pPr>
              <w:jc w:val="both"/>
              <w:rPr>
                <w:rFonts w:ascii="Arial" w:hAnsi="Arial"/>
                <w:i/>
                <w:iCs/>
                <w:sz w:val="20"/>
                <w:szCs w:val="20"/>
                <w:lang w:val="fr-FR"/>
              </w:rPr>
            </w:pPr>
            <w:r w:rsidRPr="002F2833">
              <w:rPr>
                <w:rFonts w:ascii="Arial" w:hAnsi="Arial"/>
                <w:i/>
                <w:iCs/>
                <w:sz w:val="20"/>
                <w:szCs w:val="20"/>
                <w:lang w:val="fr-FR"/>
              </w:rPr>
              <w:t xml:space="preserve">Ce financement par emprunt obligataire est composé de trois tranches d’OBSA portant intérêt à un taux de EURIBOR + 11% l’an, la première tranche de 11,5 millions d’euros sera émise au plus tard le 30 juin 2018, la deuxième tranche de 3,5 millions d’euros sera émise au plus tard le 31 juillet 2018 et la dernière tranche de 5 millions d’euros pourrait être émise à la discrétion de </w:t>
            </w:r>
            <w:proofErr w:type="spellStart"/>
            <w:r w:rsidRPr="002F2833">
              <w:rPr>
                <w:rFonts w:ascii="Arial" w:hAnsi="Arial"/>
                <w:i/>
                <w:iCs/>
                <w:sz w:val="20"/>
                <w:szCs w:val="20"/>
                <w:lang w:val="fr-FR"/>
              </w:rPr>
              <w:t>Pharnext</w:t>
            </w:r>
            <w:proofErr w:type="spellEnd"/>
          </w:p>
        </w:tc>
      </w:tr>
    </w:tbl>
    <w:p w14:paraId="5ACC6D63" w14:textId="77777777" w:rsidR="00B8080F" w:rsidRPr="00A619A0" w:rsidRDefault="00B8080F">
      <w:pPr>
        <w:jc w:val="both"/>
        <w:rPr>
          <w:rFonts w:ascii="Arial" w:hAnsi="Arial"/>
          <w:sz w:val="22"/>
          <w:lang w:val="fr-FR"/>
        </w:rPr>
      </w:pPr>
    </w:p>
    <w:p w14:paraId="0A19E69C" w14:textId="7936DBB5" w:rsidR="00EE4039" w:rsidRDefault="00EE4039">
      <w:pPr>
        <w:jc w:val="both"/>
        <w:rPr>
          <w:rFonts w:ascii="Arial" w:hAnsi="Arial"/>
          <w:sz w:val="22"/>
          <w:lang w:val="fr-FR"/>
        </w:rPr>
      </w:pPr>
      <w:r w:rsidRPr="00A619A0">
        <w:rPr>
          <w:rFonts w:ascii="Arial" w:hAnsi="Arial"/>
          <w:sz w:val="22"/>
          <w:lang w:val="fr-FR"/>
        </w:rPr>
        <w:t>Il est également possible de prévoir que les oblig</w:t>
      </w:r>
      <w:r w:rsidR="00B210BD" w:rsidRPr="00A619A0">
        <w:rPr>
          <w:rFonts w:ascii="Arial" w:hAnsi="Arial"/>
          <w:sz w:val="22"/>
          <w:lang w:val="fr-FR"/>
        </w:rPr>
        <w:t>ations émises par la société pe</w:t>
      </w:r>
      <w:r w:rsidRPr="00A619A0">
        <w:rPr>
          <w:rFonts w:ascii="Arial" w:hAnsi="Arial"/>
          <w:sz w:val="22"/>
          <w:lang w:val="fr-FR"/>
        </w:rPr>
        <w:t>r</w:t>
      </w:r>
      <w:r w:rsidR="00B210BD" w:rsidRPr="00A619A0">
        <w:rPr>
          <w:rFonts w:ascii="Arial" w:hAnsi="Arial"/>
          <w:sz w:val="22"/>
          <w:lang w:val="fr-FR"/>
        </w:rPr>
        <w:t>m</w:t>
      </w:r>
      <w:r w:rsidRPr="00A619A0">
        <w:rPr>
          <w:rFonts w:ascii="Arial" w:hAnsi="Arial"/>
          <w:sz w:val="22"/>
          <w:lang w:val="fr-FR"/>
        </w:rPr>
        <w:t>ettront de sous</w:t>
      </w:r>
      <w:r w:rsidR="00B210BD" w:rsidRPr="00A619A0">
        <w:rPr>
          <w:rFonts w:ascii="Arial" w:hAnsi="Arial"/>
          <w:sz w:val="22"/>
          <w:lang w:val="fr-FR"/>
        </w:rPr>
        <w:t>crire l</w:t>
      </w:r>
      <w:r w:rsidRPr="00A619A0">
        <w:rPr>
          <w:rFonts w:ascii="Arial" w:hAnsi="Arial"/>
          <w:sz w:val="22"/>
          <w:lang w:val="fr-FR"/>
        </w:rPr>
        <w:t>es actions d’une filiale</w:t>
      </w:r>
      <w:r w:rsidR="00B210BD" w:rsidRPr="00A619A0">
        <w:rPr>
          <w:rFonts w:ascii="Arial" w:hAnsi="Arial"/>
          <w:sz w:val="22"/>
          <w:lang w:val="fr-FR"/>
        </w:rPr>
        <w:t>.</w:t>
      </w:r>
    </w:p>
    <w:p w14:paraId="419D3BE1" w14:textId="594DBE39" w:rsidR="00F3182D" w:rsidRDefault="00F3182D">
      <w:pPr>
        <w:jc w:val="both"/>
        <w:rPr>
          <w:rFonts w:ascii="Arial" w:hAnsi="Arial"/>
          <w:sz w:val="22"/>
          <w:lang w:val="fr-FR"/>
        </w:rPr>
      </w:pPr>
      <w:r>
        <w:rPr>
          <w:rFonts w:ascii="Arial" w:hAnsi="Arial"/>
          <w:sz w:val="22"/>
          <w:lang w:val="fr-FR"/>
        </w:rPr>
        <w:t>On trouve également des combinaisons : conversion + bons de souscription, OCABSA</w:t>
      </w:r>
    </w:p>
    <w:p w14:paraId="55C582CD" w14:textId="77777777" w:rsidR="00F3182D" w:rsidRDefault="00F3182D">
      <w:pPr>
        <w:jc w:val="both"/>
        <w:rPr>
          <w:rFonts w:ascii="Arial" w:hAnsi="Arial"/>
          <w:sz w:val="22"/>
          <w:lang w:val="fr-FR"/>
        </w:rPr>
      </w:pPr>
    </w:p>
    <w:p w14:paraId="6F8D6067" w14:textId="3A2A69FC" w:rsidR="00C330DB" w:rsidRDefault="008764B2">
      <w:pPr>
        <w:jc w:val="both"/>
        <w:rPr>
          <w:rFonts w:ascii="Arial" w:hAnsi="Arial"/>
          <w:sz w:val="22"/>
          <w:lang w:val="fr-FR"/>
        </w:rPr>
      </w:pPr>
      <w:r>
        <w:rPr>
          <w:rFonts w:ascii="Arial" w:hAnsi="Arial"/>
          <w:sz w:val="22"/>
          <w:lang w:val="fr-FR"/>
        </w:rPr>
        <w:lastRenderedPageBreak/>
        <w:t>L’</w:t>
      </w:r>
      <w:r w:rsidR="00F9575C">
        <w:rPr>
          <w:rFonts w:ascii="Arial" w:hAnsi="Arial"/>
          <w:sz w:val="22"/>
          <w:lang w:val="fr-FR"/>
        </w:rPr>
        <w:t>obligation avec bons de souscription</w:t>
      </w:r>
      <w:r w:rsidR="00C330DB" w:rsidRPr="00A619A0">
        <w:rPr>
          <w:rFonts w:ascii="Arial" w:hAnsi="Arial"/>
          <w:sz w:val="22"/>
          <w:lang w:val="fr-FR"/>
        </w:rPr>
        <w:t xml:space="preserve"> présente cependant un risque pour l’investisseur : la société peut ne pas être tenue de réaliser l’augmentation de capital ultérieure ! En outre, la société peut éventuellement procéder au remboursement anticipé de l’emprunt. Dans les deux cas, l’obligataire perdrait l’exercice de ses bons.</w:t>
      </w:r>
    </w:p>
    <w:p w14:paraId="0830BF64" w14:textId="512B26CF" w:rsidR="003C0299" w:rsidRDefault="003C0299">
      <w:pPr>
        <w:jc w:val="both"/>
        <w:rPr>
          <w:rFonts w:ascii="Arial" w:hAnsi="Arial"/>
          <w:sz w:val="22"/>
          <w:lang w:val="fr-FR"/>
        </w:rPr>
      </w:pPr>
    </w:p>
    <w:p w14:paraId="7F7CB7F9" w14:textId="73E796BF" w:rsidR="003C0299" w:rsidRPr="00A619A0" w:rsidRDefault="003C0299">
      <w:pPr>
        <w:jc w:val="both"/>
        <w:rPr>
          <w:rFonts w:ascii="Arial" w:hAnsi="Arial"/>
          <w:sz w:val="22"/>
          <w:lang w:val="fr-FR"/>
        </w:rPr>
      </w:pPr>
      <w:r>
        <w:rPr>
          <w:rFonts w:ascii="Arial" w:hAnsi="Arial"/>
          <w:sz w:val="22"/>
          <w:lang w:val="fr-FR"/>
        </w:rPr>
        <w:t>L</w:t>
      </w:r>
      <w:r w:rsidRPr="003C0299">
        <w:rPr>
          <w:rFonts w:ascii="Arial" w:hAnsi="Arial"/>
          <w:sz w:val="22"/>
          <w:lang w:val="fr-FR"/>
        </w:rPr>
        <w:t>a rémunération visée à l'article 39-1 1° ter du CGI</w:t>
      </w:r>
      <w:r>
        <w:rPr>
          <w:rFonts w:ascii="Arial" w:hAnsi="Arial"/>
          <w:sz w:val="22"/>
          <w:lang w:val="fr-FR"/>
        </w:rPr>
        <w:t xml:space="preserve"> </w:t>
      </w:r>
      <w:r>
        <w:rPr>
          <w:rStyle w:val="Appelnotedebasdep"/>
          <w:rFonts w:ascii="Arial" w:hAnsi="Arial"/>
          <w:sz w:val="22"/>
          <w:lang w:val="fr-FR"/>
        </w:rPr>
        <w:footnoteReference w:id="2"/>
      </w:r>
      <w:r w:rsidRPr="003C0299">
        <w:rPr>
          <w:rFonts w:ascii="Arial" w:hAnsi="Arial"/>
          <w:sz w:val="22"/>
          <w:lang w:val="fr-FR"/>
        </w:rPr>
        <w:t xml:space="preserve"> est prise en compte pour l'application de la limitation de la déduction des sommes mises ou laissées à la disposition d'une société par ses actionnaires ou associés</w:t>
      </w:r>
    </w:p>
    <w:p w14:paraId="1DB84FC6" w14:textId="77777777" w:rsidR="00C330DB" w:rsidRPr="00A619A0" w:rsidRDefault="00C330DB">
      <w:pPr>
        <w:jc w:val="both"/>
        <w:rPr>
          <w:rFonts w:ascii="Arial" w:hAnsi="Arial"/>
          <w:sz w:val="22"/>
          <w:lang w:val="fr-FR"/>
        </w:rPr>
      </w:pPr>
    </w:p>
    <w:p w14:paraId="42D91840" w14:textId="277C8C96" w:rsidR="00C330DB" w:rsidRPr="00A619A0" w:rsidRDefault="009F7549">
      <w:pPr>
        <w:jc w:val="both"/>
        <w:rPr>
          <w:rFonts w:ascii="Arial" w:hAnsi="Arial"/>
          <w:sz w:val="22"/>
          <w:lang w:val="fr-FR"/>
        </w:rPr>
      </w:pPr>
      <w:r w:rsidRPr="00A619A0">
        <w:rPr>
          <w:rFonts w:ascii="Arial" w:hAnsi="Arial"/>
          <w:sz w:val="22"/>
          <w:lang w:val="fr-FR"/>
        </w:rPr>
        <w:t>Il existe une variant</w:t>
      </w:r>
      <w:r w:rsidR="00207741" w:rsidRPr="00A619A0">
        <w:rPr>
          <w:rFonts w:ascii="Arial" w:hAnsi="Arial"/>
          <w:sz w:val="22"/>
          <w:lang w:val="fr-FR"/>
        </w:rPr>
        <w:t>e</w:t>
      </w:r>
      <w:r w:rsidRPr="00A619A0">
        <w:rPr>
          <w:rFonts w:ascii="Arial" w:hAnsi="Arial"/>
          <w:sz w:val="22"/>
          <w:lang w:val="fr-FR"/>
        </w:rPr>
        <w:t xml:space="preserve"> plus sécurisée pour l’investisseur : les </w:t>
      </w:r>
      <w:r w:rsidRPr="00A619A0">
        <w:rPr>
          <w:rFonts w:ascii="Arial" w:hAnsi="Arial"/>
          <w:b/>
          <w:sz w:val="22"/>
          <w:lang w:val="fr-FR"/>
        </w:rPr>
        <w:t>bons remboursables</w:t>
      </w:r>
      <w:r w:rsidRPr="00A619A0">
        <w:rPr>
          <w:rFonts w:ascii="Arial" w:hAnsi="Arial"/>
          <w:sz w:val="22"/>
          <w:lang w:val="fr-FR"/>
        </w:rPr>
        <w:t>.</w:t>
      </w:r>
      <w:r w:rsidR="00AA6E75" w:rsidRPr="00A619A0">
        <w:rPr>
          <w:rFonts w:ascii="Arial" w:hAnsi="Arial"/>
          <w:sz w:val="22"/>
          <w:lang w:val="fr-FR"/>
        </w:rPr>
        <w:t xml:space="preserve"> En effet, dans le cas où la société émettrice ne donnerait pas suite à l’opération d’émission d’actions, le bon tomberait en non</w:t>
      </w:r>
      <w:r w:rsidR="00175744">
        <w:rPr>
          <w:rFonts w:ascii="Arial" w:hAnsi="Arial"/>
          <w:sz w:val="22"/>
          <w:lang w:val="fr-FR"/>
        </w:rPr>
        <w:t>-</w:t>
      </w:r>
      <w:r w:rsidR="00AA6E75" w:rsidRPr="00A619A0">
        <w:rPr>
          <w:rFonts w:ascii="Arial" w:hAnsi="Arial"/>
          <w:sz w:val="22"/>
          <w:lang w:val="fr-FR"/>
        </w:rPr>
        <w:t>valeur. L’OBSAR garantit un remboursement au souscripteur déçu !</w:t>
      </w:r>
    </w:p>
    <w:p w14:paraId="1D84275E" w14:textId="77777777" w:rsidR="00C330DB" w:rsidRPr="00A619A0" w:rsidRDefault="00C330DB">
      <w:pPr>
        <w:jc w:val="both"/>
        <w:rPr>
          <w:rFonts w:ascii="Arial" w:hAnsi="Arial"/>
          <w:sz w:val="22"/>
          <w:lang w:val="fr-FR"/>
        </w:rPr>
      </w:pPr>
    </w:p>
    <w:p w14:paraId="71E70C00"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b/>
          <w:i/>
          <w:sz w:val="20"/>
          <w:szCs w:val="20"/>
          <w:lang w:val="fr-FR"/>
        </w:rPr>
      </w:pPr>
      <w:r w:rsidRPr="002B0D98">
        <w:rPr>
          <w:rFonts w:ascii="Arial" w:hAnsi="Arial"/>
          <w:b/>
          <w:i/>
          <w:sz w:val="20"/>
          <w:szCs w:val="20"/>
          <w:lang w:val="fr-FR"/>
        </w:rPr>
        <w:t>PCAS ANNONCE L’EMISSION D’OBLIGATIONS A BONS DE SOUSCRIPTION D’ACTIONS REMBOURSABLES (OBSAR) POUR UN MONTANT</w:t>
      </w:r>
      <w:r w:rsidR="009F7549" w:rsidRPr="002B0D98">
        <w:rPr>
          <w:rFonts w:ascii="Arial" w:hAnsi="Arial"/>
          <w:b/>
          <w:i/>
          <w:sz w:val="20"/>
          <w:szCs w:val="20"/>
          <w:lang w:val="fr-FR"/>
        </w:rPr>
        <w:t xml:space="preserve"> D’ENVIRON 18 MILLIONS D’EUROS</w:t>
      </w:r>
    </w:p>
    <w:p w14:paraId="47C44772"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2B0D98">
        <w:rPr>
          <w:rFonts w:ascii="Arial" w:hAnsi="Arial"/>
          <w:i/>
          <w:sz w:val="20"/>
          <w:szCs w:val="20"/>
          <w:lang w:val="fr-FR"/>
        </w:rPr>
        <w:t>(Visa n° 07-179 délivré par l’AMF en date du 11 juin 2007)</w:t>
      </w:r>
    </w:p>
    <w:p w14:paraId="4FF5CC89"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2B0D98">
        <w:rPr>
          <w:rFonts w:ascii="Arial" w:hAnsi="Arial"/>
          <w:i/>
          <w:sz w:val="20"/>
          <w:szCs w:val="20"/>
          <w:lang w:val="fr-FR"/>
        </w:rPr>
        <w:t>Cette émission, d’un montant d’environ 18 millions d’euros, susceptible d’être porté à 20 millions d’euros, a pour objectif de diversifier les sources de financement de la société et d’allonger la maturité moyenne de sa dette.</w:t>
      </w:r>
    </w:p>
    <w:p w14:paraId="23B481BB"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p>
    <w:p w14:paraId="5EE1B43B"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b/>
          <w:i/>
          <w:sz w:val="20"/>
          <w:szCs w:val="20"/>
          <w:lang w:val="fr-FR"/>
        </w:rPr>
      </w:pPr>
      <w:r w:rsidRPr="002B0D98">
        <w:rPr>
          <w:rFonts w:ascii="Arial" w:hAnsi="Arial"/>
          <w:b/>
          <w:i/>
          <w:sz w:val="20"/>
          <w:szCs w:val="20"/>
          <w:lang w:val="fr-FR"/>
        </w:rPr>
        <w:t>PRINCIPALES MODALITES</w:t>
      </w:r>
    </w:p>
    <w:p w14:paraId="13CC1859"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2B0D98">
        <w:rPr>
          <w:rFonts w:ascii="Arial" w:hAnsi="Arial"/>
          <w:i/>
          <w:sz w:val="20"/>
          <w:szCs w:val="20"/>
          <w:lang w:val="fr-FR"/>
        </w:rPr>
        <w:t>Nombre d’OBSAR à émettre 30 000</w:t>
      </w:r>
    </w:p>
    <w:p w14:paraId="17CECACD"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2B0D98">
        <w:rPr>
          <w:rFonts w:ascii="Arial" w:hAnsi="Arial"/>
          <w:i/>
          <w:sz w:val="20"/>
          <w:szCs w:val="20"/>
          <w:lang w:val="fr-FR"/>
        </w:rPr>
        <w:t>Valeur nominale unitaire des OBSAR 600 euros</w:t>
      </w:r>
    </w:p>
    <w:p w14:paraId="7346E459"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2B0D98">
        <w:rPr>
          <w:rFonts w:ascii="Arial" w:hAnsi="Arial"/>
          <w:i/>
          <w:sz w:val="20"/>
          <w:szCs w:val="20"/>
          <w:lang w:val="fr-FR"/>
        </w:rPr>
        <w:t>Prix d’émission des OBSAR 600 euros</w:t>
      </w:r>
    </w:p>
    <w:p w14:paraId="5203550D"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2B0D98">
        <w:rPr>
          <w:rFonts w:ascii="Arial" w:hAnsi="Arial"/>
          <w:i/>
          <w:sz w:val="20"/>
          <w:szCs w:val="20"/>
          <w:lang w:val="fr-FR"/>
        </w:rPr>
        <w:t>Produit net de l’émission Environ 17,4 millions d’euros susceptible d’être porté à environ 19,4 millions d’euros (en cas d’exercice intégral de la Clause d’Extension).</w:t>
      </w:r>
    </w:p>
    <w:p w14:paraId="6601434E"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p>
    <w:p w14:paraId="5980007E"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b/>
          <w:i/>
          <w:sz w:val="20"/>
          <w:szCs w:val="20"/>
          <w:lang w:val="fr-FR"/>
        </w:rPr>
      </w:pPr>
      <w:r w:rsidRPr="002B0D98">
        <w:rPr>
          <w:rFonts w:ascii="Arial" w:hAnsi="Arial"/>
          <w:b/>
          <w:i/>
          <w:sz w:val="20"/>
          <w:szCs w:val="20"/>
          <w:lang w:val="fr-FR"/>
        </w:rPr>
        <w:t>CARACTERISTIQUES DES OBLIGATIONS</w:t>
      </w:r>
    </w:p>
    <w:p w14:paraId="1E9FD6F7"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2B0D98">
        <w:rPr>
          <w:rFonts w:ascii="Arial" w:hAnsi="Arial"/>
          <w:i/>
          <w:sz w:val="20"/>
          <w:szCs w:val="20"/>
          <w:lang w:val="fr-FR"/>
        </w:rPr>
        <w:t>Durée de l’emprunt : Jusqu'au 31 décembre 2012. Les obligations objets de l’offre seront amorties en une seule fois à maturité par paiement d’un prix compris entre 100 et 102 % de leur valeur nominale, soit entre 600 et 612 euros par Obligation.</w:t>
      </w:r>
    </w:p>
    <w:p w14:paraId="75067880"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2B0D98">
        <w:rPr>
          <w:rFonts w:ascii="Arial" w:hAnsi="Arial"/>
          <w:i/>
          <w:sz w:val="20"/>
          <w:szCs w:val="20"/>
          <w:lang w:val="fr-FR"/>
        </w:rPr>
        <w:t>Intérêt annuel : Les Obligations porteront intérêt à un taux compris entre 5,25 et 5,75 % l’an, payable trimestriellement à terme échu.</w:t>
      </w:r>
    </w:p>
    <w:p w14:paraId="1449BE3D"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p>
    <w:p w14:paraId="6C13E7D3"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b/>
          <w:i/>
          <w:sz w:val="20"/>
          <w:szCs w:val="20"/>
          <w:lang w:val="fr-FR"/>
        </w:rPr>
      </w:pPr>
      <w:r w:rsidRPr="002B0D98">
        <w:rPr>
          <w:rFonts w:ascii="Arial" w:hAnsi="Arial"/>
          <w:b/>
          <w:i/>
          <w:sz w:val="20"/>
          <w:szCs w:val="20"/>
          <w:lang w:val="fr-FR"/>
        </w:rPr>
        <w:t>CARACTERISTIQUES DES BSAR</w:t>
      </w:r>
    </w:p>
    <w:p w14:paraId="52B1764C"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2B0D98">
        <w:rPr>
          <w:rFonts w:ascii="Arial" w:hAnsi="Arial"/>
          <w:i/>
          <w:sz w:val="20"/>
          <w:szCs w:val="20"/>
          <w:lang w:val="fr-FR"/>
        </w:rPr>
        <w:t>Nombre de BSAR attachés à chaque Obligation : 100 BSAR.</w:t>
      </w:r>
    </w:p>
    <w:p w14:paraId="7D142A22"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2B0D98">
        <w:rPr>
          <w:rFonts w:ascii="Arial" w:hAnsi="Arial"/>
          <w:i/>
          <w:sz w:val="20"/>
          <w:szCs w:val="20"/>
          <w:lang w:val="fr-FR"/>
        </w:rPr>
        <w:t>Les BSAR seront immédiatement détachables des Obligations et librement cessibles.</w:t>
      </w:r>
    </w:p>
    <w:p w14:paraId="09A1431B"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2B0D98">
        <w:rPr>
          <w:rFonts w:ascii="Arial" w:hAnsi="Arial"/>
          <w:i/>
          <w:sz w:val="20"/>
          <w:szCs w:val="20"/>
          <w:lang w:val="fr-FR"/>
        </w:rPr>
        <w:t>Parité d’exercice des BSAR : Sous réserve d'ajustements éventuels, un BSAR donne le droit de souscrire à une action nouvelle de la Société.</w:t>
      </w:r>
    </w:p>
    <w:p w14:paraId="0A9813E4"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2B0D98">
        <w:rPr>
          <w:rFonts w:ascii="Arial" w:hAnsi="Arial"/>
          <w:i/>
          <w:sz w:val="20"/>
          <w:szCs w:val="20"/>
          <w:lang w:val="fr-FR"/>
        </w:rPr>
        <w:t>Nombre d'actions susceptibles d'être émises par exercice des BSAR : Sous réserve d'ajustements éventuels, 3 000 000 de BSAR donneraient lieu à l’émission d’autant d’actions représentant 23,1 % du capital et 16,6 % des droits de vote de la Société sur la base du nombre d’actions composant le capital social à la date de la présente note d’opération.</w:t>
      </w:r>
    </w:p>
    <w:p w14:paraId="345BB4B1" w14:textId="5E00135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2B0D98">
        <w:rPr>
          <w:rFonts w:ascii="Arial" w:hAnsi="Arial"/>
          <w:i/>
          <w:sz w:val="20"/>
          <w:szCs w:val="20"/>
          <w:lang w:val="fr-FR"/>
        </w:rPr>
        <w:t>Prix d’exercice des BSAR : Le prix d’exercice des BSAR extériorisera une prime de 20% sur le cours moyen pondéré par les volumes de PCAS des 60 jours de bourse arrêté à la clôture du placement privé.</w:t>
      </w:r>
      <w:r w:rsidR="00FB40F4">
        <w:rPr>
          <w:rFonts w:ascii="Arial" w:hAnsi="Arial"/>
          <w:i/>
          <w:sz w:val="20"/>
          <w:szCs w:val="20"/>
          <w:lang w:val="fr-FR"/>
        </w:rPr>
        <w:t xml:space="preserve"> </w:t>
      </w:r>
      <w:r w:rsidRPr="002B0D98">
        <w:rPr>
          <w:rFonts w:ascii="Arial" w:hAnsi="Arial"/>
          <w:i/>
          <w:sz w:val="20"/>
          <w:szCs w:val="20"/>
          <w:lang w:val="fr-FR"/>
        </w:rPr>
        <w:t xml:space="preserve">Période d’Exercice des BSAR : </w:t>
      </w:r>
      <w:r w:rsidR="00E51A48" w:rsidRPr="002B0D98">
        <w:rPr>
          <w:rFonts w:ascii="Arial" w:hAnsi="Arial"/>
          <w:i/>
          <w:sz w:val="20"/>
          <w:szCs w:val="20"/>
          <w:lang w:val="fr-FR"/>
        </w:rPr>
        <w:t>À tout moment</w:t>
      </w:r>
      <w:r w:rsidRPr="002B0D98">
        <w:rPr>
          <w:rFonts w:ascii="Arial" w:hAnsi="Arial"/>
          <w:i/>
          <w:sz w:val="20"/>
          <w:szCs w:val="20"/>
          <w:lang w:val="fr-FR"/>
        </w:rPr>
        <w:t xml:space="preserve"> à compter de leur date d’émission jusqu’au 31 décembre 2012.</w:t>
      </w:r>
    </w:p>
    <w:p w14:paraId="3D2FAC8A"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b/>
          <w:i/>
          <w:sz w:val="20"/>
          <w:szCs w:val="20"/>
          <w:u w:val="single"/>
          <w:lang w:val="fr-FR"/>
        </w:rPr>
      </w:pPr>
      <w:r w:rsidRPr="002B0D98">
        <w:rPr>
          <w:rFonts w:ascii="Arial" w:hAnsi="Arial"/>
          <w:b/>
          <w:i/>
          <w:sz w:val="20"/>
          <w:szCs w:val="20"/>
          <w:u w:val="single"/>
          <w:lang w:val="fr-FR"/>
        </w:rPr>
        <w:t>Remboursement des BSAR à l’initiative de la Société</w:t>
      </w:r>
    </w:p>
    <w:p w14:paraId="68FAF37C" w14:textId="77777777" w:rsidR="00174C3B" w:rsidRPr="002B0D98" w:rsidRDefault="00174C3B" w:rsidP="00174C3B">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2B0D98">
        <w:rPr>
          <w:rFonts w:ascii="Arial" w:hAnsi="Arial"/>
          <w:i/>
          <w:sz w:val="20"/>
          <w:szCs w:val="20"/>
          <w:lang w:val="fr-FR"/>
        </w:rPr>
        <w:t>La Société pourra, à son seul gré, procéder à tout moment, à compter du 1er janvier 2011 jusqu'à la fin de la période d’exercice du BSAR considéré, au remboursement anticipé de</w:t>
      </w:r>
      <w:r w:rsidR="009F7549" w:rsidRPr="002B0D98">
        <w:rPr>
          <w:rFonts w:ascii="Arial" w:hAnsi="Arial"/>
          <w:i/>
          <w:sz w:val="20"/>
          <w:szCs w:val="20"/>
          <w:lang w:val="fr-FR"/>
        </w:rPr>
        <w:t xml:space="preserve"> </w:t>
      </w:r>
      <w:r w:rsidRPr="002B0D98">
        <w:rPr>
          <w:rFonts w:ascii="Arial" w:hAnsi="Arial"/>
          <w:i/>
          <w:sz w:val="20"/>
          <w:szCs w:val="20"/>
          <w:lang w:val="fr-FR"/>
        </w:rPr>
        <w:t>tout ou partie des BSAR restant en circulation au prix unitaire de 0,01 euro ; La Société se réserve le droit de procéder à tout moment, sans limitation de prix ni de quantité, à des rachats de gré à gré, en bourse ou hors bourse de BSAR, ou à des offres publiques d'achat ou d'échange de BSAR.</w:t>
      </w:r>
    </w:p>
    <w:p w14:paraId="7E5BD594" w14:textId="601F4CCD" w:rsidR="00174C3B" w:rsidRPr="00572724" w:rsidRDefault="00C71D79">
      <w:pPr>
        <w:jc w:val="both"/>
        <w:rPr>
          <w:rFonts w:ascii="Arial" w:hAnsi="Arial"/>
          <w:iCs/>
          <w:sz w:val="22"/>
          <w:lang w:val="fr-FR"/>
        </w:rPr>
      </w:pPr>
      <w:r w:rsidRPr="00572724">
        <w:rPr>
          <w:rFonts w:ascii="Arial" w:hAnsi="Arial"/>
          <w:iCs/>
          <w:sz w:val="22"/>
          <w:lang w:val="fr-FR"/>
        </w:rPr>
        <w:t>Note : pour ces OBSAR, ce sont les bons qui sont remboursables et non les actions !</w:t>
      </w:r>
    </w:p>
    <w:p w14:paraId="241D806F" w14:textId="77777777" w:rsidR="00174C3B" w:rsidRPr="00A619A0" w:rsidRDefault="00174C3B">
      <w:pPr>
        <w:jc w:val="both"/>
        <w:rPr>
          <w:rFonts w:ascii="Arial" w:hAnsi="Arial"/>
          <w:sz w:val="22"/>
          <w:lang w:val="fr-FR"/>
        </w:rPr>
      </w:pPr>
    </w:p>
    <w:p w14:paraId="7D6208EC" w14:textId="06F5FE06" w:rsidR="00162FA5" w:rsidRDefault="00174C3B">
      <w:pPr>
        <w:jc w:val="both"/>
        <w:rPr>
          <w:rFonts w:ascii="Arial" w:hAnsi="Arial"/>
          <w:sz w:val="22"/>
          <w:lang w:val="fr-FR"/>
        </w:rPr>
      </w:pPr>
      <w:r w:rsidRPr="00A619A0">
        <w:rPr>
          <w:rFonts w:ascii="Arial" w:hAnsi="Arial"/>
          <w:sz w:val="22"/>
          <w:lang w:val="fr-FR"/>
        </w:rPr>
        <w:lastRenderedPageBreak/>
        <w:t xml:space="preserve">L'imagination des financiers et des "commerciaux" chargés de placer ces titres étant débordante, les besoins financiers de l'entreprise étant importants et les exigences des investisseurs étant contraignantes, on assiste à la création de formes complémentaires d'obligations : </w:t>
      </w:r>
    </w:p>
    <w:p w14:paraId="1DF10E0A" w14:textId="77777777" w:rsidR="00ED6EB2" w:rsidRDefault="00ED6EB2">
      <w:pPr>
        <w:jc w:val="both"/>
        <w:rPr>
          <w:rFonts w:ascii="Arial" w:hAnsi="Arial"/>
          <w:sz w:val="22"/>
          <w:lang w:val="fr-FR"/>
        </w:rPr>
      </w:pPr>
    </w:p>
    <w:p w14:paraId="34FD3501" w14:textId="77777777" w:rsidR="00162FA5" w:rsidRPr="00A619A0" w:rsidRDefault="00162FA5">
      <w:pPr>
        <w:jc w:val="both"/>
        <w:rPr>
          <w:rFonts w:ascii="Arial" w:hAnsi="Arial"/>
          <w:sz w:val="22"/>
          <w:lang w:val="fr-FR"/>
        </w:rPr>
      </w:pPr>
    </w:p>
    <w:p w14:paraId="1964E9DD" w14:textId="77777777" w:rsidR="00174C3B" w:rsidRPr="00630013" w:rsidRDefault="00174C3B" w:rsidP="00174C3B">
      <w:pPr>
        <w:pBdr>
          <w:top w:val="single" w:sz="4" w:space="1" w:color="auto"/>
          <w:left w:val="single" w:sz="4" w:space="4" w:color="auto"/>
          <w:bottom w:val="single" w:sz="4" w:space="1" w:color="auto"/>
          <w:right w:val="single" w:sz="4" w:space="4" w:color="auto"/>
        </w:pBdr>
        <w:jc w:val="both"/>
        <w:rPr>
          <w:rFonts w:ascii="Arial" w:hAnsi="Arial" w:cs="Arial"/>
          <w:i/>
          <w:sz w:val="20"/>
          <w:szCs w:val="20"/>
          <w:lang w:val="fr-FR"/>
        </w:rPr>
      </w:pPr>
      <w:r w:rsidRPr="00630013">
        <w:rPr>
          <w:rFonts w:ascii="Arial" w:hAnsi="Arial" w:cs="Arial"/>
          <w:i/>
          <w:sz w:val="20"/>
          <w:szCs w:val="20"/>
          <w:lang w:val="fr-FR"/>
        </w:rPr>
        <w:t>OBSA</w:t>
      </w:r>
      <w:r w:rsidRPr="00630013">
        <w:rPr>
          <w:rFonts w:ascii="Arial" w:hAnsi="Arial" w:cs="Arial"/>
          <w:b/>
          <w:i/>
          <w:sz w:val="20"/>
          <w:szCs w:val="20"/>
          <w:u w:val="single"/>
          <w:lang w:val="fr-FR"/>
        </w:rPr>
        <w:t>R</w:t>
      </w:r>
      <w:r w:rsidRPr="00630013">
        <w:rPr>
          <w:rFonts w:ascii="Arial" w:hAnsi="Arial" w:cs="Arial"/>
          <w:i/>
          <w:sz w:val="20"/>
          <w:szCs w:val="20"/>
          <w:lang w:val="fr-FR"/>
        </w:rPr>
        <w:t xml:space="preserve"> : obligation à bon de souscription d’action remboursable.</w:t>
      </w:r>
    </w:p>
    <w:p w14:paraId="4F6C73FD" w14:textId="09421068" w:rsidR="00174C3B" w:rsidRPr="00630013" w:rsidRDefault="00174C3B" w:rsidP="00174C3B">
      <w:pPr>
        <w:pBdr>
          <w:top w:val="single" w:sz="4" w:space="1" w:color="auto"/>
          <w:left w:val="single" w:sz="4" w:space="4" w:color="auto"/>
          <w:bottom w:val="single" w:sz="4" w:space="1" w:color="auto"/>
          <w:right w:val="single" w:sz="4" w:space="4" w:color="auto"/>
        </w:pBdr>
        <w:jc w:val="both"/>
        <w:rPr>
          <w:rFonts w:ascii="Arial" w:hAnsi="Arial" w:cs="Arial"/>
          <w:i/>
          <w:sz w:val="20"/>
          <w:szCs w:val="20"/>
          <w:lang w:val="fr-FR"/>
        </w:rPr>
      </w:pPr>
      <w:r w:rsidRPr="00630013">
        <w:rPr>
          <w:rFonts w:ascii="Arial" w:hAnsi="Arial" w:cs="Arial"/>
          <w:i/>
          <w:sz w:val="20"/>
          <w:szCs w:val="20"/>
          <w:lang w:val="fr-FR"/>
        </w:rPr>
        <w:t>OBSA</w:t>
      </w:r>
      <w:r w:rsidRPr="00630013">
        <w:rPr>
          <w:rFonts w:ascii="Arial" w:hAnsi="Arial" w:cs="Arial"/>
          <w:b/>
          <w:i/>
          <w:sz w:val="20"/>
          <w:szCs w:val="20"/>
          <w:u w:val="single"/>
          <w:lang w:val="fr-FR"/>
        </w:rPr>
        <w:t>AR</w:t>
      </w:r>
      <w:r w:rsidRPr="00630013">
        <w:rPr>
          <w:rFonts w:ascii="Arial" w:hAnsi="Arial" w:cs="Arial"/>
          <w:i/>
          <w:sz w:val="20"/>
          <w:szCs w:val="20"/>
          <w:lang w:val="fr-FR"/>
        </w:rPr>
        <w:t xml:space="preserve"> : </w:t>
      </w:r>
      <w:hyperlink r:id="rId9" w:history="1">
        <w:r w:rsidRPr="00630013">
          <w:rPr>
            <w:rFonts w:ascii="Arial" w:hAnsi="Arial" w:cs="Arial"/>
            <w:sz w:val="20"/>
            <w:szCs w:val="20"/>
            <w:lang w:val="fr-FR"/>
          </w:rPr>
          <w:t>Obligation</w:t>
        </w:r>
      </w:hyperlink>
      <w:r w:rsidRPr="00630013">
        <w:rPr>
          <w:rFonts w:ascii="Arial" w:hAnsi="Arial" w:cs="Arial"/>
          <w:sz w:val="20"/>
          <w:szCs w:val="20"/>
          <w:lang w:val="fr-FR"/>
        </w:rPr>
        <w:t xml:space="preserve"> à </w:t>
      </w:r>
      <w:hyperlink r:id="rId10" w:history="1">
        <w:r w:rsidRPr="00630013">
          <w:rPr>
            <w:rFonts w:ascii="Arial" w:hAnsi="Arial" w:cs="Arial"/>
            <w:sz w:val="20"/>
            <w:szCs w:val="20"/>
            <w:lang w:val="fr-FR"/>
          </w:rPr>
          <w:t>Bon de Souscription</w:t>
        </w:r>
      </w:hyperlink>
      <w:r w:rsidRPr="00630013">
        <w:rPr>
          <w:rFonts w:ascii="Arial" w:hAnsi="Arial" w:cs="Arial"/>
          <w:sz w:val="20"/>
          <w:szCs w:val="20"/>
          <w:lang w:val="fr-FR"/>
        </w:rPr>
        <w:t xml:space="preserve"> et/ou d'</w:t>
      </w:r>
      <w:hyperlink r:id="rId11" w:history="1">
        <w:r w:rsidRPr="00630013">
          <w:rPr>
            <w:rFonts w:ascii="Arial" w:hAnsi="Arial" w:cs="Arial"/>
            <w:sz w:val="20"/>
            <w:szCs w:val="20"/>
            <w:lang w:val="fr-FR"/>
          </w:rPr>
          <w:t>Acquisition</w:t>
        </w:r>
      </w:hyperlink>
      <w:r w:rsidRPr="00630013">
        <w:rPr>
          <w:rFonts w:ascii="Arial" w:hAnsi="Arial" w:cs="Arial"/>
          <w:sz w:val="20"/>
          <w:szCs w:val="20"/>
          <w:lang w:val="fr-FR"/>
        </w:rPr>
        <w:t xml:space="preserve"> d'</w:t>
      </w:r>
      <w:hyperlink r:id="rId12" w:history="1">
        <w:r w:rsidRPr="00630013">
          <w:rPr>
            <w:rFonts w:ascii="Arial" w:hAnsi="Arial" w:cs="Arial"/>
            <w:sz w:val="20"/>
            <w:szCs w:val="20"/>
            <w:lang w:val="fr-FR"/>
          </w:rPr>
          <w:t>Action</w:t>
        </w:r>
      </w:hyperlink>
      <w:r w:rsidRPr="00630013">
        <w:rPr>
          <w:rFonts w:ascii="Arial" w:hAnsi="Arial" w:cs="Arial"/>
          <w:sz w:val="20"/>
          <w:szCs w:val="20"/>
          <w:lang w:val="fr-FR"/>
        </w:rPr>
        <w:t xml:space="preserve"> Remboursable. Il s'agit d'une obligation classique à laquelle est adjoint un bon de </w:t>
      </w:r>
      <w:hyperlink r:id="rId13" w:history="1">
        <w:r w:rsidRPr="00630013">
          <w:rPr>
            <w:rFonts w:ascii="Arial" w:hAnsi="Arial" w:cs="Arial"/>
            <w:sz w:val="20"/>
            <w:szCs w:val="20"/>
            <w:lang w:val="fr-FR"/>
          </w:rPr>
          <w:t>souscription</w:t>
        </w:r>
      </w:hyperlink>
      <w:r w:rsidRPr="00630013">
        <w:rPr>
          <w:rFonts w:ascii="Arial" w:hAnsi="Arial" w:cs="Arial"/>
          <w:sz w:val="20"/>
          <w:szCs w:val="20"/>
          <w:lang w:val="fr-FR"/>
        </w:rPr>
        <w:t xml:space="preserve"> ou d'acquisition</w:t>
      </w:r>
      <w:r w:rsidR="00E30F09" w:rsidRPr="00630013">
        <w:rPr>
          <w:rFonts w:ascii="Arial" w:hAnsi="Arial" w:cs="Arial"/>
          <w:sz w:val="20"/>
          <w:szCs w:val="20"/>
          <w:lang w:val="fr-FR"/>
        </w:rPr>
        <w:t xml:space="preserve"> remboursable</w:t>
      </w:r>
      <w:r w:rsidR="00977A84" w:rsidRPr="00630013">
        <w:rPr>
          <w:rFonts w:ascii="Arial" w:hAnsi="Arial" w:cs="Arial"/>
          <w:i/>
          <w:sz w:val="20"/>
          <w:szCs w:val="20"/>
          <w:lang w:val="fr-FR"/>
        </w:rPr>
        <w:t xml:space="preserve"> (</w:t>
      </w:r>
      <w:r w:rsidR="00C71D79" w:rsidRPr="00630013">
        <w:rPr>
          <w:rFonts w:ascii="Arial" w:hAnsi="Arial" w:cs="Arial"/>
          <w:i/>
          <w:sz w:val="20"/>
          <w:szCs w:val="20"/>
          <w:lang w:val="fr-FR"/>
        </w:rPr>
        <w:t>c’est le bon qui est remboursable et non pas l’action)</w:t>
      </w:r>
      <w:r w:rsidRPr="00630013">
        <w:rPr>
          <w:rFonts w:ascii="Arial" w:hAnsi="Arial" w:cs="Arial"/>
          <w:i/>
          <w:sz w:val="20"/>
          <w:szCs w:val="20"/>
          <w:lang w:val="fr-FR"/>
        </w:rPr>
        <w:t>.</w:t>
      </w:r>
    </w:p>
    <w:p w14:paraId="0EAA8D4D" w14:textId="77777777" w:rsidR="00174C3B" w:rsidRPr="00630013" w:rsidRDefault="00174C3B" w:rsidP="00174C3B">
      <w:pPr>
        <w:pBdr>
          <w:top w:val="single" w:sz="4" w:space="1" w:color="auto"/>
          <w:left w:val="single" w:sz="4" w:space="4" w:color="auto"/>
          <w:bottom w:val="single" w:sz="4" w:space="1" w:color="auto"/>
          <w:right w:val="single" w:sz="4" w:space="4" w:color="auto"/>
        </w:pBdr>
        <w:jc w:val="both"/>
        <w:rPr>
          <w:rFonts w:ascii="Arial" w:hAnsi="Arial" w:cs="Arial"/>
          <w:i/>
          <w:sz w:val="20"/>
          <w:szCs w:val="20"/>
          <w:lang w:val="fr-FR"/>
        </w:rPr>
      </w:pPr>
      <w:r w:rsidRPr="00630013">
        <w:rPr>
          <w:rFonts w:ascii="Arial" w:hAnsi="Arial" w:cs="Arial"/>
          <w:i/>
          <w:sz w:val="20"/>
          <w:szCs w:val="20"/>
          <w:lang w:val="fr-FR"/>
        </w:rPr>
        <w:t>O</w:t>
      </w:r>
      <w:r w:rsidRPr="00630013">
        <w:rPr>
          <w:rFonts w:ascii="Arial" w:hAnsi="Arial" w:cs="Arial"/>
          <w:b/>
          <w:i/>
          <w:sz w:val="20"/>
          <w:szCs w:val="20"/>
          <w:u w:val="single"/>
          <w:lang w:val="fr-FR"/>
        </w:rPr>
        <w:t>R</w:t>
      </w:r>
      <w:r w:rsidRPr="00630013">
        <w:rPr>
          <w:rFonts w:ascii="Arial" w:hAnsi="Arial" w:cs="Arial"/>
          <w:i/>
          <w:sz w:val="20"/>
          <w:szCs w:val="20"/>
          <w:lang w:val="fr-FR"/>
        </w:rPr>
        <w:t>A : obligation remboursable en actions.</w:t>
      </w:r>
    </w:p>
    <w:p w14:paraId="3FFB7506" w14:textId="77777777" w:rsidR="00174C3B" w:rsidRPr="00630013" w:rsidRDefault="00174C3B" w:rsidP="00174C3B">
      <w:pPr>
        <w:pBdr>
          <w:top w:val="single" w:sz="4" w:space="1" w:color="auto"/>
          <w:left w:val="single" w:sz="4" w:space="4" w:color="auto"/>
          <w:bottom w:val="single" w:sz="4" w:space="1" w:color="auto"/>
          <w:right w:val="single" w:sz="4" w:space="4" w:color="auto"/>
        </w:pBdr>
        <w:jc w:val="both"/>
        <w:rPr>
          <w:rFonts w:ascii="Arial" w:hAnsi="Arial" w:cs="Arial"/>
          <w:i/>
          <w:sz w:val="20"/>
          <w:szCs w:val="20"/>
          <w:lang w:val="fr-FR"/>
        </w:rPr>
      </w:pPr>
      <w:r w:rsidRPr="00630013">
        <w:rPr>
          <w:rFonts w:ascii="Arial" w:hAnsi="Arial" w:cs="Arial"/>
          <w:i/>
          <w:sz w:val="20"/>
          <w:szCs w:val="20"/>
          <w:lang w:val="fr-FR"/>
        </w:rPr>
        <w:t>O</w:t>
      </w:r>
      <w:r w:rsidRPr="00630013">
        <w:rPr>
          <w:rFonts w:ascii="Arial" w:hAnsi="Arial" w:cs="Arial"/>
          <w:b/>
          <w:i/>
          <w:sz w:val="20"/>
          <w:szCs w:val="20"/>
          <w:u w:val="single"/>
          <w:lang w:val="fr-FR"/>
        </w:rPr>
        <w:t>SR</w:t>
      </w:r>
      <w:r w:rsidRPr="00630013">
        <w:rPr>
          <w:rFonts w:ascii="Arial" w:hAnsi="Arial" w:cs="Arial"/>
          <w:i/>
          <w:sz w:val="20"/>
          <w:szCs w:val="20"/>
          <w:lang w:val="fr-FR"/>
        </w:rPr>
        <w:t>A : obligation subordonnée remboursable en actions.</w:t>
      </w:r>
    </w:p>
    <w:p w14:paraId="2CC54DE8" w14:textId="77777777" w:rsidR="00174C3B" w:rsidRPr="00630013" w:rsidRDefault="00174C3B" w:rsidP="00174C3B">
      <w:pPr>
        <w:pBdr>
          <w:top w:val="single" w:sz="4" w:space="1" w:color="auto"/>
          <w:left w:val="single" w:sz="4" w:space="4" w:color="auto"/>
          <w:bottom w:val="single" w:sz="4" w:space="1" w:color="auto"/>
          <w:right w:val="single" w:sz="4" w:space="4" w:color="auto"/>
        </w:pBdr>
        <w:jc w:val="both"/>
        <w:rPr>
          <w:rFonts w:ascii="Arial" w:hAnsi="Arial" w:cs="Arial"/>
          <w:i/>
          <w:sz w:val="20"/>
          <w:szCs w:val="20"/>
          <w:lang w:val="fr-FR"/>
        </w:rPr>
      </w:pPr>
      <w:r w:rsidRPr="00630013">
        <w:rPr>
          <w:rFonts w:ascii="Arial" w:hAnsi="Arial" w:cs="Arial"/>
          <w:i/>
          <w:sz w:val="20"/>
          <w:szCs w:val="20"/>
          <w:lang w:val="fr-FR"/>
        </w:rPr>
        <w:t>O</w:t>
      </w:r>
      <w:r w:rsidRPr="00630013">
        <w:rPr>
          <w:rFonts w:ascii="Arial" w:hAnsi="Arial" w:cs="Arial"/>
          <w:b/>
          <w:i/>
          <w:sz w:val="20"/>
          <w:szCs w:val="20"/>
          <w:u w:val="single"/>
          <w:lang w:val="fr-FR"/>
        </w:rPr>
        <w:t>CEANE</w:t>
      </w:r>
      <w:r w:rsidRPr="00630013">
        <w:rPr>
          <w:rFonts w:ascii="Arial" w:hAnsi="Arial" w:cs="Arial"/>
          <w:i/>
          <w:sz w:val="20"/>
          <w:szCs w:val="20"/>
          <w:lang w:val="fr-FR"/>
        </w:rPr>
        <w:t xml:space="preserve"> : obligation à option de conversion et/ou d’échange en actions nouvelles ou existantes.</w:t>
      </w:r>
    </w:p>
    <w:p w14:paraId="284A983F" w14:textId="77777777" w:rsidR="00174C3B" w:rsidRPr="00630013" w:rsidRDefault="00174C3B" w:rsidP="00174C3B">
      <w:pPr>
        <w:pBdr>
          <w:top w:val="single" w:sz="4" w:space="1" w:color="auto"/>
          <w:left w:val="single" w:sz="4" w:space="4" w:color="auto"/>
          <w:bottom w:val="single" w:sz="4" w:space="1" w:color="auto"/>
          <w:right w:val="single" w:sz="4" w:space="4" w:color="auto"/>
        </w:pBdr>
        <w:jc w:val="both"/>
        <w:rPr>
          <w:rFonts w:ascii="Arial" w:hAnsi="Arial" w:cs="Arial"/>
          <w:i/>
          <w:sz w:val="20"/>
          <w:szCs w:val="20"/>
          <w:lang w:val="fr-FR"/>
        </w:rPr>
      </w:pPr>
      <w:r w:rsidRPr="00630013">
        <w:rPr>
          <w:rFonts w:ascii="Arial" w:hAnsi="Arial" w:cs="Arial"/>
          <w:i/>
          <w:sz w:val="20"/>
          <w:szCs w:val="20"/>
          <w:lang w:val="fr-FR"/>
        </w:rPr>
        <w:t>O</w:t>
      </w:r>
      <w:r w:rsidRPr="00630013">
        <w:rPr>
          <w:rFonts w:ascii="Arial" w:hAnsi="Arial" w:cs="Arial"/>
          <w:b/>
          <w:i/>
          <w:sz w:val="20"/>
          <w:szCs w:val="20"/>
          <w:u w:val="single"/>
          <w:lang w:val="fr-FR"/>
        </w:rPr>
        <w:t>SCEAN</w:t>
      </w:r>
      <w:r w:rsidRPr="00630013">
        <w:rPr>
          <w:rFonts w:ascii="Arial" w:hAnsi="Arial" w:cs="Arial"/>
          <w:i/>
          <w:sz w:val="20"/>
          <w:szCs w:val="20"/>
          <w:lang w:val="fr-FR"/>
        </w:rPr>
        <w:t>E : obligation subordonnée à option de conversion et/ou d’échange en actions nouvelles ou existantes.</w:t>
      </w:r>
    </w:p>
    <w:p w14:paraId="50BF6FFE" w14:textId="77777777" w:rsidR="00174C3B" w:rsidRPr="00630013" w:rsidRDefault="00174C3B" w:rsidP="00174C3B">
      <w:pPr>
        <w:pBdr>
          <w:top w:val="single" w:sz="4" w:space="1" w:color="auto"/>
          <w:left w:val="single" w:sz="4" w:space="4" w:color="auto"/>
          <w:bottom w:val="single" w:sz="4" w:space="1" w:color="auto"/>
          <w:right w:val="single" w:sz="4" w:space="4" w:color="auto"/>
        </w:pBdr>
        <w:jc w:val="both"/>
        <w:rPr>
          <w:rFonts w:ascii="Arial" w:hAnsi="Arial" w:cs="Arial"/>
          <w:i/>
          <w:sz w:val="20"/>
          <w:szCs w:val="20"/>
          <w:lang w:val="fr-FR"/>
        </w:rPr>
      </w:pPr>
      <w:r w:rsidRPr="00630013">
        <w:rPr>
          <w:rFonts w:ascii="Arial" w:hAnsi="Arial" w:cs="Arial"/>
          <w:i/>
          <w:sz w:val="20"/>
          <w:szCs w:val="20"/>
          <w:lang w:val="fr-FR"/>
        </w:rPr>
        <w:t>Cette terminaison ANE correspond à un aspect particulier. En effet, les opérations précédentes entrainant l'émission d'actions nouvelles sont à l'origine d'un effet de dilution du capital, alors qu'ici, la société mettra des actions existantes à disposition des obligataires. Le rachat d'actions amène donc la société à un décaissement équivalent, en quelque sorte à celui du remboursement d'un emprunt, bien que d'un montant différent.</w:t>
      </w:r>
    </w:p>
    <w:p w14:paraId="5B384B93" w14:textId="77777777" w:rsidR="00174C3B" w:rsidRPr="00630013" w:rsidRDefault="00174C3B" w:rsidP="00174C3B">
      <w:pPr>
        <w:pBdr>
          <w:top w:val="single" w:sz="4" w:space="1" w:color="auto"/>
          <w:left w:val="single" w:sz="4" w:space="4" w:color="auto"/>
          <w:bottom w:val="single" w:sz="4" w:space="1" w:color="auto"/>
          <w:right w:val="single" w:sz="4" w:space="4" w:color="auto"/>
        </w:pBdr>
        <w:jc w:val="both"/>
        <w:rPr>
          <w:rFonts w:ascii="Arial" w:hAnsi="Arial" w:cs="Arial"/>
          <w:i/>
          <w:sz w:val="20"/>
          <w:szCs w:val="20"/>
          <w:lang w:val="fr-FR"/>
        </w:rPr>
      </w:pPr>
      <w:r w:rsidRPr="00630013">
        <w:rPr>
          <w:rFonts w:ascii="Arial" w:hAnsi="Arial" w:cs="Arial"/>
          <w:i/>
          <w:sz w:val="20"/>
          <w:szCs w:val="20"/>
          <w:lang w:val="fr-FR"/>
        </w:rPr>
        <w:t>O</w:t>
      </w:r>
      <w:r w:rsidRPr="00630013">
        <w:rPr>
          <w:rFonts w:ascii="Arial" w:hAnsi="Arial" w:cs="Arial"/>
          <w:b/>
          <w:i/>
          <w:sz w:val="20"/>
          <w:szCs w:val="20"/>
          <w:u w:val="single"/>
          <w:lang w:val="fr-FR"/>
        </w:rPr>
        <w:t>RANE</w:t>
      </w:r>
      <w:r w:rsidRPr="00630013">
        <w:rPr>
          <w:rFonts w:ascii="Arial" w:hAnsi="Arial" w:cs="Arial"/>
          <w:i/>
          <w:sz w:val="20"/>
          <w:szCs w:val="20"/>
          <w:lang w:val="fr-FR"/>
        </w:rPr>
        <w:t xml:space="preserve"> : obligation remboursable en actions nouvelles ou existantes.</w:t>
      </w:r>
    </w:p>
    <w:p w14:paraId="19B81A40" w14:textId="77777777" w:rsidR="00174C3B" w:rsidRPr="00630013" w:rsidRDefault="00174C3B" w:rsidP="00174C3B">
      <w:pPr>
        <w:pBdr>
          <w:top w:val="single" w:sz="4" w:space="1" w:color="auto"/>
          <w:left w:val="single" w:sz="4" w:space="4" w:color="auto"/>
          <w:bottom w:val="single" w:sz="4" w:space="1" w:color="auto"/>
          <w:right w:val="single" w:sz="4" w:space="4" w:color="auto"/>
        </w:pBdr>
        <w:jc w:val="both"/>
        <w:rPr>
          <w:rFonts w:ascii="Arial" w:hAnsi="Arial" w:cs="Arial"/>
          <w:i/>
          <w:sz w:val="20"/>
          <w:szCs w:val="20"/>
          <w:lang w:val="fr-FR"/>
        </w:rPr>
      </w:pPr>
      <w:r w:rsidRPr="00630013">
        <w:rPr>
          <w:rFonts w:ascii="Arial" w:hAnsi="Arial" w:cs="Arial"/>
          <w:i/>
          <w:sz w:val="20"/>
          <w:szCs w:val="20"/>
          <w:lang w:val="fr-FR"/>
        </w:rPr>
        <w:t>OR</w:t>
      </w:r>
      <w:r w:rsidRPr="00630013">
        <w:rPr>
          <w:rFonts w:ascii="Arial" w:hAnsi="Arial" w:cs="Arial"/>
          <w:b/>
          <w:i/>
          <w:sz w:val="20"/>
          <w:szCs w:val="20"/>
          <w:u w:val="single"/>
          <w:lang w:val="fr-FR"/>
        </w:rPr>
        <w:t>N</w:t>
      </w:r>
      <w:r w:rsidRPr="00630013">
        <w:rPr>
          <w:rFonts w:ascii="Arial" w:hAnsi="Arial" w:cs="Arial"/>
          <w:i/>
          <w:sz w:val="20"/>
          <w:szCs w:val="20"/>
          <w:lang w:val="fr-FR"/>
        </w:rPr>
        <w:t>ANE : obligation à option de remboursement en numéraire et en actions nouvelles ou existantes.</w:t>
      </w:r>
    </w:p>
    <w:p w14:paraId="46D3C68B" w14:textId="77777777" w:rsidR="00174C3B" w:rsidRPr="00A619A0" w:rsidRDefault="00174C3B" w:rsidP="00174C3B">
      <w:pPr>
        <w:pBdr>
          <w:top w:val="single" w:sz="4" w:space="1" w:color="auto"/>
          <w:left w:val="single" w:sz="4" w:space="4" w:color="auto"/>
          <w:bottom w:val="single" w:sz="4" w:space="1" w:color="auto"/>
          <w:right w:val="single" w:sz="4" w:space="4" w:color="auto"/>
        </w:pBdr>
        <w:jc w:val="both"/>
        <w:rPr>
          <w:rFonts w:ascii="Arial" w:hAnsi="Arial"/>
          <w:i/>
          <w:sz w:val="22"/>
          <w:lang w:val="fr-FR"/>
        </w:rPr>
      </w:pPr>
      <w:r w:rsidRPr="00A619A0">
        <w:rPr>
          <w:rFonts w:ascii="Arial" w:hAnsi="Arial"/>
          <w:i/>
          <w:sz w:val="22"/>
          <w:lang w:val="fr-FR"/>
        </w:rPr>
        <w:t>Source :</w:t>
      </w:r>
      <w:r w:rsidRPr="00A619A0">
        <w:rPr>
          <w:rFonts w:ascii="Arial" w:hAnsi="Arial"/>
          <w:lang w:val="fr-FR"/>
        </w:rPr>
        <w:t xml:space="preserve"> </w:t>
      </w:r>
      <w:r w:rsidRPr="00A619A0">
        <w:rPr>
          <w:rFonts w:ascii="Arial" w:hAnsi="Arial"/>
          <w:i/>
          <w:sz w:val="22"/>
          <w:lang w:val="fr-FR"/>
        </w:rPr>
        <w:t>http://www.amf-france.org/documents/general/8986_1.pdf</w:t>
      </w:r>
    </w:p>
    <w:p w14:paraId="65224BCE" w14:textId="77777777" w:rsidR="00FC778B" w:rsidRPr="00A619A0" w:rsidRDefault="00174C3B">
      <w:pPr>
        <w:jc w:val="both"/>
        <w:rPr>
          <w:rFonts w:ascii="Arial" w:hAnsi="Arial"/>
          <w:color w:val="FF0000"/>
          <w:sz w:val="22"/>
          <w:lang w:val="fr-FR"/>
        </w:rPr>
      </w:pPr>
      <w:r w:rsidRPr="00A619A0">
        <w:rPr>
          <w:rFonts w:ascii="Arial" w:hAnsi="Arial"/>
          <w:color w:val="FF0000"/>
          <w:sz w:val="22"/>
          <w:lang w:val="fr-FR"/>
        </w:rPr>
        <w:t xml:space="preserve"> </w:t>
      </w:r>
    </w:p>
    <w:p w14:paraId="191C45CC" w14:textId="77777777" w:rsidR="00174C3B" w:rsidRPr="00A619A0" w:rsidRDefault="00174C3B">
      <w:pPr>
        <w:jc w:val="both"/>
        <w:rPr>
          <w:rFonts w:ascii="Arial" w:hAnsi="Arial"/>
          <w:sz w:val="22"/>
          <w:lang w:val="fr-FR"/>
        </w:rPr>
      </w:pPr>
    </w:p>
    <w:p w14:paraId="62709C16" w14:textId="77777777" w:rsidR="001800D7" w:rsidRPr="00A619A0" w:rsidRDefault="001800D7">
      <w:pPr>
        <w:jc w:val="both"/>
        <w:rPr>
          <w:rFonts w:ascii="Arial" w:hAnsi="Arial"/>
          <w:sz w:val="22"/>
          <w:lang w:val="fr-FR"/>
        </w:rPr>
      </w:pPr>
    </w:p>
    <w:p w14:paraId="1520D788" w14:textId="44431AAA" w:rsidR="001800D7" w:rsidRPr="007A298B" w:rsidRDefault="001149F8">
      <w:pPr>
        <w:jc w:val="both"/>
        <w:rPr>
          <w:rFonts w:ascii="Arial" w:hAnsi="Arial"/>
          <w:b/>
          <w:sz w:val="22"/>
          <w:lang w:val="fr-FR"/>
        </w:rPr>
      </w:pPr>
      <w:r w:rsidRPr="007A298B">
        <w:rPr>
          <w:rFonts w:ascii="Arial" w:hAnsi="Arial"/>
          <w:b/>
          <w:sz w:val="22"/>
          <w:lang w:val="fr-FR"/>
        </w:rPr>
        <w:t xml:space="preserve">D) </w:t>
      </w:r>
      <w:r w:rsidR="001800D7" w:rsidRPr="007A298B">
        <w:rPr>
          <w:rFonts w:ascii="Arial" w:hAnsi="Arial"/>
          <w:b/>
          <w:sz w:val="28"/>
          <w:szCs w:val="28"/>
          <w:u w:val="single"/>
          <w:lang w:val="fr-FR"/>
        </w:rPr>
        <w:t>ENCORE PLUS</w:t>
      </w:r>
      <w:r w:rsidRPr="007A298B">
        <w:rPr>
          <w:rFonts w:ascii="Arial" w:hAnsi="Arial"/>
          <w:b/>
          <w:sz w:val="22"/>
          <w:lang w:val="fr-FR"/>
        </w:rPr>
        <w:t xml:space="preserve"> obligataire</w:t>
      </w:r>
    </w:p>
    <w:p w14:paraId="6CAE6DE3" w14:textId="385CA188" w:rsidR="00174C3B" w:rsidRPr="007A298B" w:rsidRDefault="00FA17CA">
      <w:pPr>
        <w:jc w:val="both"/>
        <w:rPr>
          <w:rFonts w:ascii="Arial" w:hAnsi="Arial"/>
          <w:sz w:val="22"/>
          <w:lang w:val="fr-FR"/>
        </w:rPr>
      </w:pPr>
      <w:r w:rsidRPr="007A298B">
        <w:rPr>
          <w:rFonts w:ascii="Arial" w:hAnsi="Arial"/>
          <w:sz w:val="22"/>
          <w:lang w:val="fr-FR"/>
        </w:rPr>
        <w:t xml:space="preserve">On trouve également des </w:t>
      </w:r>
      <w:r w:rsidRPr="0016012D">
        <w:rPr>
          <w:rFonts w:ascii="Arial" w:hAnsi="Arial"/>
          <w:b/>
          <w:sz w:val="22"/>
          <w:u w:val="single"/>
          <w:lang w:val="fr-FR"/>
        </w:rPr>
        <w:t>OBSO</w:t>
      </w:r>
      <w:r w:rsidRPr="007A298B">
        <w:rPr>
          <w:rFonts w:ascii="Arial" w:hAnsi="Arial"/>
          <w:sz w:val="22"/>
          <w:lang w:val="fr-FR"/>
        </w:rPr>
        <w:t xml:space="preserve"> (</w:t>
      </w:r>
      <w:r w:rsidR="0016012D">
        <w:rPr>
          <w:rFonts w:ascii="Arial" w:hAnsi="Arial"/>
          <w:sz w:val="22"/>
          <w:lang w:val="fr-FR"/>
        </w:rPr>
        <w:t>O</w:t>
      </w:r>
      <w:r w:rsidRPr="007A298B">
        <w:rPr>
          <w:rFonts w:ascii="Arial" w:hAnsi="Arial"/>
          <w:sz w:val="22"/>
          <w:lang w:val="fr-FR"/>
        </w:rPr>
        <w:t xml:space="preserve">bligations à </w:t>
      </w:r>
      <w:r w:rsidR="0016012D">
        <w:rPr>
          <w:rFonts w:ascii="Arial" w:hAnsi="Arial"/>
          <w:sz w:val="22"/>
          <w:lang w:val="fr-FR"/>
        </w:rPr>
        <w:t>B</w:t>
      </w:r>
      <w:r w:rsidRPr="007A298B">
        <w:rPr>
          <w:rFonts w:ascii="Arial" w:hAnsi="Arial"/>
          <w:sz w:val="22"/>
          <w:lang w:val="fr-FR"/>
        </w:rPr>
        <w:t xml:space="preserve">ons de </w:t>
      </w:r>
      <w:r w:rsidR="0016012D">
        <w:rPr>
          <w:rFonts w:ascii="Arial" w:hAnsi="Arial"/>
          <w:sz w:val="22"/>
          <w:lang w:val="fr-FR"/>
        </w:rPr>
        <w:t>S</w:t>
      </w:r>
      <w:r w:rsidRPr="007A298B">
        <w:rPr>
          <w:rFonts w:ascii="Arial" w:hAnsi="Arial"/>
          <w:sz w:val="22"/>
          <w:lang w:val="fr-FR"/>
        </w:rPr>
        <w:t>ouscription d’</w:t>
      </w:r>
      <w:r w:rsidR="0016012D">
        <w:rPr>
          <w:rFonts w:ascii="Arial" w:hAnsi="Arial"/>
          <w:sz w:val="22"/>
          <w:lang w:val="fr-FR"/>
        </w:rPr>
        <w:t>0</w:t>
      </w:r>
      <w:r w:rsidRPr="007A298B">
        <w:rPr>
          <w:rFonts w:ascii="Arial" w:hAnsi="Arial"/>
          <w:sz w:val="22"/>
          <w:lang w:val="fr-FR"/>
        </w:rPr>
        <w:t>bligations</w:t>
      </w:r>
      <w:r w:rsidR="00346131" w:rsidRPr="007A298B">
        <w:rPr>
          <w:rFonts w:ascii="Arial" w:hAnsi="Arial"/>
          <w:sz w:val="22"/>
          <w:lang w:val="fr-FR"/>
        </w:rPr>
        <w:t>)</w:t>
      </w:r>
      <w:r w:rsidRPr="007A298B">
        <w:rPr>
          <w:rFonts w:ascii="Arial" w:hAnsi="Arial"/>
          <w:sz w:val="22"/>
          <w:lang w:val="fr-FR"/>
        </w:rPr>
        <w:t> :</w:t>
      </w:r>
    </w:p>
    <w:p w14:paraId="29814D08" w14:textId="77777777" w:rsidR="00FC778B" w:rsidRPr="007A298B" w:rsidRDefault="00FC778B">
      <w:pPr>
        <w:jc w:val="both"/>
        <w:rPr>
          <w:rFonts w:ascii="Arial" w:hAnsi="Arial"/>
          <w:sz w:val="22"/>
          <w:lang w:val="fr-FR"/>
        </w:rPr>
      </w:pPr>
    </w:p>
    <w:p w14:paraId="7ABA81F1" w14:textId="77777777" w:rsidR="00252837" w:rsidRPr="00630013" w:rsidRDefault="00252837" w:rsidP="00252837">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630013">
        <w:rPr>
          <w:rFonts w:ascii="Arial" w:hAnsi="Arial"/>
          <w:i/>
          <w:sz w:val="20"/>
          <w:szCs w:val="20"/>
          <w:lang w:val="fr-FR"/>
        </w:rPr>
        <w:t>A la souscription, l’émetteur d’obligations avec bons de souscription d’obligations (OBSO) enregistre l’emprunt obligataire au compte 163 « Autres emprunts obligataires » pour sa valeur de remboursement. La différence entre la valeur de remboursement et la valeur actuelle de l’emprunt est enregistrée au compte 169 « Primes de remboursement des obligations ».</w:t>
      </w:r>
    </w:p>
    <w:p w14:paraId="6017EAB8" w14:textId="77777777" w:rsidR="00FA17CA" w:rsidRPr="00630013" w:rsidRDefault="00252837" w:rsidP="00252837">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630013">
        <w:rPr>
          <w:rFonts w:ascii="Arial" w:hAnsi="Arial"/>
          <w:i/>
          <w:sz w:val="20"/>
          <w:szCs w:val="20"/>
          <w:lang w:val="fr-FR"/>
        </w:rPr>
        <w:t>La différence entre le prix d’émission des OBSO et la valeur actuelle de l’emprunt obligataire est enregistrée en produits constatés d’avance au titre des bons.</w:t>
      </w:r>
    </w:p>
    <w:p w14:paraId="76E8A08D" w14:textId="4B2F7606" w:rsidR="00346131" w:rsidRPr="00630013" w:rsidRDefault="00346131" w:rsidP="00252837">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630013">
        <w:rPr>
          <w:rFonts w:ascii="Arial" w:hAnsi="Arial"/>
          <w:i/>
          <w:sz w:val="20"/>
          <w:szCs w:val="20"/>
          <w:lang w:val="fr-FR"/>
        </w:rPr>
        <w:t>Source : plan comptable général</w:t>
      </w:r>
    </w:p>
    <w:p w14:paraId="0D656E6C" w14:textId="77777777" w:rsidR="004D4C85" w:rsidRDefault="004D4C85">
      <w:pPr>
        <w:jc w:val="both"/>
        <w:rPr>
          <w:rFonts w:ascii="Arial" w:hAnsi="Arial"/>
          <w:sz w:val="22"/>
          <w:lang w:val="fr-FR"/>
        </w:rPr>
      </w:pPr>
    </w:p>
    <w:p w14:paraId="6107BF12" w14:textId="6A7BB5D1" w:rsidR="00174C3B" w:rsidRDefault="004D4C85">
      <w:pPr>
        <w:jc w:val="both"/>
        <w:rPr>
          <w:rFonts w:ascii="Arial" w:hAnsi="Arial"/>
          <w:sz w:val="22"/>
          <w:lang w:val="fr-FR"/>
        </w:rPr>
      </w:pPr>
      <w:r>
        <w:rPr>
          <w:rFonts w:ascii="Arial" w:hAnsi="Arial"/>
          <w:sz w:val="22"/>
          <w:lang w:val="fr-FR"/>
        </w:rPr>
        <w:t>L</w:t>
      </w:r>
      <w:r w:rsidR="00D503EE" w:rsidRPr="007A298B">
        <w:rPr>
          <w:rFonts w:ascii="Arial" w:hAnsi="Arial"/>
          <w:sz w:val="22"/>
          <w:lang w:val="fr-FR"/>
        </w:rPr>
        <w:t>e plan comptable consacre quelques lignes au mode de comptabilisation des OBSO</w:t>
      </w:r>
      <w:r w:rsidR="00D65E0B">
        <w:rPr>
          <w:rFonts w:ascii="Arial" w:hAnsi="Arial"/>
          <w:sz w:val="22"/>
          <w:lang w:val="fr-FR"/>
        </w:rPr>
        <w:t>.</w:t>
      </w:r>
    </w:p>
    <w:p w14:paraId="0A7FF14F" w14:textId="77777777" w:rsidR="00216F57" w:rsidRDefault="00216F57">
      <w:pPr>
        <w:jc w:val="both"/>
        <w:rPr>
          <w:rFonts w:ascii="Arial" w:hAnsi="Arial"/>
          <w:sz w:val="22"/>
          <w:lang w:val="fr-FR"/>
        </w:rPr>
      </w:pPr>
    </w:p>
    <w:p w14:paraId="26FAF1DD" w14:textId="48AEF70E" w:rsidR="00216F57" w:rsidRDefault="00216F57">
      <w:pPr>
        <w:jc w:val="both"/>
        <w:rPr>
          <w:rFonts w:ascii="Arial" w:hAnsi="Arial"/>
          <w:sz w:val="22"/>
          <w:lang w:val="fr-FR"/>
        </w:rPr>
      </w:pPr>
      <w:r>
        <w:rPr>
          <w:rFonts w:ascii="Arial" w:hAnsi="Arial"/>
          <w:sz w:val="22"/>
          <w:lang w:val="fr-FR"/>
        </w:rPr>
        <w:t xml:space="preserve">Le BOFIP </w:t>
      </w:r>
      <w:r>
        <w:rPr>
          <w:rStyle w:val="Appelnotedebasdep"/>
          <w:rFonts w:ascii="Arial" w:hAnsi="Arial"/>
          <w:sz w:val="22"/>
          <w:lang w:val="fr-FR"/>
        </w:rPr>
        <w:footnoteReference w:id="3"/>
      </w:r>
      <w:r>
        <w:rPr>
          <w:rFonts w:ascii="Arial" w:hAnsi="Arial"/>
          <w:sz w:val="22"/>
          <w:lang w:val="fr-FR"/>
        </w:rPr>
        <w:t xml:space="preserve"> contient des précisions sur cette base comptable :</w:t>
      </w:r>
    </w:p>
    <w:p w14:paraId="0CA41F1E" w14:textId="2D8E12D5" w:rsidR="00216F57" w:rsidRPr="00216F57" w:rsidRDefault="00216F57" w:rsidP="00216F57">
      <w:pPr>
        <w:pBdr>
          <w:top w:val="single" w:sz="4" w:space="1" w:color="auto"/>
          <w:left w:val="single" w:sz="4" w:space="4" w:color="auto"/>
          <w:bottom w:val="single" w:sz="4" w:space="1" w:color="auto"/>
          <w:right w:val="single" w:sz="4" w:space="4" w:color="auto"/>
        </w:pBdr>
        <w:jc w:val="both"/>
        <w:rPr>
          <w:rFonts w:ascii="Arial" w:hAnsi="Arial"/>
          <w:i/>
          <w:iCs/>
          <w:sz w:val="20"/>
          <w:szCs w:val="20"/>
          <w:lang w:val="fr-FR"/>
        </w:rPr>
      </w:pPr>
      <w:r w:rsidRPr="00216F57">
        <w:rPr>
          <w:rFonts w:ascii="Arial" w:hAnsi="Arial"/>
          <w:i/>
          <w:iCs/>
          <w:sz w:val="20"/>
          <w:szCs w:val="20"/>
          <w:lang w:val="fr-FR"/>
        </w:rPr>
        <w:t>Cette comptabilisation entraîne, sur la période couverte par l'emprunt initial, la déduction d'une charge financière du fait de l'amortissement sur cette période de la</w:t>
      </w:r>
      <w:r w:rsidR="00BD2AFB" w:rsidRPr="00216F57">
        <w:rPr>
          <w:rFonts w:ascii="Arial" w:hAnsi="Arial"/>
          <w:i/>
          <w:iCs/>
          <w:sz w:val="20"/>
          <w:szCs w:val="20"/>
          <w:lang w:val="fr-FR"/>
        </w:rPr>
        <w:t xml:space="preserve"> « prime</w:t>
      </w:r>
      <w:r w:rsidRPr="00216F57">
        <w:rPr>
          <w:rFonts w:ascii="Arial" w:hAnsi="Arial"/>
          <w:i/>
          <w:iCs/>
          <w:sz w:val="20"/>
          <w:szCs w:val="20"/>
          <w:lang w:val="fr-FR"/>
        </w:rPr>
        <w:t xml:space="preserve"> de remboursement» qui figure à l'actif.</w:t>
      </w:r>
    </w:p>
    <w:p w14:paraId="0F4A6E8F" w14:textId="77777777" w:rsidR="00216F57" w:rsidRPr="00216F57" w:rsidRDefault="00216F57" w:rsidP="00216F57">
      <w:pPr>
        <w:pBdr>
          <w:top w:val="single" w:sz="4" w:space="1" w:color="auto"/>
          <w:left w:val="single" w:sz="4" w:space="4" w:color="auto"/>
          <w:bottom w:val="single" w:sz="4" w:space="1" w:color="auto"/>
          <w:right w:val="single" w:sz="4" w:space="4" w:color="auto"/>
        </w:pBdr>
        <w:jc w:val="both"/>
        <w:rPr>
          <w:rFonts w:ascii="Arial" w:hAnsi="Arial"/>
          <w:i/>
          <w:iCs/>
          <w:sz w:val="20"/>
          <w:szCs w:val="20"/>
          <w:lang w:val="fr-FR"/>
        </w:rPr>
      </w:pPr>
      <w:r w:rsidRPr="00216F57">
        <w:rPr>
          <w:rFonts w:ascii="Arial" w:hAnsi="Arial"/>
          <w:i/>
          <w:iCs/>
          <w:sz w:val="20"/>
          <w:szCs w:val="20"/>
          <w:lang w:val="fr-FR"/>
        </w:rPr>
        <w:t>Cette charge ne peut être retenue pour la détermination du résultat fiscal.</w:t>
      </w:r>
    </w:p>
    <w:p w14:paraId="3DC6C394" w14:textId="7E5DA0F5" w:rsidR="00216F57" w:rsidRDefault="00216F57" w:rsidP="00216F57">
      <w:pPr>
        <w:pBdr>
          <w:top w:val="single" w:sz="4" w:space="1" w:color="auto"/>
          <w:left w:val="single" w:sz="4" w:space="4" w:color="auto"/>
          <w:bottom w:val="single" w:sz="4" w:space="1" w:color="auto"/>
          <w:right w:val="single" w:sz="4" w:space="4" w:color="auto"/>
        </w:pBdr>
        <w:jc w:val="both"/>
        <w:rPr>
          <w:rFonts w:ascii="Arial" w:hAnsi="Arial"/>
          <w:i/>
          <w:iCs/>
          <w:sz w:val="20"/>
          <w:szCs w:val="20"/>
          <w:lang w:val="fr-FR"/>
        </w:rPr>
      </w:pPr>
      <w:r w:rsidRPr="00216F57">
        <w:rPr>
          <w:rFonts w:ascii="Arial" w:hAnsi="Arial"/>
          <w:i/>
          <w:iCs/>
          <w:sz w:val="20"/>
          <w:szCs w:val="20"/>
          <w:lang w:val="fr-FR"/>
        </w:rPr>
        <w:t>En effet, l'émetteur d'une OBSO reçoit, dès l'origine, un versement égal au montant de sa dette. Il ne constate donc aucun supplément de dette lié à une prime de remboursement.</w:t>
      </w:r>
    </w:p>
    <w:p w14:paraId="09F48EC2" w14:textId="77777777" w:rsidR="00216F57" w:rsidRPr="00216F57" w:rsidRDefault="00216F57" w:rsidP="00216F57">
      <w:pPr>
        <w:pBdr>
          <w:top w:val="single" w:sz="4" w:space="1" w:color="auto"/>
          <w:left w:val="single" w:sz="4" w:space="4" w:color="auto"/>
          <w:bottom w:val="single" w:sz="4" w:space="1" w:color="auto"/>
          <w:right w:val="single" w:sz="4" w:space="4" w:color="auto"/>
        </w:pBdr>
        <w:jc w:val="both"/>
        <w:rPr>
          <w:rFonts w:ascii="Arial" w:hAnsi="Arial"/>
          <w:i/>
          <w:iCs/>
          <w:sz w:val="20"/>
          <w:szCs w:val="20"/>
          <w:lang w:val="fr-FR"/>
        </w:rPr>
      </w:pPr>
      <w:r w:rsidRPr="00216F57">
        <w:rPr>
          <w:rFonts w:ascii="Arial" w:hAnsi="Arial"/>
          <w:i/>
          <w:iCs/>
          <w:sz w:val="20"/>
          <w:szCs w:val="20"/>
          <w:lang w:val="fr-FR"/>
        </w:rPr>
        <w:t>En conséquence, l'émetteur doit réintégrer extra-comptablement la charge financière constatée du fait du mode de comptabilisation éventuellement adopté.</w:t>
      </w:r>
    </w:p>
    <w:p w14:paraId="06157150" w14:textId="77777777" w:rsidR="00216F57" w:rsidRPr="00216F57" w:rsidRDefault="00216F57" w:rsidP="00216F57">
      <w:pPr>
        <w:jc w:val="both"/>
        <w:rPr>
          <w:rFonts w:ascii="Arial" w:hAnsi="Arial"/>
          <w:i/>
          <w:iCs/>
          <w:sz w:val="20"/>
          <w:szCs w:val="20"/>
          <w:lang w:val="fr-FR"/>
        </w:rPr>
      </w:pPr>
    </w:p>
    <w:p w14:paraId="68F4C752" w14:textId="7FA8AC73" w:rsidR="00216F57" w:rsidRPr="00216F57" w:rsidRDefault="00216F57" w:rsidP="00216F57">
      <w:pPr>
        <w:jc w:val="both"/>
        <w:rPr>
          <w:rFonts w:ascii="Arial" w:hAnsi="Arial"/>
          <w:i/>
          <w:iCs/>
          <w:sz w:val="20"/>
          <w:szCs w:val="20"/>
          <w:lang w:val="fr-FR"/>
        </w:rPr>
      </w:pPr>
      <w:r w:rsidRPr="00216F57">
        <w:rPr>
          <w:rFonts w:ascii="Arial" w:hAnsi="Arial"/>
          <w:i/>
          <w:iCs/>
          <w:sz w:val="20"/>
          <w:szCs w:val="20"/>
          <w:lang w:val="fr-FR"/>
        </w:rPr>
        <w:t>Corrélativement, la constatation dans le compte de résultat des produits constatés d'avance au cours de la période couverte par le second emprunt ne constitue pas un produit imposable.</w:t>
      </w:r>
    </w:p>
    <w:p w14:paraId="74636DFE" w14:textId="257F8E34" w:rsidR="00E935F0" w:rsidRDefault="00E935F0">
      <w:pPr>
        <w:jc w:val="both"/>
        <w:rPr>
          <w:rFonts w:ascii="Arial" w:hAnsi="Arial"/>
          <w:sz w:val="22"/>
          <w:lang w:val="fr-FR"/>
        </w:rPr>
      </w:pPr>
    </w:p>
    <w:p w14:paraId="1C08AC43" w14:textId="461F5E59" w:rsidR="00E935F0" w:rsidRPr="00E935F0" w:rsidRDefault="00E935F0" w:rsidP="00E935F0">
      <w:pPr>
        <w:jc w:val="both"/>
        <w:rPr>
          <w:rFonts w:ascii="Arial" w:hAnsi="Arial"/>
          <w:sz w:val="22"/>
          <w:lang w:val="fr-FR"/>
        </w:rPr>
      </w:pPr>
      <w:r>
        <w:rPr>
          <w:rFonts w:ascii="Arial" w:hAnsi="Arial"/>
          <w:sz w:val="22"/>
          <w:lang w:val="fr-FR"/>
        </w:rPr>
        <w:t xml:space="preserve">Dans le même esprit, on trouve les obligations </w:t>
      </w:r>
      <w:r w:rsidRPr="00F909B3">
        <w:rPr>
          <w:rFonts w:ascii="Arial" w:hAnsi="Arial"/>
          <w:b/>
          <w:sz w:val="22"/>
          <w:u w:val="single"/>
          <w:lang w:val="fr-FR"/>
        </w:rPr>
        <w:t>OSCAR</w:t>
      </w:r>
      <w:r>
        <w:rPr>
          <w:rFonts w:ascii="Arial" w:hAnsi="Arial"/>
          <w:sz w:val="22"/>
          <w:lang w:val="fr-FR"/>
        </w:rPr>
        <w:t> :</w:t>
      </w:r>
      <w:r w:rsidR="0016012D">
        <w:rPr>
          <w:rFonts w:ascii="Arial" w:hAnsi="Arial"/>
          <w:sz w:val="22"/>
          <w:lang w:val="fr-FR"/>
        </w:rPr>
        <w:t xml:space="preserve"> </w:t>
      </w:r>
      <w:r w:rsidRPr="00E935F0">
        <w:rPr>
          <w:rFonts w:ascii="Arial" w:hAnsi="Arial"/>
          <w:sz w:val="22"/>
          <w:lang w:val="fr-FR"/>
        </w:rPr>
        <w:t xml:space="preserve">Obligation </w:t>
      </w:r>
      <w:r w:rsidR="0016012D">
        <w:rPr>
          <w:rFonts w:ascii="Arial" w:hAnsi="Arial"/>
          <w:sz w:val="22"/>
          <w:lang w:val="fr-FR"/>
        </w:rPr>
        <w:t>S</w:t>
      </w:r>
      <w:r w:rsidRPr="00E935F0">
        <w:rPr>
          <w:rFonts w:ascii="Arial" w:hAnsi="Arial"/>
          <w:sz w:val="22"/>
          <w:lang w:val="fr-FR"/>
        </w:rPr>
        <w:t xml:space="preserve">péciale à </w:t>
      </w:r>
      <w:r w:rsidR="0016012D">
        <w:rPr>
          <w:rFonts w:ascii="Arial" w:hAnsi="Arial"/>
          <w:sz w:val="22"/>
          <w:lang w:val="fr-FR"/>
        </w:rPr>
        <w:t>C</w:t>
      </w:r>
      <w:r w:rsidRPr="00E935F0">
        <w:rPr>
          <w:rFonts w:ascii="Arial" w:hAnsi="Arial"/>
          <w:sz w:val="22"/>
          <w:lang w:val="fr-FR"/>
        </w:rPr>
        <w:t xml:space="preserve">oupons </w:t>
      </w:r>
      <w:r w:rsidR="0016012D">
        <w:rPr>
          <w:rFonts w:ascii="Arial" w:hAnsi="Arial"/>
          <w:sz w:val="22"/>
          <w:lang w:val="fr-FR"/>
        </w:rPr>
        <w:t>À R</w:t>
      </w:r>
      <w:r w:rsidRPr="00E935F0">
        <w:rPr>
          <w:rFonts w:ascii="Arial" w:hAnsi="Arial"/>
          <w:sz w:val="22"/>
          <w:lang w:val="fr-FR"/>
        </w:rPr>
        <w:t>éinvestir</w:t>
      </w:r>
      <w:r w:rsidR="0016012D">
        <w:rPr>
          <w:rFonts w:ascii="Arial" w:hAnsi="Arial"/>
          <w:sz w:val="22"/>
          <w:lang w:val="fr-FR"/>
        </w:rPr>
        <w:t>.</w:t>
      </w:r>
    </w:p>
    <w:p w14:paraId="1141ED59" w14:textId="77777777" w:rsidR="00E935F0" w:rsidRPr="00E935F0" w:rsidRDefault="00E935F0" w:rsidP="00E935F0">
      <w:pPr>
        <w:jc w:val="both"/>
        <w:rPr>
          <w:rFonts w:ascii="Arial" w:hAnsi="Arial"/>
          <w:sz w:val="22"/>
          <w:lang w:val="fr-FR"/>
        </w:rPr>
      </w:pPr>
      <w:r w:rsidRPr="00E935F0">
        <w:rPr>
          <w:rFonts w:ascii="Arial" w:hAnsi="Arial"/>
          <w:sz w:val="22"/>
          <w:lang w:val="fr-FR"/>
        </w:rPr>
        <w:lastRenderedPageBreak/>
        <w:t>Une OSCAR (obligation spéciale à coupons à réinvestir) permet aux investisseurs, s'ils le souhaitent, d'utiliser le coupon de l'obligation pour souscrire à de nouvelles obligations du même type.</w:t>
      </w:r>
    </w:p>
    <w:p w14:paraId="6064E652" w14:textId="77777777" w:rsidR="00E935F0" w:rsidRPr="00E935F0" w:rsidRDefault="00E935F0" w:rsidP="00E935F0">
      <w:pPr>
        <w:jc w:val="both"/>
        <w:rPr>
          <w:rFonts w:ascii="Arial" w:hAnsi="Arial"/>
          <w:sz w:val="22"/>
          <w:lang w:val="fr-FR"/>
        </w:rPr>
      </w:pPr>
      <w:r w:rsidRPr="00E935F0">
        <w:rPr>
          <w:rFonts w:ascii="Arial" w:hAnsi="Arial"/>
          <w:sz w:val="22"/>
          <w:lang w:val="fr-FR"/>
        </w:rPr>
        <w:t xml:space="preserve">Le coupon représente les intérêts annuels. Les obligations qu'ils peuvent se procurer possèdent les mêmes caractéristiques que celles d'origine et leur sont assimilées. </w:t>
      </w:r>
    </w:p>
    <w:p w14:paraId="7D02FED3" w14:textId="7936B45A" w:rsidR="00E935F0" w:rsidRPr="007A298B" w:rsidRDefault="00E935F0" w:rsidP="00E935F0">
      <w:pPr>
        <w:jc w:val="both"/>
        <w:rPr>
          <w:rFonts w:ascii="Arial" w:hAnsi="Arial"/>
          <w:sz w:val="22"/>
          <w:lang w:val="fr-FR"/>
        </w:rPr>
      </w:pPr>
      <w:r w:rsidRPr="00E935F0">
        <w:rPr>
          <w:rFonts w:ascii="Arial" w:hAnsi="Arial"/>
          <w:sz w:val="22"/>
          <w:lang w:val="fr-FR"/>
        </w:rPr>
        <w:t>Les porteurs d'OSCAR ont ainsi la possibilité de comparer avec les rendements proposés par les autres titres disponibles sur le marché, avant de décider s'ils utilisent le coupon pour le réinvestir, ou s'ils préfèrent l'échanger contre du numéraire.</w:t>
      </w:r>
    </w:p>
    <w:p w14:paraId="0139F6F4" w14:textId="23EC41CA" w:rsidR="00174C3B" w:rsidRDefault="00174C3B">
      <w:pPr>
        <w:jc w:val="both"/>
        <w:rPr>
          <w:rFonts w:ascii="Arial" w:hAnsi="Arial"/>
          <w:sz w:val="22"/>
          <w:lang w:val="fr-FR"/>
        </w:rPr>
      </w:pPr>
    </w:p>
    <w:p w14:paraId="39A49748" w14:textId="66F9F61E" w:rsidR="003805AE" w:rsidRDefault="003805AE">
      <w:pPr>
        <w:jc w:val="both"/>
        <w:rPr>
          <w:rFonts w:ascii="Arial" w:hAnsi="Arial"/>
          <w:sz w:val="22"/>
          <w:lang w:val="fr-FR"/>
        </w:rPr>
      </w:pPr>
      <w:r>
        <w:rPr>
          <w:rFonts w:ascii="Arial" w:hAnsi="Arial"/>
          <w:sz w:val="22"/>
          <w:lang w:val="fr-FR"/>
        </w:rPr>
        <w:t xml:space="preserve">On trouve un homonyme qui a en fait des caractéristiques bien différentes : Obligation Subordonnée Convertible en Actions ou Remboursable en </w:t>
      </w:r>
      <w:r w:rsidR="001F161C">
        <w:rPr>
          <w:rFonts w:ascii="Arial" w:hAnsi="Arial"/>
          <w:sz w:val="22"/>
          <w:lang w:val="fr-FR"/>
        </w:rPr>
        <w:t>E</w:t>
      </w:r>
      <w:r>
        <w:rPr>
          <w:rFonts w:ascii="Arial" w:hAnsi="Arial"/>
          <w:sz w:val="22"/>
          <w:lang w:val="fr-FR"/>
        </w:rPr>
        <w:t>spèces !</w:t>
      </w:r>
    </w:p>
    <w:p w14:paraId="72316CCE" w14:textId="77777777" w:rsidR="003805AE" w:rsidRPr="00A619A0" w:rsidRDefault="003805AE">
      <w:pPr>
        <w:jc w:val="both"/>
        <w:rPr>
          <w:rFonts w:ascii="Arial" w:hAnsi="Arial"/>
          <w:sz w:val="22"/>
          <w:lang w:val="fr-FR"/>
        </w:rPr>
      </w:pPr>
    </w:p>
    <w:p w14:paraId="15A72008" w14:textId="77777777" w:rsidR="00707F35" w:rsidRPr="003805AE" w:rsidRDefault="00707F35" w:rsidP="00707F35">
      <w:pPr>
        <w:jc w:val="both"/>
        <w:rPr>
          <w:rFonts w:ascii="Arial" w:hAnsi="Arial"/>
          <w:b/>
          <w:sz w:val="22"/>
          <w:lang w:val="fr-FR"/>
        </w:rPr>
      </w:pPr>
      <w:r w:rsidRPr="003805AE">
        <w:rPr>
          <w:rFonts w:ascii="Arial" w:hAnsi="Arial"/>
          <w:b/>
          <w:sz w:val="22"/>
          <w:lang w:val="fr-FR"/>
        </w:rPr>
        <w:t>Les clauses d'échange</w:t>
      </w:r>
    </w:p>
    <w:p w14:paraId="461801C0" w14:textId="0D023B47" w:rsidR="00707F35" w:rsidRPr="00707F35" w:rsidRDefault="00707F35" w:rsidP="00707F35">
      <w:pPr>
        <w:jc w:val="both"/>
        <w:rPr>
          <w:rFonts w:ascii="Arial" w:hAnsi="Arial"/>
          <w:sz w:val="22"/>
          <w:lang w:val="fr-FR"/>
        </w:rPr>
      </w:pPr>
      <w:r w:rsidRPr="00707F35">
        <w:rPr>
          <w:rFonts w:ascii="Arial" w:hAnsi="Arial"/>
          <w:sz w:val="22"/>
          <w:lang w:val="fr-FR"/>
        </w:rPr>
        <w:t>Pour éviter d'avoir à trancher entre taux fixe et taux variable, certains émetteurs proposent des emprunts " chauve-souris " qui peuvent se transformer au gré du porteur en obligation à taux fixe ou indexé. Appelés quelquefois improprement obligations échangeables, ce genre d'emprunt permet d'échapper aux conséquences d'une hausse du loyer de l'argent en passant du taux fixe au variable et de profiter d'une détente des taux en transformant un taux variable en taux fixe.</w:t>
      </w:r>
    </w:p>
    <w:p w14:paraId="27C397DA" w14:textId="4134DC17" w:rsidR="00FA17CA" w:rsidRDefault="00707F35" w:rsidP="00707F35">
      <w:pPr>
        <w:jc w:val="both"/>
        <w:rPr>
          <w:rFonts w:ascii="Arial" w:hAnsi="Arial"/>
          <w:sz w:val="22"/>
          <w:lang w:val="fr-FR"/>
        </w:rPr>
      </w:pPr>
      <w:r w:rsidRPr="00707F35">
        <w:rPr>
          <w:rFonts w:ascii="Arial" w:hAnsi="Arial"/>
          <w:sz w:val="22"/>
          <w:lang w:val="fr-FR"/>
        </w:rPr>
        <w:t xml:space="preserve">Ces passerelles sont soit permanentes, soit limitées à certaines périodes. Elles peuvent être utilisées une ou plusieurs fois. Ces modalités sont précisées dans le contrat d'émission. Certains de ces titres se présentent comme des obligations à bon d'échange. La faculté d'utiliser une passerelle est matérialisée par un bon </w:t>
      </w:r>
      <w:r w:rsidR="003805AE" w:rsidRPr="00707F35">
        <w:rPr>
          <w:rFonts w:ascii="Arial" w:hAnsi="Arial"/>
          <w:sz w:val="22"/>
          <w:lang w:val="fr-FR"/>
        </w:rPr>
        <w:t>côté</w:t>
      </w:r>
      <w:r w:rsidRPr="00707F35">
        <w:rPr>
          <w:rFonts w:ascii="Arial" w:hAnsi="Arial"/>
          <w:sz w:val="22"/>
          <w:lang w:val="fr-FR"/>
        </w:rPr>
        <w:t xml:space="preserve"> séparément. Cela permet d'isoler, dans la cotation, le supplément engendré par la faculté d'échange mais le bon isolé perd toute valeur. Il doit donc être conservé en même temps que l'obligation. L'avantage procuré par la faculté de métamorphose de ces emprunts se paye évidemment. Les émetteurs lancent ces obligations à des taux légèrement moins favorables que la moyenne du marché.</w:t>
      </w:r>
    </w:p>
    <w:p w14:paraId="1FFF9498" w14:textId="2AF454CD" w:rsidR="00707F35" w:rsidRDefault="00707F35" w:rsidP="00707F35">
      <w:pPr>
        <w:jc w:val="both"/>
        <w:rPr>
          <w:rFonts w:ascii="Arial" w:hAnsi="Arial"/>
          <w:sz w:val="22"/>
          <w:lang w:val="fr-FR"/>
        </w:rPr>
      </w:pPr>
    </w:p>
    <w:p w14:paraId="7A65FE2E" w14:textId="77777777" w:rsidR="00707F35" w:rsidRPr="00A619A0" w:rsidRDefault="00707F35" w:rsidP="00707F35">
      <w:pPr>
        <w:jc w:val="both"/>
        <w:rPr>
          <w:rFonts w:ascii="Arial" w:hAnsi="Arial"/>
          <w:sz w:val="22"/>
          <w:lang w:val="fr-FR"/>
        </w:rPr>
      </w:pPr>
    </w:p>
    <w:p w14:paraId="5D62D0FD" w14:textId="7A49AA38" w:rsidR="001149F8" w:rsidRPr="00A619A0" w:rsidRDefault="002D35F4">
      <w:pPr>
        <w:jc w:val="both"/>
        <w:rPr>
          <w:rFonts w:ascii="Arial" w:hAnsi="Arial"/>
          <w:b/>
          <w:sz w:val="22"/>
          <w:lang w:val="fr-FR"/>
        </w:rPr>
      </w:pPr>
      <w:r>
        <w:rPr>
          <w:rFonts w:ascii="Arial" w:hAnsi="Arial"/>
          <w:b/>
          <w:sz w:val="22"/>
          <w:lang w:val="fr-FR"/>
        </w:rPr>
        <w:t>E</w:t>
      </w:r>
      <w:r w:rsidR="001149F8" w:rsidRPr="00A619A0">
        <w:rPr>
          <w:rFonts w:ascii="Arial" w:hAnsi="Arial"/>
          <w:b/>
          <w:sz w:val="22"/>
          <w:lang w:val="fr-FR"/>
        </w:rPr>
        <w:t xml:space="preserve">) </w:t>
      </w:r>
      <w:r w:rsidR="001149F8" w:rsidRPr="00A619A0">
        <w:rPr>
          <w:rFonts w:ascii="Arial" w:hAnsi="Arial"/>
          <w:b/>
          <w:sz w:val="28"/>
          <w:szCs w:val="28"/>
          <w:u w:val="single"/>
          <w:lang w:val="fr-FR"/>
        </w:rPr>
        <w:t>TOUJOURS</w:t>
      </w:r>
      <w:r w:rsidR="006502C0" w:rsidRPr="00A619A0">
        <w:rPr>
          <w:rFonts w:ascii="Arial" w:hAnsi="Arial"/>
          <w:b/>
          <w:sz w:val="22"/>
          <w:lang w:val="fr-FR"/>
        </w:rPr>
        <w:t xml:space="preserve"> obligataire : obligations perpétuelles</w:t>
      </w:r>
    </w:p>
    <w:p w14:paraId="122EEE0C" w14:textId="26126413" w:rsidR="006502C0" w:rsidRPr="00A619A0" w:rsidRDefault="006502C0" w:rsidP="006502C0">
      <w:pPr>
        <w:jc w:val="both"/>
        <w:rPr>
          <w:rFonts w:ascii="Arial" w:hAnsi="Arial" w:cs="Arial"/>
          <w:sz w:val="22"/>
          <w:szCs w:val="22"/>
          <w:lang w:val="fr-FR"/>
        </w:rPr>
      </w:pPr>
      <w:r w:rsidRPr="00A619A0">
        <w:rPr>
          <w:rFonts w:ascii="Arial" w:hAnsi="Arial" w:cs="Arial"/>
          <w:sz w:val="22"/>
          <w:szCs w:val="22"/>
          <w:lang w:val="fr-FR"/>
        </w:rPr>
        <w:t>Comme leur nom l'indique, les obligations perpétuelles n'ont pas de date de maturité. En théorie, cela implique que le remboursement pourrait n'avoir lieu qu'au moment de la liquidation de la société émettrice, de sorte que l'investisseur n'a pas la certitude d'être remboursé par l'émetteur de son vivant.</w:t>
      </w:r>
    </w:p>
    <w:p w14:paraId="15A55C4B" w14:textId="0A22DE0D" w:rsidR="00FA17CA" w:rsidRPr="00A619A0" w:rsidRDefault="006502C0" w:rsidP="006502C0">
      <w:pPr>
        <w:jc w:val="both"/>
        <w:rPr>
          <w:rFonts w:ascii="Arial" w:hAnsi="Arial"/>
          <w:sz w:val="22"/>
          <w:lang w:val="fr-FR"/>
        </w:rPr>
      </w:pPr>
      <w:r w:rsidRPr="00A619A0">
        <w:rPr>
          <w:rFonts w:ascii="Arial" w:hAnsi="Arial"/>
          <w:sz w:val="22"/>
          <w:lang w:val="fr-FR"/>
        </w:rPr>
        <w:t xml:space="preserve">Elles sont toutefois généralement assorties de </w:t>
      </w:r>
      <w:r w:rsidR="00E30F09" w:rsidRPr="00A619A0">
        <w:rPr>
          <w:rFonts w:ascii="Arial" w:hAnsi="Arial"/>
          <w:sz w:val="22"/>
          <w:lang w:val="fr-FR"/>
        </w:rPr>
        <w:t>« </w:t>
      </w:r>
      <w:r w:rsidRPr="00A619A0">
        <w:rPr>
          <w:rFonts w:ascii="Arial" w:hAnsi="Arial"/>
          <w:sz w:val="22"/>
          <w:lang w:val="fr-FR"/>
        </w:rPr>
        <w:t>call</w:t>
      </w:r>
      <w:r w:rsidR="00E30F09" w:rsidRPr="00A619A0">
        <w:rPr>
          <w:rFonts w:ascii="Arial" w:hAnsi="Arial"/>
          <w:sz w:val="22"/>
          <w:lang w:val="fr-FR"/>
        </w:rPr>
        <w:t> »</w:t>
      </w:r>
      <w:r w:rsidRPr="00A619A0">
        <w:rPr>
          <w:rFonts w:ascii="Arial" w:hAnsi="Arial"/>
          <w:sz w:val="22"/>
          <w:lang w:val="fr-FR"/>
        </w:rPr>
        <w:t>. Un call signifie que l’émetteur se réserve le droit, à certaines dates ou périodes déterminées au moment de l’émission, de mettre fin à l’emprunt et de rembourser son détenteur à un prix déterminé lui aussi préalablement.</w:t>
      </w:r>
    </w:p>
    <w:p w14:paraId="740760FC" w14:textId="77777777" w:rsidR="006502C0" w:rsidRPr="00A619A0" w:rsidRDefault="006502C0" w:rsidP="006502C0">
      <w:pPr>
        <w:jc w:val="both"/>
        <w:rPr>
          <w:rFonts w:ascii="Arial" w:hAnsi="Arial" w:cs="Arial"/>
          <w:sz w:val="22"/>
          <w:szCs w:val="22"/>
          <w:lang w:val="fr-FR"/>
        </w:rPr>
      </w:pPr>
    </w:p>
    <w:p w14:paraId="62911156" w14:textId="643765B5" w:rsidR="006502C0" w:rsidRPr="00A619A0" w:rsidRDefault="006502C0" w:rsidP="006502C0">
      <w:pPr>
        <w:jc w:val="both"/>
        <w:rPr>
          <w:rFonts w:ascii="Arial" w:hAnsi="Arial" w:cs="Arial"/>
          <w:sz w:val="22"/>
          <w:szCs w:val="22"/>
          <w:lang w:val="fr-FR"/>
        </w:rPr>
      </w:pPr>
      <w:r w:rsidRPr="00A619A0">
        <w:rPr>
          <w:rFonts w:ascii="Arial" w:hAnsi="Arial" w:cs="Arial"/>
          <w:sz w:val="22"/>
          <w:szCs w:val="22"/>
          <w:lang w:val="fr-FR"/>
        </w:rPr>
        <w:t>Pour compenser la dimension perpétuelle (ou du moins inconnue dans le temps) de l’obligation ainsi que le caractère subordonné du titre (en cas de faillite de l'émetteur, le remboursement de ces titres ne sera possible que lorsque les aut</w:t>
      </w:r>
      <w:r w:rsidR="00E30F09" w:rsidRPr="00A619A0">
        <w:rPr>
          <w:rFonts w:ascii="Arial" w:hAnsi="Arial" w:cs="Arial"/>
          <w:sz w:val="22"/>
          <w:szCs w:val="22"/>
          <w:lang w:val="fr-FR"/>
        </w:rPr>
        <w:t>res créanciers {</w:t>
      </w:r>
      <w:r w:rsidRPr="00A619A0">
        <w:rPr>
          <w:rFonts w:ascii="Arial" w:hAnsi="Arial" w:cs="Arial"/>
          <w:sz w:val="22"/>
          <w:szCs w:val="22"/>
          <w:lang w:val="fr-FR"/>
        </w:rPr>
        <w:t>personnel, fournisseurs, détenteu</w:t>
      </w:r>
      <w:r w:rsidR="00E30F09" w:rsidRPr="00A619A0">
        <w:rPr>
          <w:rFonts w:ascii="Arial" w:hAnsi="Arial" w:cs="Arial"/>
          <w:sz w:val="22"/>
          <w:szCs w:val="22"/>
          <w:lang w:val="fr-FR"/>
        </w:rPr>
        <w:t>rs d'obligations classiques,...}</w:t>
      </w:r>
      <w:r w:rsidRPr="00A619A0">
        <w:rPr>
          <w:rFonts w:ascii="Arial" w:hAnsi="Arial" w:cs="Arial"/>
          <w:sz w:val="22"/>
          <w:szCs w:val="22"/>
          <w:lang w:val="fr-FR"/>
        </w:rPr>
        <w:t xml:space="preserve"> auront été préalablement remboursés], les obligations perpétuelles distribuent des coupons qui offrent des rendements généralement largement supérieurs (parfois plus de 10%) aux taux offerts par les obligations classiques. Les investisseurs en recherche d’un cash-flow rapide et important peuvent donc leur porter une attention particulière.</w:t>
      </w:r>
    </w:p>
    <w:p w14:paraId="6B0EB499" w14:textId="77777777" w:rsidR="006502C0" w:rsidRPr="00A619A0" w:rsidRDefault="006502C0" w:rsidP="006502C0">
      <w:pPr>
        <w:tabs>
          <w:tab w:val="left" w:pos="1240"/>
        </w:tabs>
        <w:jc w:val="both"/>
        <w:rPr>
          <w:rFonts w:ascii="Arial" w:hAnsi="Arial"/>
          <w:color w:val="FF0000"/>
          <w:sz w:val="22"/>
          <w:lang w:val="fr-FR"/>
        </w:rPr>
      </w:pPr>
    </w:p>
    <w:p w14:paraId="7C635763" w14:textId="1B5C38BD" w:rsidR="006502C0" w:rsidRPr="00A619A0" w:rsidRDefault="0087713D" w:rsidP="006502C0">
      <w:pPr>
        <w:tabs>
          <w:tab w:val="left" w:pos="1240"/>
        </w:tabs>
        <w:jc w:val="both"/>
        <w:rPr>
          <w:rFonts w:ascii="Arial" w:hAnsi="Arial"/>
          <w:sz w:val="22"/>
          <w:lang w:val="fr-FR"/>
        </w:rPr>
      </w:pPr>
      <w:r w:rsidRPr="00A619A0">
        <w:rPr>
          <w:rFonts w:ascii="Arial" w:hAnsi="Arial"/>
          <w:sz w:val="22"/>
          <w:lang w:val="fr-FR"/>
        </w:rPr>
        <w:t>On se trouve donc avec d</w:t>
      </w:r>
      <w:r w:rsidR="006502C0" w:rsidRPr="00A619A0">
        <w:rPr>
          <w:rFonts w:ascii="Arial" w:hAnsi="Arial"/>
          <w:sz w:val="22"/>
          <w:lang w:val="fr-FR"/>
        </w:rPr>
        <w:t xml:space="preserve">es Titres </w:t>
      </w:r>
      <w:r w:rsidR="000F0591" w:rsidRPr="00A619A0">
        <w:rPr>
          <w:rFonts w:ascii="Arial" w:hAnsi="Arial"/>
          <w:sz w:val="22"/>
          <w:lang w:val="fr-FR"/>
        </w:rPr>
        <w:t>Subordonnés</w:t>
      </w:r>
      <w:r w:rsidR="006502C0" w:rsidRPr="00A619A0">
        <w:rPr>
          <w:rFonts w:ascii="Arial" w:hAnsi="Arial"/>
          <w:sz w:val="22"/>
          <w:lang w:val="fr-FR"/>
        </w:rPr>
        <w:t xml:space="preserve"> à </w:t>
      </w:r>
      <w:r w:rsidR="007565AC" w:rsidRPr="00A619A0">
        <w:rPr>
          <w:rFonts w:ascii="Arial" w:hAnsi="Arial"/>
          <w:sz w:val="22"/>
          <w:lang w:val="fr-FR"/>
        </w:rPr>
        <w:t>Durée</w:t>
      </w:r>
      <w:r w:rsidR="006502C0" w:rsidRPr="00A619A0">
        <w:rPr>
          <w:rFonts w:ascii="Arial" w:hAnsi="Arial"/>
          <w:sz w:val="22"/>
          <w:lang w:val="fr-FR"/>
        </w:rPr>
        <w:t xml:space="preserve"> </w:t>
      </w:r>
      <w:r w:rsidR="007565AC" w:rsidRPr="00A619A0">
        <w:rPr>
          <w:rFonts w:ascii="Arial" w:hAnsi="Arial"/>
          <w:sz w:val="22"/>
          <w:lang w:val="fr-FR"/>
        </w:rPr>
        <w:t>Indéterminée</w:t>
      </w:r>
      <w:r w:rsidR="006502C0" w:rsidRPr="00A619A0">
        <w:rPr>
          <w:rFonts w:ascii="Arial" w:hAnsi="Arial"/>
          <w:sz w:val="22"/>
          <w:lang w:val="fr-FR"/>
        </w:rPr>
        <w:t xml:space="preserve"> (</w:t>
      </w:r>
      <w:r w:rsidR="006502C0" w:rsidRPr="00A619A0">
        <w:rPr>
          <w:rFonts w:ascii="Arial" w:hAnsi="Arial"/>
          <w:b/>
          <w:sz w:val="22"/>
          <w:lang w:val="fr-FR"/>
        </w:rPr>
        <w:t>TSDI</w:t>
      </w:r>
      <w:r w:rsidR="006502C0" w:rsidRPr="00A619A0">
        <w:rPr>
          <w:rFonts w:ascii="Arial" w:hAnsi="Arial"/>
          <w:sz w:val="22"/>
          <w:lang w:val="fr-FR"/>
        </w:rPr>
        <w:t xml:space="preserve">) </w:t>
      </w:r>
      <w:r w:rsidR="00C54D76" w:rsidRPr="00A619A0">
        <w:rPr>
          <w:rFonts w:ascii="Arial" w:hAnsi="Arial"/>
          <w:sz w:val="22"/>
          <w:lang w:val="fr-FR"/>
        </w:rPr>
        <w:t xml:space="preserve">qui </w:t>
      </w:r>
      <w:r w:rsidR="006502C0" w:rsidRPr="00A619A0">
        <w:rPr>
          <w:rFonts w:ascii="Arial" w:hAnsi="Arial"/>
          <w:sz w:val="22"/>
          <w:lang w:val="fr-FR"/>
        </w:rPr>
        <w:t xml:space="preserve">ont les </w:t>
      </w:r>
      <w:r w:rsidR="007565AC" w:rsidRPr="00A619A0">
        <w:rPr>
          <w:rFonts w:ascii="Arial" w:hAnsi="Arial"/>
          <w:sz w:val="22"/>
          <w:lang w:val="fr-FR"/>
        </w:rPr>
        <w:t>caractéristiques</w:t>
      </w:r>
      <w:r w:rsidR="006502C0" w:rsidRPr="00A619A0">
        <w:rPr>
          <w:rFonts w:ascii="Arial" w:hAnsi="Arial"/>
          <w:sz w:val="22"/>
          <w:lang w:val="fr-FR"/>
        </w:rPr>
        <w:t xml:space="preserve"> suivantes :</w:t>
      </w:r>
    </w:p>
    <w:p w14:paraId="0A1C70B9" w14:textId="77777777" w:rsidR="006502C0" w:rsidRPr="00A619A0" w:rsidRDefault="006502C0" w:rsidP="006502C0">
      <w:pPr>
        <w:pStyle w:val="Paragraphedeliste"/>
        <w:numPr>
          <w:ilvl w:val="0"/>
          <w:numId w:val="6"/>
        </w:numPr>
        <w:jc w:val="both"/>
        <w:rPr>
          <w:rFonts w:ascii="Arial" w:hAnsi="Arial"/>
          <w:sz w:val="22"/>
          <w:lang w:val="fr-FR"/>
        </w:rPr>
      </w:pPr>
      <w:proofErr w:type="gramStart"/>
      <w:r w:rsidRPr="00A619A0">
        <w:rPr>
          <w:rFonts w:ascii="Arial" w:hAnsi="Arial"/>
          <w:sz w:val="22"/>
          <w:lang w:val="fr-FR"/>
        </w:rPr>
        <w:t>ils</w:t>
      </w:r>
      <w:proofErr w:type="gramEnd"/>
      <w:r w:rsidRPr="00A619A0">
        <w:rPr>
          <w:rFonts w:ascii="Arial" w:hAnsi="Arial"/>
          <w:sz w:val="22"/>
          <w:lang w:val="fr-FR"/>
        </w:rPr>
        <w:t xml:space="preserve"> ne sont remboursables qu'en cas de liquidation de l'entreprise (instrument de capitaux propres),</w:t>
      </w:r>
    </w:p>
    <w:p w14:paraId="001D1126" w14:textId="74DFD12E" w:rsidR="006502C0" w:rsidRPr="00A619A0" w:rsidRDefault="006502C0" w:rsidP="006502C0">
      <w:pPr>
        <w:pStyle w:val="Paragraphedeliste"/>
        <w:numPr>
          <w:ilvl w:val="0"/>
          <w:numId w:val="6"/>
        </w:numPr>
        <w:jc w:val="both"/>
        <w:rPr>
          <w:rFonts w:ascii="Arial" w:hAnsi="Arial"/>
          <w:sz w:val="22"/>
          <w:lang w:val="fr-FR"/>
        </w:rPr>
      </w:pPr>
      <w:proofErr w:type="gramStart"/>
      <w:r w:rsidRPr="00A619A0">
        <w:rPr>
          <w:rFonts w:ascii="Arial" w:hAnsi="Arial"/>
          <w:sz w:val="22"/>
          <w:lang w:val="fr-FR"/>
        </w:rPr>
        <w:t>le</w:t>
      </w:r>
      <w:proofErr w:type="gramEnd"/>
      <w:r w:rsidRPr="00A619A0">
        <w:rPr>
          <w:rFonts w:ascii="Arial" w:hAnsi="Arial"/>
          <w:sz w:val="22"/>
          <w:lang w:val="fr-FR"/>
        </w:rPr>
        <w:t xml:space="preserve"> remboursement n'intervient qu'</w:t>
      </w:r>
      <w:r w:rsidR="00E30F09" w:rsidRPr="00A619A0">
        <w:rPr>
          <w:rFonts w:ascii="Arial" w:hAnsi="Arial"/>
          <w:sz w:val="22"/>
          <w:lang w:val="fr-FR"/>
        </w:rPr>
        <w:t>après</w:t>
      </w:r>
      <w:r w:rsidRPr="00A619A0">
        <w:rPr>
          <w:rFonts w:ascii="Arial" w:hAnsi="Arial"/>
          <w:sz w:val="22"/>
          <w:lang w:val="fr-FR"/>
        </w:rPr>
        <w:t xml:space="preserve"> </w:t>
      </w:r>
      <w:r w:rsidR="00E30F09" w:rsidRPr="00A619A0">
        <w:rPr>
          <w:rFonts w:ascii="Arial" w:hAnsi="Arial"/>
          <w:sz w:val="22"/>
          <w:lang w:val="fr-FR"/>
        </w:rPr>
        <w:t>désintéressement</w:t>
      </w:r>
      <w:r w:rsidRPr="00A619A0">
        <w:rPr>
          <w:rFonts w:ascii="Arial" w:hAnsi="Arial"/>
          <w:sz w:val="22"/>
          <w:lang w:val="fr-FR"/>
        </w:rPr>
        <w:t xml:space="preserve"> de tous les autres </w:t>
      </w:r>
      <w:r w:rsidR="00E30F09" w:rsidRPr="00A619A0">
        <w:rPr>
          <w:rFonts w:ascii="Arial" w:hAnsi="Arial"/>
          <w:sz w:val="22"/>
          <w:lang w:val="fr-FR"/>
        </w:rPr>
        <w:t>créanciers</w:t>
      </w:r>
      <w:r w:rsidRPr="00A619A0">
        <w:rPr>
          <w:rFonts w:ascii="Arial" w:hAnsi="Arial"/>
          <w:sz w:val="22"/>
          <w:lang w:val="fr-FR"/>
        </w:rPr>
        <w:t xml:space="preserve">, </w:t>
      </w:r>
      <w:r w:rsidR="00E30F09" w:rsidRPr="00A619A0">
        <w:rPr>
          <w:rFonts w:ascii="Arial" w:hAnsi="Arial"/>
          <w:sz w:val="22"/>
          <w:lang w:val="fr-FR"/>
        </w:rPr>
        <w:t>privilégies</w:t>
      </w:r>
      <w:r w:rsidRPr="00A619A0">
        <w:rPr>
          <w:rFonts w:ascii="Arial" w:hAnsi="Arial"/>
          <w:sz w:val="22"/>
          <w:lang w:val="fr-FR"/>
        </w:rPr>
        <w:t xml:space="preserve"> ou chirographaires (instrument de capitaux propres),</w:t>
      </w:r>
    </w:p>
    <w:p w14:paraId="76278B29" w14:textId="25A8DD10" w:rsidR="006502C0" w:rsidRPr="00A619A0" w:rsidRDefault="006502C0" w:rsidP="006502C0">
      <w:pPr>
        <w:pStyle w:val="Paragraphedeliste"/>
        <w:numPr>
          <w:ilvl w:val="0"/>
          <w:numId w:val="6"/>
        </w:numPr>
        <w:jc w:val="both"/>
        <w:rPr>
          <w:rFonts w:ascii="Arial" w:hAnsi="Arial"/>
          <w:sz w:val="22"/>
          <w:lang w:val="fr-FR"/>
        </w:rPr>
      </w:pPr>
      <w:proofErr w:type="gramStart"/>
      <w:r w:rsidRPr="00A619A0">
        <w:rPr>
          <w:rFonts w:ascii="Arial" w:hAnsi="Arial"/>
          <w:sz w:val="22"/>
          <w:lang w:val="fr-FR"/>
        </w:rPr>
        <w:t>la</w:t>
      </w:r>
      <w:proofErr w:type="gramEnd"/>
      <w:r w:rsidRPr="00A619A0">
        <w:rPr>
          <w:rFonts w:ascii="Arial" w:hAnsi="Arial"/>
          <w:sz w:val="22"/>
          <w:lang w:val="fr-FR"/>
        </w:rPr>
        <w:t xml:space="preserve"> </w:t>
      </w:r>
      <w:r w:rsidR="00E30F09" w:rsidRPr="00A619A0">
        <w:rPr>
          <w:rFonts w:ascii="Arial" w:hAnsi="Arial"/>
          <w:sz w:val="22"/>
          <w:lang w:val="fr-FR"/>
        </w:rPr>
        <w:t>rémunération</w:t>
      </w:r>
      <w:r w:rsidRPr="00A619A0">
        <w:rPr>
          <w:rFonts w:ascii="Arial" w:hAnsi="Arial"/>
          <w:sz w:val="22"/>
          <w:lang w:val="fr-FR"/>
        </w:rPr>
        <w:t xml:space="preserve"> constitue une charge </w:t>
      </w:r>
      <w:r w:rsidR="00E30F09" w:rsidRPr="00A619A0">
        <w:rPr>
          <w:rFonts w:ascii="Arial" w:hAnsi="Arial"/>
          <w:sz w:val="22"/>
          <w:lang w:val="fr-FR"/>
        </w:rPr>
        <w:t>financière</w:t>
      </w:r>
      <w:r w:rsidRPr="00A619A0">
        <w:rPr>
          <w:rFonts w:ascii="Arial" w:hAnsi="Arial"/>
          <w:sz w:val="22"/>
          <w:lang w:val="fr-FR"/>
        </w:rPr>
        <w:t xml:space="preserve"> pour l'entreprise (instrument de dette).</w:t>
      </w:r>
    </w:p>
    <w:p w14:paraId="6612921D" w14:textId="77777777" w:rsidR="006502C0" w:rsidRPr="00A619A0" w:rsidRDefault="006502C0" w:rsidP="006502C0">
      <w:pPr>
        <w:jc w:val="both"/>
        <w:rPr>
          <w:rFonts w:ascii="Arial" w:hAnsi="Arial"/>
          <w:sz w:val="22"/>
          <w:lang w:val="fr-FR"/>
        </w:rPr>
      </w:pPr>
    </w:p>
    <w:p w14:paraId="717C5240" w14:textId="77777777" w:rsidR="006502C0" w:rsidRPr="00A619A0" w:rsidRDefault="006502C0" w:rsidP="006502C0">
      <w:pPr>
        <w:jc w:val="both"/>
        <w:rPr>
          <w:rFonts w:ascii="Arial" w:hAnsi="Arial"/>
          <w:b/>
          <w:sz w:val="22"/>
          <w:lang w:val="fr-FR"/>
        </w:rPr>
      </w:pPr>
      <w:r w:rsidRPr="00A619A0">
        <w:rPr>
          <w:rFonts w:ascii="Arial" w:hAnsi="Arial"/>
          <w:b/>
          <w:sz w:val="22"/>
          <w:lang w:val="fr-FR"/>
        </w:rPr>
        <w:t>La classification au sein du bilan</w:t>
      </w:r>
    </w:p>
    <w:p w14:paraId="09EA8892" w14:textId="77777777" w:rsidR="00743B00" w:rsidRPr="00A619A0" w:rsidRDefault="006502C0" w:rsidP="006502C0">
      <w:pPr>
        <w:jc w:val="both"/>
        <w:rPr>
          <w:rFonts w:ascii="Arial" w:hAnsi="Arial"/>
          <w:sz w:val="22"/>
          <w:lang w:val="fr-FR"/>
        </w:rPr>
      </w:pPr>
      <w:r w:rsidRPr="00A619A0">
        <w:rPr>
          <w:rFonts w:ascii="Arial" w:hAnsi="Arial"/>
          <w:sz w:val="22"/>
          <w:lang w:val="fr-FR"/>
        </w:rPr>
        <w:t>Les difficultés relatives à la classification de l'émission de TSDI entre les capitaux propres et les dettes tiennent à ce que la nature juridique et la nature financière de cet instr</w:t>
      </w:r>
      <w:r w:rsidR="00743B00" w:rsidRPr="00A619A0">
        <w:rPr>
          <w:rFonts w:ascii="Arial" w:hAnsi="Arial"/>
          <w:sz w:val="22"/>
          <w:lang w:val="fr-FR"/>
        </w:rPr>
        <w:t>ument de financement diffèrent.</w:t>
      </w:r>
    </w:p>
    <w:p w14:paraId="27FC7E31" w14:textId="2A8F7422" w:rsidR="00C44A3F" w:rsidRPr="00A619A0" w:rsidRDefault="006502C0" w:rsidP="006502C0">
      <w:pPr>
        <w:jc w:val="both"/>
        <w:rPr>
          <w:rFonts w:ascii="Arial" w:hAnsi="Arial"/>
          <w:sz w:val="22"/>
          <w:lang w:val="fr-FR"/>
        </w:rPr>
      </w:pPr>
      <w:r w:rsidRPr="00A619A0">
        <w:rPr>
          <w:rFonts w:ascii="Arial" w:hAnsi="Arial"/>
          <w:sz w:val="22"/>
          <w:u w:val="single"/>
          <w:lang w:val="fr-FR"/>
        </w:rPr>
        <w:t>Le juri</w:t>
      </w:r>
      <w:r w:rsidR="00344D19" w:rsidRPr="00A619A0">
        <w:rPr>
          <w:rFonts w:ascii="Arial" w:hAnsi="Arial"/>
          <w:sz w:val="22"/>
          <w:u w:val="single"/>
          <w:lang w:val="fr-FR"/>
        </w:rPr>
        <w:t>ste</w:t>
      </w:r>
      <w:r w:rsidR="00344D19" w:rsidRPr="00A619A0">
        <w:rPr>
          <w:rFonts w:ascii="Arial" w:hAnsi="Arial"/>
          <w:sz w:val="22"/>
          <w:lang w:val="fr-FR"/>
        </w:rPr>
        <w:t xml:space="preserve"> se fonde sur l'article L228-97</w:t>
      </w:r>
      <w:r w:rsidRPr="00A619A0">
        <w:rPr>
          <w:rFonts w:ascii="Arial" w:hAnsi="Arial"/>
          <w:sz w:val="22"/>
          <w:lang w:val="fr-FR"/>
        </w:rPr>
        <w:t xml:space="preserve"> pour reconnaître que le TSDI a la nature d'une dette en dépit de son caractère perpétuel et des différentes clauses de subordination et ce, même si le porteur du TSDI se trouve dans une position très proche de celle de l'actionnaire.</w:t>
      </w:r>
    </w:p>
    <w:p w14:paraId="6EA4D156" w14:textId="77777777" w:rsidR="00344D19" w:rsidRPr="00A619A0" w:rsidRDefault="00344D19" w:rsidP="006502C0">
      <w:pPr>
        <w:jc w:val="both"/>
        <w:rPr>
          <w:rFonts w:ascii="Arial" w:hAnsi="Arial"/>
          <w:sz w:val="22"/>
          <w:lang w:val="fr-FR"/>
        </w:rPr>
      </w:pPr>
    </w:p>
    <w:p w14:paraId="222C484D" w14:textId="77777777" w:rsidR="00344D19" w:rsidRPr="00A619A0" w:rsidRDefault="00344D19" w:rsidP="00344D19">
      <w:pPr>
        <w:jc w:val="center"/>
        <w:rPr>
          <w:rFonts w:ascii="Arial" w:hAnsi="Arial"/>
          <w:b/>
          <w:sz w:val="22"/>
          <w:lang w:val="fr-FR"/>
        </w:rPr>
      </w:pPr>
      <w:r w:rsidRPr="00A619A0">
        <w:rPr>
          <w:rFonts w:ascii="Arial" w:hAnsi="Arial"/>
          <w:b/>
          <w:sz w:val="22"/>
          <w:lang w:val="fr-FR"/>
        </w:rPr>
        <w:t>Article L228-97</w:t>
      </w:r>
    </w:p>
    <w:p w14:paraId="5CE39C79" w14:textId="17DE6DB1" w:rsidR="006502C0" w:rsidRPr="00A40692" w:rsidRDefault="00344D19" w:rsidP="00344D19">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A40692">
        <w:rPr>
          <w:rFonts w:ascii="Arial" w:hAnsi="Arial"/>
          <w:i/>
          <w:sz w:val="20"/>
          <w:szCs w:val="20"/>
          <w:lang w:val="fr-FR"/>
        </w:rPr>
        <w:t>Lors de l'émission de valeurs mobilières représentatives de créances sur la société émettrice ou donnant droit de souscrire ou d'acquérir une valeur mobilière représentative de créances, il peut être stipulé que ces valeurs mobilières ne seront remboursées qu'après désintéressement des autres créanciers, à l'exclusion des titulaires de prêts participatifs et de titres participatifs.</w:t>
      </w:r>
    </w:p>
    <w:p w14:paraId="4B22F039" w14:textId="77777777" w:rsidR="00344D19" w:rsidRPr="00A619A0" w:rsidRDefault="00344D19" w:rsidP="006502C0">
      <w:pPr>
        <w:jc w:val="both"/>
        <w:rPr>
          <w:rFonts w:ascii="Arial" w:hAnsi="Arial"/>
          <w:sz w:val="22"/>
          <w:lang w:val="fr-FR"/>
        </w:rPr>
      </w:pPr>
    </w:p>
    <w:p w14:paraId="22F6A46D" w14:textId="6E7C3ABD" w:rsidR="006502C0" w:rsidRPr="00A619A0" w:rsidRDefault="0037412B" w:rsidP="006502C0">
      <w:pPr>
        <w:jc w:val="both"/>
        <w:rPr>
          <w:rFonts w:ascii="Arial" w:hAnsi="Arial"/>
          <w:sz w:val="22"/>
          <w:lang w:val="fr-FR"/>
        </w:rPr>
      </w:pPr>
      <w:r w:rsidRPr="00A619A0">
        <w:rPr>
          <w:rFonts w:ascii="Arial" w:hAnsi="Arial"/>
          <w:sz w:val="22"/>
          <w:u w:val="single"/>
          <w:lang w:val="fr-FR"/>
        </w:rPr>
        <w:t>En analyse financiè</w:t>
      </w:r>
      <w:r w:rsidR="006502C0" w:rsidRPr="00A619A0">
        <w:rPr>
          <w:rFonts w:ascii="Arial" w:hAnsi="Arial"/>
          <w:sz w:val="22"/>
          <w:u w:val="single"/>
          <w:lang w:val="fr-FR"/>
        </w:rPr>
        <w:t>r</w:t>
      </w:r>
      <w:r w:rsidRPr="00A619A0">
        <w:rPr>
          <w:rFonts w:ascii="Arial" w:hAnsi="Arial"/>
          <w:sz w:val="22"/>
          <w:u w:val="single"/>
          <w:lang w:val="fr-FR"/>
        </w:rPr>
        <w:t>e</w:t>
      </w:r>
      <w:r w:rsidRPr="00A619A0">
        <w:rPr>
          <w:rFonts w:ascii="Arial" w:hAnsi="Arial"/>
          <w:sz w:val="22"/>
          <w:lang w:val="fr-FR"/>
        </w:rPr>
        <w:t xml:space="preserve">, on utilise généralement le concept de « quasi fonds propres » pour </w:t>
      </w:r>
      <w:r w:rsidR="006502C0" w:rsidRPr="00A619A0">
        <w:rPr>
          <w:rFonts w:ascii="Arial" w:hAnsi="Arial"/>
          <w:sz w:val="22"/>
          <w:lang w:val="fr-FR"/>
        </w:rPr>
        <w:t>qualifier de tels instruments, terminologie impropre et inexistante en droit comptable français. Il tend à assimiler de telles émissions, en raison de leurs caractéristiques, aux autres fonds propres pour le traitement au sein des comptes sociaux, voire même à des capitaux propres pour le traitement au sein des comptes consolidés.</w:t>
      </w:r>
    </w:p>
    <w:p w14:paraId="54B944CB" w14:textId="77777777" w:rsidR="006502C0" w:rsidRPr="00A619A0" w:rsidRDefault="006502C0" w:rsidP="006502C0">
      <w:pPr>
        <w:jc w:val="both"/>
        <w:rPr>
          <w:rFonts w:ascii="Arial" w:hAnsi="Arial"/>
          <w:sz w:val="22"/>
          <w:lang w:val="fr-FR"/>
        </w:rPr>
      </w:pPr>
    </w:p>
    <w:p w14:paraId="7844B639" w14:textId="655F97E8" w:rsidR="00707D9C" w:rsidRPr="00B37EB4" w:rsidRDefault="00707D9C" w:rsidP="00707D9C">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B37EB4">
        <w:rPr>
          <w:rFonts w:ascii="Arial" w:hAnsi="Arial"/>
          <w:i/>
          <w:sz w:val="20"/>
          <w:szCs w:val="20"/>
          <w:lang w:val="fr-FR"/>
        </w:rPr>
        <w:t xml:space="preserve">CREDIT AGRICOLE S.A. a annoncé avoir lancé avec succès le 11 septembre 2014 son émission de 1,75 milliard de dollars d'obligations super subordonnées perpétuelles </w:t>
      </w:r>
      <w:proofErr w:type="spellStart"/>
      <w:r w:rsidRPr="00B37EB4">
        <w:rPr>
          <w:rFonts w:ascii="Arial" w:hAnsi="Arial"/>
          <w:i/>
          <w:sz w:val="20"/>
          <w:szCs w:val="20"/>
          <w:lang w:val="fr-FR"/>
        </w:rPr>
        <w:t>Additional</w:t>
      </w:r>
      <w:proofErr w:type="spellEnd"/>
      <w:r w:rsidRPr="00B37EB4">
        <w:rPr>
          <w:rFonts w:ascii="Arial" w:hAnsi="Arial"/>
          <w:i/>
          <w:sz w:val="20"/>
          <w:szCs w:val="20"/>
          <w:lang w:val="fr-FR"/>
        </w:rPr>
        <w:t xml:space="preserve"> Tier 1 à taux fixe révisable. Elles n'ont pas d'échéance déterminée et paieront un intérêt à taux fixe annuel de 6,625% jusqu'au 23 septembre 2019, révisable après cette date. Les paiements d'intérêts pourront être suspendus dans certaines circonstances.</w:t>
      </w:r>
    </w:p>
    <w:p w14:paraId="7F0FABE7" w14:textId="77777777" w:rsidR="00707D9C" w:rsidRPr="00B37EB4" w:rsidRDefault="00707D9C" w:rsidP="00707D9C">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p>
    <w:p w14:paraId="76AE9C62" w14:textId="4A570102" w:rsidR="00707D9C" w:rsidRPr="00B37EB4" w:rsidRDefault="00707D9C" w:rsidP="00707D9C">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B37EB4">
        <w:rPr>
          <w:rFonts w:ascii="Arial" w:hAnsi="Arial"/>
          <w:i/>
          <w:sz w:val="20"/>
          <w:szCs w:val="20"/>
          <w:lang w:val="fr-FR"/>
        </w:rPr>
        <w:t xml:space="preserve">Le montant nominal total des obligations sera diminué temporairement si le ratio de fonds propres Common </w:t>
      </w:r>
      <w:proofErr w:type="spellStart"/>
      <w:r w:rsidRPr="00B37EB4">
        <w:rPr>
          <w:rFonts w:ascii="Arial" w:hAnsi="Arial"/>
          <w:i/>
          <w:sz w:val="20"/>
          <w:szCs w:val="20"/>
          <w:lang w:val="fr-FR"/>
        </w:rPr>
        <w:t>Equity</w:t>
      </w:r>
      <w:proofErr w:type="spellEnd"/>
      <w:r w:rsidRPr="00B37EB4">
        <w:rPr>
          <w:rFonts w:ascii="Arial" w:hAnsi="Arial"/>
          <w:i/>
          <w:sz w:val="20"/>
          <w:szCs w:val="20"/>
          <w:lang w:val="fr-FR"/>
        </w:rPr>
        <w:t xml:space="preserve"> Tier 1 du Groupe Crédit Agricole devait tomber ou se maintenir sous 7% ou si le ratio de fonds propres Common </w:t>
      </w:r>
      <w:proofErr w:type="spellStart"/>
      <w:r w:rsidRPr="00B37EB4">
        <w:rPr>
          <w:rFonts w:ascii="Arial" w:hAnsi="Arial"/>
          <w:i/>
          <w:sz w:val="20"/>
          <w:szCs w:val="20"/>
          <w:lang w:val="fr-FR"/>
        </w:rPr>
        <w:t>Equity</w:t>
      </w:r>
      <w:proofErr w:type="spellEnd"/>
      <w:r w:rsidRPr="00B37EB4">
        <w:rPr>
          <w:rFonts w:ascii="Arial" w:hAnsi="Arial"/>
          <w:i/>
          <w:sz w:val="20"/>
          <w:szCs w:val="20"/>
          <w:lang w:val="fr-FR"/>
        </w:rPr>
        <w:t xml:space="preserve"> Tier 1 du Groupe Crédit Agricole S.A. devait tomber ou se maintenir sous 5,125%.</w:t>
      </w:r>
    </w:p>
    <w:p w14:paraId="40D7F43D" w14:textId="1E3569BD" w:rsidR="004A6A74" w:rsidRPr="00B37EB4" w:rsidRDefault="00707D9C" w:rsidP="00707D9C">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B37EB4">
        <w:rPr>
          <w:rFonts w:ascii="Arial" w:hAnsi="Arial"/>
          <w:i/>
          <w:sz w:val="20"/>
          <w:szCs w:val="20"/>
          <w:lang w:val="fr-FR"/>
        </w:rPr>
        <w:t>Les obligations pourront faire l'objet d'un remboursement anticipé par l'émetteur le 23 septembre 2019 et à chaque date suivante de révision du taux d'intérêt avec l'accord préalable du régulateur et sous certaines conditions.</w:t>
      </w:r>
    </w:p>
    <w:p w14:paraId="5514332F" w14:textId="77777777" w:rsidR="006502C0" w:rsidRPr="00A619A0" w:rsidRDefault="006502C0">
      <w:pPr>
        <w:jc w:val="both"/>
        <w:rPr>
          <w:rFonts w:ascii="Arial" w:hAnsi="Arial"/>
          <w:sz w:val="22"/>
          <w:lang w:val="fr-FR"/>
        </w:rPr>
      </w:pPr>
    </w:p>
    <w:p w14:paraId="7E0E8F51" w14:textId="7F22FCBC" w:rsidR="00243787" w:rsidRPr="00A619A0" w:rsidRDefault="000E33F9">
      <w:pPr>
        <w:jc w:val="both"/>
        <w:rPr>
          <w:rFonts w:ascii="Arial" w:hAnsi="Arial"/>
          <w:b/>
          <w:sz w:val="22"/>
          <w:lang w:val="fr-FR"/>
        </w:rPr>
      </w:pPr>
      <w:r>
        <w:rPr>
          <w:rFonts w:ascii="Arial" w:hAnsi="Arial"/>
          <w:b/>
          <w:sz w:val="22"/>
          <w:lang w:val="fr-FR"/>
        </w:rPr>
        <w:t>F</w:t>
      </w:r>
      <w:r w:rsidR="00243787" w:rsidRPr="00A619A0">
        <w:rPr>
          <w:rFonts w:ascii="Arial" w:hAnsi="Arial"/>
          <w:b/>
          <w:sz w:val="22"/>
          <w:lang w:val="fr-FR"/>
        </w:rPr>
        <w:t>) Et bien d’autres choses !</w:t>
      </w:r>
    </w:p>
    <w:p w14:paraId="11428DAE" w14:textId="3EF7CB1C" w:rsidR="00B6484E" w:rsidRPr="00A619A0" w:rsidRDefault="00B6484E">
      <w:pPr>
        <w:jc w:val="both"/>
        <w:rPr>
          <w:rFonts w:ascii="Arial" w:hAnsi="Arial"/>
          <w:sz w:val="22"/>
          <w:lang w:val="fr-FR"/>
        </w:rPr>
      </w:pPr>
      <w:r w:rsidRPr="00A619A0">
        <w:rPr>
          <w:rFonts w:ascii="Arial" w:hAnsi="Arial"/>
          <w:sz w:val="22"/>
          <w:lang w:val="fr-FR"/>
        </w:rPr>
        <w:t>Chaque so</w:t>
      </w:r>
      <w:r w:rsidR="00243787" w:rsidRPr="00A619A0">
        <w:rPr>
          <w:rFonts w:ascii="Arial" w:hAnsi="Arial"/>
          <w:sz w:val="22"/>
          <w:lang w:val="fr-FR"/>
        </w:rPr>
        <w:t>ciété (plutôt</w:t>
      </w:r>
      <w:r w:rsidRPr="00A619A0">
        <w:rPr>
          <w:rFonts w:ascii="Arial" w:hAnsi="Arial"/>
          <w:sz w:val="22"/>
          <w:lang w:val="fr-FR"/>
        </w:rPr>
        <w:t xml:space="preserve"> les non financières) invente un élément de différenciation : c’est du pur marketing !</w:t>
      </w:r>
    </w:p>
    <w:p w14:paraId="22735BAF" w14:textId="77777777" w:rsidR="00174C3B" w:rsidRPr="00A619A0" w:rsidRDefault="00174C3B">
      <w:pPr>
        <w:jc w:val="both"/>
        <w:rPr>
          <w:rFonts w:ascii="Arial" w:hAnsi="Arial"/>
          <w:sz w:val="22"/>
          <w:lang w:val="fr-FR"/>
        </w:rPr>
      </w:pPr>
    </w:p>
    <w:p w14:paraId="3E911B39" w14:textId="508AABB5" w:rsidR="00174C3B" w:rsidRPr="00A619A0" w:rsidRDefault="00A62FEC">
      <w:pPr>
        <w:jc w:val="both"/>
        <w:rPr>
          <w:rFonts w:ascii="Arial" w:hAnsi="Arial"/>
          <w:sz w:val="22"/>
          <w:lang w:val="fr-FR"/>
        </w:rPr>
      </w:pPr>
      <w:r w:rsidRPr="00A619A0">
        <w:rPr>
          <w:rFonts w:ascii="Arial" w:hAnsi="Arial"/>
          <w:sz w:val="22"/>
          <w:lang w:val="fr-FR"/>
        </w:rPr>
        <w:t xml:space="preserve">La prise de risque : </w:t>
      </w:r>
      <w:r w:rsidRPr="00A619A0">
        <w:rPr>
          <w:rFonts w:ascii="Arial" w:hAnsi="Arial"/>
          <w:b/>
          <w:sz w:val="22"/>
          <w:lang w:val="fr-FR"/>
        </w:rPr>
        <w:t>CAT BONDS</w:t>
      </w:r>
    </w:p>
    <w:p w14:paraId="6D5069D1" w14:textId="77777777" w:rsidR="00FC778B" w:rsidRPr="00A619A0" w:rsidRDefault="00FC778B">
      <w:pPr>
        <w:jc w:val="both"/>
        <w:rPr>
          <w:rFonts w:ascii="Arial" w:hAnsi="Arial"/>
          <w:sz w:val="22"/>
          <w:lang w:val="fr-FR"/>
        </w:rPr>
      </w:pPr>
    </w:p>
    <w:p w14:paraId="55AEBE46" w14:textId="77777777" w:rsidR="00650AD5" w:rsidRPr="00744EF4" w:rsidRDefault="00650AD5" w:rsidP="00650AD5">
      <w:pPr>
        <w:pBdr>
          <w:top w:val="single" w:sz="4" w:space="1" w:color="auto"/>
          <w:left w:val="single" w:sz="4" w:space="4" w:color="auto"/>
          <w:bottom w:val="single" w:sz="4" w:space="1" w:color="auto"/>
          <w:right w:val="single" w:sz="4" w:space="4" w:color="auto"/>
        </w:pBdr>
        <w:jc w:val="both"/>
        <w:rPr>
          <w:rFonts w:ascii="Arial" w:hAnsi="Arial"/>
          <w:i/>
          <w:sz w:val="20"/>
          <w:szCs w:val="20"/>
          <w:lang w:val="en-US"/>
        </w:rPr>
      </w:pPr>
      <w:r w:rsidRPr="00744EF4">
        <w:rPr>
          <w:rFonts w:ascii="Arial" w:hAnsi="Arial"/>
          <w:i/>
          <w:sz w:val="20"/>
          <w:szCs w:val="20"/>
          <w:lang w:val="en-US"/>
        </w:rPr>
        <w:t>A high-yield debt instrument that is usually insurance linked and meant to raise money in case of a catastrophe such as a hurricane or earthquake. It has a special condition that states that if the issuer (insurance or reinsurance company) suffers a loss from a particular pre-defined catastrophe, then the issuer's obligation to pay interest and/or repay the principal is either deferred or completely forgiven.</w:t>
      </w:r>
    </w:p>
    <w:p w14:paraId="59AD0380" w14:textId="77777777" w:rsidR="00182FCE" w:rsidRPr="00E7339B" w:rsidRDefault="00182FCE">
      <w:pPr>
        <w:jc w:val="both"/>
        <w:rPr>
          <w:rFonts w:ascii="Arial" w:hAnsi="Arial"/>
          <w:sz w:val="22"/>
          <w:lang w:val="en-US"/>
        </w:rPr>
      </w:pPr>
    </w:p>
    <w:p w14:paraId="3D68D9A2" w14:textId="77777777" w:rsidR="008D2C93" w:rsidRPr="00E7339B" w:rsidRDefault="008D2C93">
      <w:pPr>
        <w:jc w:val="both"/>
        <w:rPr>
          <w:rFonts w:ascii="Arial" w:hAnsi="Arial"/>
          <w:sz w:val="22"/>
          <w:lang w:val="en-US"/>
        </w:rPr>
      </w:pPr>
    </w:p>
    <w:p w14:paraId="7A71E8F3" w14:textId="4949B477" w:rsidR="008D2C93" w:rsidRPr="00A40692" w:rsidRDefault="00A40692">
      <w:pPr>
        <w:jc w:val="both"/>
        <w:rPr>
          <w:rFonts w:ascii="Arial" w:hAnsi="Arial"/>
          <w:sz w:val="22"/>
          <w:lang w:val="fr-FR"/>
        </w:rPr>
      </w:pPr>
      <w:r w:rsidRPr="00A40692">
        <w:rPr>
          <w:rFonts w:ascii="Arial" w:hAnsi="Arial"/>
          <w:sz w:val="22"/>
          <w:lang w:val="fr-FR"/>
        </w:rPr>
        <w:t xml:space="preserve">L'écologie : </w:t>
      </w:r>
      <w:r w:rsidRPr="00A40692">
        <w:rPr>
          <w:rFonts w:ascii="Arial" w:hAnsi="Arial"/>
          <w:b/>
          <w:bCs/>
          <w:sz w:val="22"/>
          <w:lang w:val="fr-FR"/>
        </w:rPr>
        <w:t>GREEN BONDS</w:t>
      </w:r>
    </w:p>
    <w:p w14:paraId="36BFCD66" w14:textId="6D0E5654" w:rsidR="00A40692" w:rsidRDefault="00EC3F66" w:rsidP="00A40692">
      <w:pPr>
        <w:rPr>
          <w:rFonts w:ascii="Arial" w:hAnsi="Arial" w:cs="Arial"/>
          <w:sz w:val="22"/>
          <w:szCs w:val="22"/>
          <w:lang w:val="fr-FR"/>
        </w:rPr>
      </w:pPr>
      <w:r w:rsidRPr="00EC3F66">
        <w:rPr>
          <w:rFonts w:ascii="Arial" w:hAnsi="Arial" w:cs="Arial"/>
          <w:sz w:val="22"/>
          <w:szCs w:val="22"/>
          <w:lang w:val="fr-FR"/>
        </w:rPr>
        <w:t>Une obligation verte ou green bond (aussi appelée obligation environnementale) est un emprunt obligataire lancé sur les marchés financiers par une entreprise, une organisation internationale ou une collectivité locale auprès d'investisseurs dans le but de financer un projet ou une activité bénéfique à la transition ...</w:t>
      </w:r>
    </w:p>
    <w:p w14:paraId="1E273DCF" w14:textId="77777777" w:rsidR="00EC3F66" w:rsidRPr="00EC3F66" w:rsidRDefault="00EC3F66" w:rsidP="00A40692">
      <w:pPr>
        <w:rPr>
          <w:rFonts w:ascii="Arial" w:hAnsi="Arial" w:cs="Arial"/>
          <w:sz w:val="22"/>
          <w:szCs w:val="22"/>
          <w:lang w:val="fr-FR"/>
        </w:rPr>
      </w:pPr>
    </w:p>
    <w:p w14:paraId="60B71F99" w14:textId="2B22D706" w:rsidR="00A40692" w:rsidRPr="00424921" w:rsidRDefault="00A40692" w:rsidP="00A40692">
      <w:pPr>
        <w:pStyle w:val="Titre1"/>
        <w:pBdr>
          <w:top w:val="single" w:sz="4" w:space="1" w:color="auto"/>
          <w:left w:val="single" w:sz="4" w:space="4" w:color="auto"/>
          <w:bottom w:val="single" w:sz="4" w:space="1" w:color="auto"/>
          <w:right w:val="single" w:sz="4" w:space="4" w:color="auto"/>
        </w:pBdr>
        <w:spacing w:before="0"/>
        <w:jc w:val="both"/>
        <w:rPr>
          <w:rFonts w:ascii="Arial" w:hAnsi="Arial" w:cs="Arial"/>
          <w:color w:val="111111"/>
          <w:spacing w:val="-15"/>
          <w:sz w:val="20"/>
          <w:szCs w:val="20"/>
          <w:lang w:val="fr-FR"/>
        </w:rPr>
      </w:pPr>
      <w:r w:rsidRPr="00424921">
        <w:rPr>
          <w:rFonts w:ascii="Arial" w:hAnsi="Arial" w:cs="Arial"/>
          <w:color w:val="111111"/>
          <w:spacing w:val="-15"/>
          <w:sz w:val="20"/>
          <w:szCs w:val="20"/>
          <w:lang w:val="fr-FR"/>
        </w:rPr>
        <w:t xml:space="preserve">La Société du Grand Paris bat son record dans </w:t>
      </w:r>
      <w:proofErr w:type="gramStart"/>
      <w:r w:rsidRPr="00424921">
        <w:rPr>
          <w:rFonts w:ascii="Arial" w:hAnsi="Arial" w:cs="Arial"/>
          <w:color w:val="111111"/>
          <w:spacing w:val="-15"/>
          <w:sz w:val="20"/>
          <w:szCs w:val="20"/>
          <w:lang w:val="fr-FR"/>
        </w:rPr>
        <w:t>les green</w:t>
      </w:r>
      <w:proofErr w:type="gramEnd"/>
      <w:r w:rsidRPr="00424921">
        <w:rPr>
          <w:rFonts w:ascii="Arial" w:hAnsi="Arial" w:cs="Arial"/>
          <w:color w:val="111111"/>
          <w:spacing w:val="-15"/>
          <w:sz w:val="20"/>
          <w:szCs w:val="20"/>
          <w:lang w:val="fr-FR"/>
        </w:rPr>
        <w:t xml:space="preserve"> bonds</w:t>
      </w:r>
    </w:p>
    <w:p w14:paraId="6C4422D8" w14:textId="59E46C7D" w:rsidR="00A40692" w:rsidRPr="00A40692" w:rsidRDefault="00A40692" w:rsidP="00A40692">
      <w:pPr>
        <w:pBdr>
          <w:top w:val="single" w:sz="4" w:space="1" w:color="auto"/>
          <w:left w:val="single" w:sz="4" w:space="4" w:color="auto"/>
          <w:bottom w:val="single" w:sz="4" w:space="1" w:color="auto"/>
          <w:right w:val="single" w:sz="4" w:space="4" w:color="auto"/>
        </w:pBdr>
        <w:rPr>
          <w:rFonts w:ascii="Arial" w:hAnsi="Arial" w:cs="Arial"/>
          <w:color w:val="333333"/>
          <w:sz w:val="20"/>
          <w:szCs w:val="20"/>
          <w:lang w:val="fr-FR"/>
        </w:rPr>
      </w:pPr>
      <w:r w:rsidRPr="00A40692">
        <w:rPr>
          <w:rStyle w:val="nodedate"/>
          <w:rFonts w:ascii="Arial" w:hAnsi="Arial" w:cs="Arial"/>
          <w:color w:val="333333"/>
          <w:sz w:val="20"/>
          <w:szCs w:val="20"/>
          <w:lang w:val="fr-FR"/>
        </w:rPr>
        <w:t>13/02/2020</w:t>
      </w:r>
      <w:r w:rsidRPr="00A40692">
        <w:rPr>
          <w:rStyle w:val="apple-converted-space"/>
          <w:rFonts w:ascii="Arial" w:hAnsi="Arial" w:cs="Arial"/>
          <w:color w:val="333333"/>
          <w:sz w:val="20"/>
          <w:szCs w:val="20"/>
          <w:lang w:val="fr-FR"/>
        </w:rPr>
        <w:t> </w:t>
      </w:r>
      <w:r w:rsidRPr="00A40692">
        <w:rPr>
          <w:rStyle w:val="articlesource"/>
          <w:rFonts w:ascii="Arial" w:hAnsi="Arial" w:cs="Arial"/>
          <w:color w:val="333333"/>
          <w:sz w:val="20"/>
          <w:szCs w:val="20"/>
          <w:lang w:val="fr-FR"/>
        </w:rPr>
        <w:t>L'AGEFI</w:t>
      </w:r>
    </w:p>
    <w:p w14:paraId="7F02AEF4" w14:textId="78648729" w:rsidR="008D2C93" w:rsidRPr="00A40692" w:rsidRDefault="00A40692" w:rsidP="00A40692">
      <w:pPr>
        <w:pBdr>
          <w:top w:val="single" w:sz="4" w:space="1" w:color="auto"/>
          <w:left w:val="single" w:sz="4" w:space="4" w:color="auto"/>
          <w:bottom w:val="single" w:sz="4" w:space="1" w:color="auto"/>
          <w:right w:val="single" w:sz="4" w:space="4" w:color="auto"/>
        </w:pBdr>
        <w:textAlignment w:val="top"/>
        <w:rPr>
          <w:rFonts w:ascii="Arial" w:hAnsi="Arial" w:cs="Arial"/>
          <w:sz w:val="20"/>
          <w:szCs w:val="20"/>
          <w:lang w:val="fr-FR"/>
        </w:rPr>
      </w:pPr>
      <w:r w:rsidRPr="00A40692">
        <w:rPr>
          <w:rFonts w:ascii="Arial" w:hAnsi="Arial" w:cs="Arial"/>
          <w:color w:val="222222"/>
          <w:sz w:val="20"/>
          <w:szCs w:val="20"/>
          <w:lang w:val="fr-FR"/>
        </w:rPr>
        <w:lastRenderedPageBreak/>
        <w:t>La Société du Grand Paris a émis sa quatrième obligation verte pour un montant de 2,5 milliards d’euros. Les titres arriveront à maturité en février 2070. Le coupon a été fixé à 1% pour un rendement global de 1,086%</w:t>
      </w:r>
    </w:p>
    <w:p w14:paraId="24FED070" w14:textId="77777777" w:rsidR="008D2C93" w:rsidRPr="00A40692" w:rsidRDefault="008D2C93">
      <w:pPr>
        <w:jc w:val="both"/>
        <w:rPr>
          <w:rFonts w:ascii="Arial" w:hAnsi="Arial"/>
          <w:sz w:val="22"/>
          <w:lang w:val="fr-FR"/>
        </w:rPr>
      </w:pPr>
    </w:p>
    <w:p w14:paraId="75337C5D" w14:textId="77777777" w:rsidR="00744EF4" w:rsidRPr="00A40692" w:rsidRDefault="00744EF4">
      <w:pPr>
        <w:rPr>
          <w:rFonts w:asciiTheme="majorHAnsi" w:eastAsiaTheme="majorEastAsia" w:hAnsiTheme="majorHAnsi" w:cstheme="majorBidi"/>
          <w:b/>
          <w:bCs/>
          <w:caps/>
          <w:color w:val="000000" w:themeColor="text1"/>
          <w:sz w:val="32"/>
          <w:szCs w:val="32"/>
          <w:lang w:val="fr-FR"/>
        </w:rPr>
      </w:pPr>
      <w:r w:rsidRPr="00A40692">
        <w:rPr>
          <w:caps/>
          <w:color w:val="000000" w:themeColor="text1"/>
          <w:lang w:val="fr-FR"/>
        </w:rPr>
        <w:br w:type="page"/>
      </w:r>
    </w:p>
    <w:p w14:paraId="1A9BC005" w14:textId="5C66F78B" w:rsidR="008624C9" w:rsidRPr="00D67282" w:rsidRDefault="00182FCE" w:rsidP="00A211B6">
      <w:pPr>
        <w:pStyle w:val="Titre1"/>
        <w:spacing w:before="0"/>
        <w:rPr>
          <w:caps/>
          <w:color w:val="000000" w:themeColor="text1"/>
          <w:lang w:val="fr-FR"/>
        </w:rPr>
      </w:pPr>
      <w:r w:rsidRPr="00D67282">
        <w:rPr>
          <w:caps/>
          <w:color w:val="000000" w:themeColor="text1"/>
          <w:lang w:val="fr-FR"/>
        </w:rPr>
        <w:lastRenderedPageBreak/>
        <w:t xml:space="preserve">III - </w:t>
      </w:r>
      <w:r w:rsidR="008624C9" w:rsidRPr="00D67282">
        <w:rPr>
          <w:caps/>
          <w:color w:val="000000" w:themeColor="text1"/>
          <w:lang w:val="fr-FR"/>
        </w:rPr>
        <w:t>Mathématiques financières appliquées aux emprunts obligataires</w:t>
      </w:r>
    </w:p>
    <w:p w14:paraId="6E43ED7F" w14:textId="77777777" w:rsidR="00E6264D" w:rsidRPr="00D67282" w:rsidRDefault="00E6264D" w:rsidP="008624C9">
      <w:pPr>
        <w:jc w:val="both"/>
        <w:rPr>
          <w:rFonts w:ascii="Arial" w:hAnsi="Arial"/>
          <w:color w:val="000000" w:themeColor="text1"/>
          <w:sz w:val="22"/>
          <w:lang w:val="fr-FR"/>
        </w:rPr>
      </w:pPr>
    </w:p>
    <w:p w14:paraId="64222D99" w14:textId="7AE7635B" w:rsidR="00182FCE" w:rsidRPr="00D67282" w:rsidRDefault="00FC778B" w:rsidP="008624C9">
      <w:pPr>
        <w:jc w:val="both"/>
        <w:rPr>
          <w:rFonts w:ascii="Arial" w:hAnsi="Arial"/>
          <w:color w:val="000000" w:themeColor="text1"/>
          <w:sz w:val="22"/>
          <w:lang w:val="fr-FR"/>
        </w:rPr>
      </w:pPr>
      <w:r w:rsidRPr="00D67282">
        <w:rPr>
          <w:rFonts w:ascii="Arial" w:hAnsi="Arial"/>
          <w:color w:val="000000" w:themeColor="text1"/>
          <w:sz w:val="22"/>
          <w:lang w:val="fr-FR"/>
        </w:rPr>
        <w:t>Le plus grand nombre d’emprunts obligataires correspond à des emprunts à remboursement unique « in fine ». On peut trouver cependant des emprunts à remboursement étalé (avec éventuellement un décalage).</w:t>
      </w:r>
    </w:p>
    <w:p w14:paraId="718460CA" w14:textId="50EF7F05" w:rsidR="008624C9" w:rsidRDefault="008624C9" w:rsidP="008624C9">
      <w:pPr>
        <w:jc w:val="both"/>
        <w:rPr>
          <w:rFonts w:ascii="Arial" w:hAnsi="Arial"/>
          <w:sz w:val="22"/>
          <w:lang w:val="fr-FR"/>
        </w:rPr>
      </w:pPr>
    </w:p>
    <w:tbl>
      <w:tblPr>
        <w:tblStyle w:val="Grilledutableau"/>
        <w:tblW w:w="0" w:type="auto"/>
        <w:tblLook w:val="04A0" w:firstRow="1" w:lastRow="0" w:firstColumn="1" w:lastColumn="0" w:noHBand="0" w:noVBand="1"/>
      </w:tblPr>
      <w:tblGrid>
        <w:gridCol w:w="2872"/>
        <w:gridCol w:w="1617"/>
        <w:gridCol w:w="1695"/>
        <w:gridCol w:w="2872"/>
      </w:tblGrid>
      <w:tr w:rsidR="00E156CA" w14:paraId="66CD9A5F" w14:textId="77777777" w:rsidTr="00E156CA">
        <w:tc>
          <w:tcPr>
            <w:tcW w:w="3018" w:type="dxa"/>
          </w:tcPr>
          <w:p w14:paraId="37C2F4D4" w14:textId="4A02E010" w:rsidR="00E156CA" w:rsidRPr="00E156CA" w:rsidRDefault="00E156CA" w:rsidP="00E156CA">
            <w:pPr>
              <w:jc w:val="center"/>
              <w:rPr>
                <w:rFonts w:ascii="Arial" w:hAnsi="Arial"/>
                <w:color w:val="000000" w:themeColor="text1"/>
                <w:sz w:val="22"/>
                <w:szCs w:val="22"/>
                <w:lang w:val="fr-FR"/>
              </w:rPr>
            </w:pPr>
            <w:r w:rsidRPr="00E156CA">
              <w:rPr>
                <w:rFonts w:ascii="Calibri" w:hAnsi="Calibri" w:cs="Calibri"/>
                <w:b/>
                <w:bCs/>
                <w:color w:val="000000" w:themeColor="text1"/>
                <w:kern w:val="24"/>
                <w:sz w:val="22"/>
                <w:szCs w:val="22"/>
              </w:rPr>
              <w:t>MODALITÉS</w:t>
            </w:r>
          </w:p>
        </w:tc>
        <w:tc>
          <w:tcPr>
            <w:tcW w:w="3019" w:type="dxa"/>
            <w:gridSpan w:val="2"/>
          </w:tcPr>
          <w:p w14:paraId="4D374C12" w14:textId="6B5AB0BC" w:rsidR="00E156CA" w:rsidRPr="00E156CA" w:rsidRDefault="00E156CA" w:rsidP="00E156CA">
            <w:pPr>
              <w:jc w:val="center"/>
              <w:rPr>
                <w:rFonts w:ascii="Arial" w:hAnsi="Arial"/>
                <w:color w:val="000000" w:themeColor="text1"/>
                <w:sz w:val="22"/>
                <w:szCs w:val="22"/>
                <w:lang w:val="fr-FR"/>
              </w:rPr>
            </w:pPr>
            <w:r w:rsidRPr="00E156CA">
              <w:rPr>
                <w:rFonts w:ascii="Calibri" w:hAnsi="Calibri" w:cs="Calibri"/>
                <w:b/>
                <w:bCs/>
                <w:color w:val="000000" w:themeColor="text1"/>
                <w:kern w:val="24"/>
                <w:sz w:val="22"/>
                <w:szCs w:val="22"/>
              </w:rPr>
              <w:t>PÉRIODES INTERMÉDIAIRES</w:t>
            </w:r>
          </w:p>
        </w:tc>
        <w:tc>
          <w:tcPr>
            <w:tcW w:w="3019" w:type="dxa"/>
          </w:tcPr>
          <w:p w14:paraId="5D6E2D52" w14:textId="113AFDDB" w:rsidR="00E156CA" w:rsidRPr="00E156CA" w:rsidRDefault="00E156CA" w:rsidP="00E156CA">
            <w:pPr>
              <w:jc w:val="center"/>
              <w:rPr>
                <w:rFonts w:ascii="Arial" w:hAnsi="Arial"/>
                <w:color w:val="000000" w:themeColor="text1"/>
                <w:sz w:val="22"/>
                <w:szCs w:val="22"/>
                <w:lang w:val="fr-FR"/>
              </w:rPr>
            </w:pPr>
            <w:r w:rsidRPr="00E156CA">
              <w:rPr>
                <w:rFonts w:ascii="Calibri" w:hAnsi="Calibri" w:cs="Calibri"/>
                <w:b/>
                <w:bCs/>
                <w:color w:val="000000" w:themeColor="text1"/>
                <w:kern w:val="24"/>
                <w:sz w:val="22"/>
                <w:szCs w:val="22"/>
              </w:rPr>
              <w:t>ÉCHÉANCE FINALE</w:t>
            </w:r>
          </w:p>
        </w:tc>
      </w:tr>
      <w:tr w:rsidR="00E156CA" w14:paraId="7F4F925E" w14:textId="77777777" w:rsidTr="00D67282">
        <w:tc>
          <w:tcPr>
            <w:tcW w:w="3018" w:type="dxa"/>
            <w:tcBorders>
              <w:bottom w:val="single" w:sz="4" w:space="0" w:color="auto"/>
            </w:tcBorders>
          </w:tcPr>
          <w:p w14:paraId="78A82AD1" w14:textId="1F298138" w:rsidR="00E156CA" w:rsidRPr="00B04405" w:rsidRDefault="00E156CA" w:rsidP="00744EF4">
            <w:pPr>
              <w:jc w:val="center"/>
              <w:rPr>
                <w:rFonts w:ascii="Arial" w:hAnsi="Arial" w:cs="Arial"/>
                <w:color w:val="000000" w:themeColor="text1"/>
                <w:sz w:val="20"/>
                <w:szCs w:val="20"/>
                <w:lang w:val="fr-FR"/>
              </w:rPr>
            </w:pPr>
            <w:r w:rsidRPr="00B04405">
              <w:rPr>
                <w:rFonts w:ascii="Arial" w:hAnsi="Arial" w:cs="Arial"/>
                <w:color w:val="000000" w:themeColor="text1"/>
                <w:kern w:val="24"/>
                <w:sz w:val="20"/>
                <w:szCs w:val="20"/>
                <w:lang w:val="fr-FR"/>
              </w:rPr>
              <w:t>Remboursement unique in fine</w:t>
            </w:r>
          </w:p>
        </w:tc>
        <w:tc>
          <w:tcPr>
            <w:tcW w:w="3019" w:type="dxa"/>
            <w:gridSpan w:val="2"/>
            <w:tcBorders>
              <w:bottom w:val="single" w:sz="4" w:space="0" w:color="auto"/>
            </w:tcBorders>
          </w:tcPr>
          <w:p w14:paraId="667F7AE0" w14:textId="164EFFD6" w:rsidR="00E156CA" w:rsidRPr="00B04405" w:rsidRDefault="00E156CA" w:rsidP="00E156CA">
            <w:pPr>
              <w:jc w:val="both"/>
              <w:rPr>
                <w:rFonts w:ascii="Arial" w:hAnsi="Arial" w:cs="Arial"/>
                <w:color w:val="000000" w:themeColor="text1"/>
                <w:sz w:val="20"/>
                <w:szCs w:val="20"/>
                <w:lang w:val="fr-FR"/>
              </w:rPr>
            </w:pPr>
            <w:r w:rsidRPr="00B04405">
              <w:rPr>
                <w:rFonts w:ascii="Arial" w:hAnsi="Arial" w:cs="Arial"/>
                <w:color w:val="000000" w:themeColor="text1"/>
                <w:kern w:val="24"/>
                <w:sz w:val="20"/>
                <w:szCs w:val="20"/>
                <w:lang w:val="fr-FR"/>
              </w:rPr>
              <w:t>Pas de remboursement intermédiaire, donc intérêt constant</w:t>
            </w:r>
          </w:p>
        </w:tc>
        <w:tc>
          <w:tcPr>
            <w:tcW w:w="3019" w:type="dxa"/>
            <w:tcBorders>
              <w:bottom w:val="single" w:sz="4" w:space="0" w:color="auto"/>
            </w:tcBorders>
          </w:tcPr>
          <w:p w14:paraId="4399D365" w14:textId="6FB97AF3" w:rsidR="00E156CA" w:rsidRPr="00B04405" w:rsidRDefault="00E156CA" w:rsidP="00E156CA">
            <w:pPr>
              <w:jc w:val="both"/>
              <w:rPr>
                <w:rFonts w:ascii="Arial" w:hAnsi="Arial" w:cs="Arial"/>
                <w:color w:val="000000" w:themeColor="text1"/>
                <w:sz w:val="20"/>
                <w:szCs w:val="20"/>
                <w:lang w:val="fr-FR"/>
              </w:rPr>
            </w:pPr>
            <w:r w:rsidRPr="00B04405">
              <w:rPr>
                <w:rFonts w:ascii="Arial" w:hAnsi="Arial" w:cs="Arial"/>
                <w:color w:val="000000" w:themeColor="text1"/>
                <w:kern w:val="24"/>
                <w:sz w:val="20"/>
                <w:szCs w:val="20"/>
                <w:lang w:val="fr-FR"/>
              </w:rPr>
              <w:t>Remboursement + dernier intérêt</w:t>
            </w:r>
          </w:p>
        </w:tc>
      </w:tr>
      <w:tr w:rsidR="00E156CA" w14:paraId="108A4B1F" w14:textId="77777777" w:rsidTr="00D67282">
        <w:tc>
          <w:tcPr>
            <w:tcW w:w="3018" w:type="dxa"/>
            <w:tcBorders>
              <w:left w:val="nil"/>
              <w:right w:val="nil"/>
            </w:tcBorders>
          </w:tcPr>
          <w:p w14:paraId="2AAF27B2" w14:textId="77777777" w:rsidR="00E156CA" w:rsidRPr="00E156CA" w:rsidRDefault="00E156CA" w:rsidP="00744EF4">
            <w:pPr>
              <w:jc w:val="center"/>
              <w:rPr>
                <w:rFonts w:ascii="Arial" w:hAnsi="Arial" w:cs="Arial"/>
                <w:color w:val="000000" w:themeColor="text1"/>
                <w:sz w:val="22"/>
                <w:szCs w:val="22"/>
                <w:lang w:val="fr-FR"/>
              </w:rPr>
            </w:pPr>
          </w:p>
        </w:tc>
        <w:tc>
          <w:tcPr>
            <w:tcW w:w="3019" w:type="dxa"/>
            <w:gridSpan w:val="2"/>
            <w:tcBorders>
              <w:left w:val="nil"/>
              <w:right w:val="nil"/>
            </w:tcBorders>
          </w:tcPr>
          <w:p w14:paraId="1C92A1C5" w14:textId="77777777" w:rsidR="00E156CA" w:rsidRPr="00E156CA" w:rsidRDefault="00E156CA" w:rsidP="008624C9">
            <w:pPr>
              <w:jc w:val="both"/>
              <w:rPr>
                <w:rFonts w:ascii="Arial" w:hAnsi="Arial" w:cs="Arial"/>
                <w:color w:val="000000" w:themeColor="text1"/>
                <w:sz w:val="22"/>
                <w:szCs w:val="22"/>
                <w:lang w:val="fr-FR"/>
              </w:rPr>
            </w:pPr>
          </w:p>
        </w:tc>
        <w:tc>
          <w:tcPr>
            <w:tcW w:w="3019" w:type="dxa"/>
            <w:tcBorders>
              <w:left w:val="nil"/>
              <w:right w:val="nil"/>
            </w:tcBorders>
          </w:tcPr>
          <w:p w14:paraId="4054CEB2" w14:textId="77777777" w:rsidR="00E156CA" w:rsidRPr="00E156CA" w:rsidRDefault="00E156CA" w:rsidP="008624C9">
            <w:pPr>
              <w:jc w:val="both"/>
              <w:rPr>
                <w:rFonts w:ascii="Arial" w:hAnsi="Arial" w:cs="Arial"/>
                <w:color w:val="000000" w:themeColor="text1"/>
                <w:sz w:val="22"/>
                <w:szCs w:val="22"/>
                <w:lang w:val="fr-FR"/>
              </w:rPr>
            </w:pPr>
          </w:p>
        </w:tc>
      </w:tr>
      <w:tr w:rsidR="00E156CA" w14:paraId="335E8D69" w14:textId="77777777" w:rsidTr="00D67282">
        <w:tc>
          <w:tcPr>
            <w:tcW w:w="3018" w:type="dxa"/>
            <w:tcBorders>
              <w:bottom w:val="single" w:sz="4" w:space="0" w:color="auto"/>
            </w:tcBorders>
          </w:tcPr>
          <w:p w14:paraId="2470B08A" w14:textId="67E3A6CD" w:rsidR="00E156CA" w:rsidRPr="00B04405" w:rsidRDefault="00E156CA" w:rsidP="00744EF4">
            <w:pPr>
              <w:jc w:val="center"/>
              <w:rPr>
                <w:rFonts w:ascii="Arial" w:hAnsi="Arial" w:cs="Arial"/>
                <w:color w:val="000000" w:themeColor="text1"/>
                <w:sz w:val="20"/>
                <w:szCs w:val="20"/>
                <w:lang w:val="fr-FR"/>
              </w:rPr>
            </w:pPr>
            <w:r w:rsidRPr="00B04405">
              <w:rPr>
                <w:rFonts w:ascii="Arial" w:hAnsi="Arial" w:cs="Arial"/>
                <w:color w:val="000000" w:themeColor="text1"/>
                <w:kern w:val="24"/>
                <w:sz w:val="20"/>
                <w:szCs w:val="20"/>
                <w:lang w:val="fr-FR"/>
              </w:rPr>
              <w:t>Coupon zéro</w:t>
            </w:r>
          </w:p>
        </w:tc>
        <w:tc>
          <w:tcPr>
            <w:tcW w:w="3019" w:type="dxa"/>
            <w:gridSpan w:val="2"/>
            <w:tcBorders>
              <w:bottom w:val="single" w:sz="4" w:space="0" w:color="auto"/>
            </w:tcBorders>
          </w:tcPr>
          <w:p w14:paraId="12317487" w14:textId="051509E0" w:rsidR="00E156CA" w:rsidRPr="00B04405" w:rsidRDefault="00E156CA" w:rsidP="00E156CA">
            <w:pPr>
              <w:jc w:val="both"/>
              <w:rPr>
                <w:rFonts w:ascii="Arial" w:hAnsi="Arial" w:cs="Arial"/>
                <w:color w:val="000000" w:themeColor="text1"/>
                <w:sz w:val="20"/>
                <w:szCs w:val="20"/>
                <w:lang w:val="fr-FR"/>
              </w:rPr>
            </w:pPr>
            <w:r w:rsidRPr="00B04405">
              <w:rPr>
                <w:rFonts w:ascii="Arial" w:hAnsi="Arial" w:cs="Arial"/>
                <w:color w:val="000000" w:themeColor="text1"/>
                <w:kern w:val="24"/>
                <w:sz w:val="20"/>
                <w:szCs w:val="20"/>
                <w:lang w:val="fr-FR"/>
              </w:rPr>
              <w:t>Aucun versement intermédiaire</w:t>
            </w:r>
            <w:r w:rsidR="00744EF4" w:rsidRPr="00B04405">
              <w:rPr>
                <w:rFonts w:ascii="Arial" w:hAnsi="Arial" w:cs="Arial"/>
                <w:color w:val="000000" w:themeColor="text1"/>
                <w:kern w:val="24"/>
                <w:sz w:val="20"/>
                <w:szCs w:val="20"/>
                <w:lang w:val="fr-FR"/>
              </w:rPr>
              <w:t xml:space="preserve"> pas d’intérêt versé)</w:t>
            </w:r>
          </w:p>
        </w:tc>
        <w:tc>
          <w:tcPr>
            <w:tcW w:w="3019" w:type="dxa"/>
            <w:tcBorders>
              <w:bottom w:val="single" w:sz="4" w:space="0" w:color="auto"/>
            </w:tcBorders>
          </w:tcPr>
          <w:p w14:paraId="0E502315" w14:textId="719EAF4E" w:rsidR="00E156CA" w:rsidRPr="00B04405" w:rsidRDefault="00E156CA" w:rsidP="00E156CA">
            <w:pPr>
              <w:jc w:val="both"/>
              <w:rPr>
                <w:rFonts w:ascii="Arial" w:hAnsi="Arial" w:cs="Arial"/>
                <w:color w:val="000000" w:themeColor="text1"/>
                <w:sz w:val="20"/>
                <w:szCs w:val="20"/>
                <w:lang w:val="fr-FR"/>
              </w:rPr>
            </w:pPr>
            <w:r w:rsidRPr="00B04405">
              <w:rPr>
                <w:rFonts w:ascii="Arial" w:hAnsi="Arial" w:cs="Arial"/>
                <w:color w:val="000000" w:themeColor="text1"/>
                <w:kern w:val="24"/>
                <w:sz w:val="20"/>
                <w:szCs w:val="20"/>
                <w:lang w:val="fr-FR"/>
              </w:rPr>
              <w:t>Remboursement + intérêts capitalisés</w:t>
            </w:r>
          </w:p>
        </w:tc>
      </w:tr>
      <w:tr w:rsidR="00E156CA" w14:paraId="46C48875" w14:textId="77777777" w:rsidTr="00D67282">
        <w:tc>
          <w:tcPr>
            <w:tcW w:w="3018" w:type="dxa"/>
            <w:tcBorders>
              <w:left w:val="nil"/>
              <w:right w:val="nil"/>
            </w:tcBorders>
          </w:tcPr>
          <w:p w14:paraId="4D63B223" w14:textId="77777777" w:rsidR="00E156CA" w:rsidRPr="00E156CA" w:rsidRDefault="00E156CA" w:rsidP="00744EF4">
            <w:pPr>
              <w:jc w:val="center"/>
              <w:rPr>
                <w:rFonts w:ascii="Arial" w:hAnsi="Arial" w:cs="Arial"/>
                <w:color w:val="000000" w:themeColor="text1"/>
                <w:sz w:val="22"/>
                <w:szCs w:val="22"/>
                <w:lang w:val="fr-FR"/>
              </w:rPr>
            </w:pPr>
          </w:p>
        </w:tc>
        <w:tc>
          <w:tcPr>
            <w:tcW w:w="3019" w:type="dxa"/>
            <w:gridSpan w:val="2"/>
            <w:tcBorders>
              <w:left w:val="nil"/>
              <w:right w:val="nil"/>
            </w:tcBorders>
          </w:tcPr>
          <w:p w14:paraId="04B5BD03" w14:textId="77777777" w:rsidR="00E156CA" w:rsidRPr="00E156CA" w:rsidRDefault="00E156CA" w:rsidP="008624C9">
            <w:pPr>
              <w:jc w:val="both"/>
              <w:rPr>
                <w:rFonts w:ascii="Arial" w:hAnsi="Arial" w:cs="Arial"/>
                <w:color w:val="000000" w:themeColor="text1"/>
                <w:sz w:val="22"/>
                <w:szCs w:val="22"/>
                <w:lang w:val="fr-FR"/>
              </w:rPr>
            </w:pPr>
          </w:p>
        </w:tc>
        <w:tc>
          <w:tcPr>
            <w:tcW w:w="3019" w:type="dxa"/>
            <w:tcBorders>
              <w:left w:val="nil"/>
              <w:right w:val="nil"/>
            </w:tcBorders>
          </w:tcPr>
          <w:p w14:paraId="4B20DCD4" w14:textId="77777777" w:rsidR="00E156CA" w:rsidRPr="00E156CA" w:rsidRDefault="00E156CA" w:rsidP="008624C9">
            <w:pPr>
              <w:jc w:val="both"/>
              <w:rPr>
                <w:rFonts w:ascii="Arial" w:hAnsi="Arial" w:cs="Arial"/>
                <w:color w:val="000000" w:themeColor="text1"/>
                <w:sz w:val="22"/>
                <w:szCs w:val="22"/>
                <w:lang w:val="fr-FR"/>
              </w:rPr>
            </w:pPr>
          </w:p>
        </w:tc>
      </w:tr>
      <w:tr w:rsidR="00E156CA" w14:paraId="776FBC8D" w14:textId="77777777" w:rsidTr="00D67282">
        <w:tc>
          <w:tcPr>
            <w:tcW w:w="3018" w:type="dxa"/>
            <w:tcBorders>
              <w:bottom w:val="single" w:sz="4" w:space="0" w:color="auto"/>
            </w:tcBorders>
          </w:tcPr>
          <w:p w14:paraId="7CB3C95E" w14:textId="1519B00A" w:rsidR="00E156CA" w:rsidRPr="00B04405" w:rsidRDefault="00E156CA" w:rsidP="00744EF4">
            <w:pPr>
              <w:jc w:val="center"/>
              <w:rPr>
                <w:rFonts w:ascii="Arial" w:hAnsi="Arial" w:cs="Arial"/>
                <w:color w:val="000000" w:themeColor="text1"/>
                <w:sz w:val="20"/>
                <w:szCs w:val="20"/>
                <w:lang w:val="fr-FR"/>
              </w:rPr>
            </w:pPr>
            <w:r w:rsidRPr="00B04405">
              <w:rPr>
                <w:rFonts w:ascii="Arial" w:hAnsi="Arial" w:cs="Arial"/>
                <w:color w:val="000000" w:themeColor="text1"/>
                <w:kern w:val="24"/>
                <w:sz w:val="20"/>
                <w:szCs w:val="20"/>
                <w:lang w:val="fr-FR"/>
              </w:rPr>
              <w:t>Remboursement étalé (dont annuités constantes)</w:t>
            </w:r>
          </w:p>
        </w:tc>
        <w:tc>
          <w:tcPr>
            <w:tcW w:w="3019" w:type="dxa"/>
            <w:gridSpan w:val="2"/>
            <w:tcBorders>
              <w:bottom w:val="single" w:sz="4" w:space="0" w:color="auto"/>
            </w:tcBorders>
          </w:tcPr>
          <w:p w14:paraId="18410553" w14:textId="15831B05" w:rsidR="00E156CA" w:rsidRPr="00B04405" w:rsidRDefault="00E156CA" w:rsidP="00E156CA">
            <w:pPr>
              <w:jc w:val="both"/>
              <w:rPr>
                <w:rFonts w:ascii="Arial" w:hAnsi="Arial" w:cs="Arial"/>
                <w:color w:val="000000" w:themeColor="text1"/>
                <w:sz w:val="20"/>
                <w:szCs w:val="20"/>
                <w:lang w:val="fr-FR"/>
              </w:rPr>
            </w:pPr>
            <w:r w:rsidRPr="00B04405">
              <w:rPr>
                <w:rFonts w:ascii="Arial" w:hAnsi="Arial" w:cs="Arial"/>
                <w:color w:val="000000" w:themeColor="text1"/>
                <w:kern w:val="24"/>
                <w:sz w:val="20"/>
                <w:szCs w:val="20"/>
                <w:lang w:val="fr-FR"/>
              </w:rPr>
              <w:t>Remboursement étalé donc intérêt décroissant</w:t>
            </w:r>
          </w:p>
        </w:tc>
        <w:tc>
          <w:tcPr>
            <w:tcW w:w="3019" w:type="dxa"/>
            <w:tcBorders>
              <w:bottom w:val="single" w:sz="4" w:space="0" w:color="auto"/>
            </w:tcBorders>
          </w:tcPr>
          <w:p w14:paraId="11760378" w14:textId="61B048CF" w:rsidR="00E156CA" w:rsidRPr="00B04405" w:rsidRDefault="00E156CA" w:rsidP="00E156CA">
            <w:pPr>
              <w:jc w:val="both"/>
              <w:rPr>
                <w:rFonts w:ascii="Arial" w:hAnsi="Arial" w:cs="Arial"/>
                <w:color w:val="000000" w:themeColor="text1"/>
                <w:sz w:val="20"/>
                <w:szCs w:val="20"/>
                <w:lang w:val="fr-FR"/>
              </w:rPr>
            </w:pPr>
            <w:r w:rsidRPr="00B04405">
              <w:rPr>
                <w:rFonts w:ascii="Arial" w:hAnsi="Arial" w:cs="Arial"/>
                <w:color w:val="000000" w:themeColor="text1"/>
                <w:kern w:val="24"/>
                <w:sz w:val="20"/>
                <w:szCs w:val="20"/>
                <w:lang w:val="fr-FR"/>
              </w:rPr>
              <w:t>Remboursement du solde + dernier intérêt</w:t>
            </w:r>
          </w:p>
        </w:tc>
      </w:tr>
      <w:tr w:rsidR="00E156CA" w14:paraId="3B01D36C" w14:textId="77777777" w:rsidTr="00D67282">
        <w:tc>
          <w:tcPr>
            <w:tcW w:w="3018" w:type="dxa"/>
            <w:tcBorders>
              <w:left w:val="nil"/>
              <w:right w:val="nil"/>
            </w:tcBorders>
          </w:tcPr>
          <w:p w14:paraId="14A162A3" w14:textId="77777777" w:rsidR="00E156CA" w:rsidRPr="00E156CA" w:rsidRDefault="00E156CA" w:rsidP="00744EF4">
            <w:pPr>
              <w:jc w:val="center"/>
              <w:rPr>
                <w:rFonts w:ascii="Arial" w:hAnsi="Arial" w:cs="Arial"/>
                <w:sz w:val="22"/>
                <w:lang w:val="fr-FR"/>
              </w:rPr>
            </w:pPr>
          </w:p>
        </w:tc>
        <w:tc>
          <w:tcPr>
            <w:tcW w:w="3019" w:type="dxa"/>
            <w:gridSpan w:val="2"/>
            <w:tcBorders>
              <w:left w:val="nil"/>
              <w:right w:val="nil"/>
            </w:tcBorders>
          </w:tcPr>
          <w:p w14:paraId="0E51D2F9" w14:textId="77777777" w:rsidR="00E156CA" w:rsidRPr="00E156CA" w:rsidRDefault="00E156CA" w:rsidP="008624C9">
            <w:pPr>
              <w:jc w:val="both"/>
              <w:rPr>
                <w:rFonts w:ascii="Arial" w:hAnsi="Arial" w:cs="Arial"/>
                <w:sz w:val="22"/>
                <w:lang w:val="fr-FR"/>
              </w:rPr>
            </w:pPr>
          </w:p>
        </w:tc>
        <w:tc>
          <w:tcPr>
            <w:tcW w:w="3019" w:type="dxa"/>
            <w:tcBorders>
              <w:left w:val="nil"/>
              <w:right w:val="nil"/>
            </w:tcBorders>
          </w:tcPr>
          <w:p w14:paraId="74174011" w14:textId="77777777" w:rsidR="00E156CA" w:rsidRPr="00E156CA" w:rsidRDefault="00E156CA" w:rsidP="008624C9">
            <w:pPr>
              <w:jc w:val="both"/>
              <w:rPr>
                <w:rFonts w:ascii="Arial" w:hAnsi="Arial" w:cs="Arial"/>
                <w:sz w:val="22"/>
                <w:lang w:val="fr-FR"/>
              </w:rPr>
            </w:pPr>
          </w:p>
        </w:tc>
      </w:tr>
      <w:tr w:rsidR="00E156CA" w14:paraId="6CAE86DE" w14:textId="77777777" w:rsidTr="00E156CA">
        <w:tc>
          <w:tcPr>
            <w:tcW w:w="3018" w:type="dxa"/>
            <w:vMerge w:val="restart"/>
          </w:tcPr>
          <w:p w14:paraId="176808E9" w14:textId="77777777" w:rsidR="00744EF4" w:rsidRDefault="00744EF4" w:rsidP="00744EF4">
            <w:pPr>
              <w:jc w:val="center"/>
              <w:rPr>
                <w:rFonts w:ascii="Arial" w:hAnsi="Arial" w:cs="Arial"/>
                <w:color w:val="000000" w:themeColor="text1"/>
                <w:sz w:val="22"/>
                <w:szCs w:val="22"/>
                <w:lang w:val="fr-FR"/>
              </w:rPr>
            </w:pPr>
          </w:p>
          <w:p w14:paraId="1DD3E55A" w14:textId="13289851" w:rsidR="00E156CA" w:rsidRPr="00B04405" w:rsidRDefault="00E156CA" w:rsidP="00744EF4">
            <w:pPr>
              <w:jc w:val="center"/>
              <w:rPr>
                <w:rFonts w:ascii="Arial" w:hAnsi="Arial" w:cs="Arial"/>
                <w:color w:val="000000" w:themeColor="text1"/>
                <w:sz w:val="20"/>
                <w:szCs w:val="20"/>
                <w:lang w:val="fr-FR"/>
              </w:rPr>
            </w:pPr>
            <w:r w:rsidRPr="00B04405">
              <w:rPr>
                <w:rFonts w:ascii="Arial" w:hAnsi="Arial" w:cs="Arial"/>
                <w:color w:val="000000" w:themeColor="text1"/>
                <w:sz w:val="20"/>
                <w:szCs w:val="20"/>
                <w:lang w:val="fr-FR"/>
              </w:rPr>
              <w:t>Différé de remboursement</w:t>
            </w:r>
          </w:p>
          <w:p w14:paraId="036FCC09" w14:textId="77777777" w:rsidR="00E156CA" w:rsidRPr="00E156CA" w:rsidRDefault="00E156CA" w:rsidP="00744EF4">
            <w:pPr>
              <w:jc w:val="center"/>
              <w:rPr>
                <w:rFonts w:ascii="Arial" w:hAnsi="Arial" w:cs="Arial"/>
                <w:color w:val="000000" w:themeColor="text1"/>
                <w:sz w:val="22"/>
                <w:szCs w:val="22"/>
                <w:lang w:val="fr-FR"/>
              </w:rPr>
            </w:pPr>
          </w:p>
        </w:tc>
        <w:tc>
          <w:tcPr>
            <w:tcW w:w="1509" w:type="dxa"/>
          </w:tcPr>
          <w:p w14:paraId="39713859" w14:textId="69F3FC6D" w:rsidR="00E156CA" w:rsidRPr="00E156CA" w:rsidRDefault="00E156CA" w:rsidP="00E156CA">
            <w:pPr>
              <w:jc w:val="center"/>
              <w:rPr>
                <w:rFonts w:ascii="Arial" w:hAnsi="Arial" w:cs="Arial"/>
                <w:b/>
                <w:bCs/>
                <w:color w:val="000000" w:themeColor="text1"/>
                <w:sz w:val="22"/>
                <w:szCs w:val="22"/>
                <w:lang w:val="fr-FR"/>
              </w:rPr>
            </w:pPr>
            <w:r w:rsidRPr="00E156CA">
              <w:rPr>
                <w:rFonts w:ascii="Arial" w:hAnsi="Arial" w:cs="Arial"/>
                <w:b/>
                <w:bCs/>
                <w:color w:val="000000" w:themeColor="text1"/>
                <w:kern w:val="24"/>
                <w:sz w:val="22"/>
                <w:szCs w:val="22"/>
                <w:lang w:val="fr-FR"/>
              </w:rPr>
              <w:t>Avant</w:t>
            </w:r>
          </w:p>
        </w:tc>
        <w:tc>
          <w:tcPr>
            <w:tcW w:w="1510" w:type="dxa"/>
          </w:tcPr>
          <w:p w14:paraId="72F3254C" w14:textId="5027D43D" w:rsidR="00E156CA" w:rsidRPr="00E156CA" w:rsidRDefault="00E156CA" w:rsidP="00E156CA">
            <w:pPr>
              <w:jc w:val="center"/>
              <w:rPr>
                <w:rFonts w:ascii="Arial" w:hAnsi="Arial" w:cs="Arial"/>
                <w:b/>
                <w:bCs/>
                <w:color w:val="000000" w:themeColor="text1"/>
                <w:sz w:val="22"/>
                <w:szCs w:val="22"/>
                <w:lang w:val="fr-FR"/>
              </w:rPr>
            </w:pPr>
            <w:r w:rsidRPr="00E156CA">
              <w:rPr>
                <w:rFonts w:ascii="Arial" w:hAnsi="Arial" w:cs="Arial"/>
                <w:b/>
                <w:bCs/>
                <w:color w:val="000000" w:themeColor="text1"/>
                <w:kern w:val="24"/>
                <w:sz w:val="22"/>
                <w:szCs w:val="22"/>
                <w:lang w:val="fr-FR"/>
              </w:rPr>
              <w:t>Après</w:t>
            </w:r>
          </w:p>
        </w:tc>
        <w:tc>
          <w:tcPr>
            <w:tcW w:w="3019" w:type="dxa"/>
            <w:vMerge w:val="restart"/>
          </w:tcPr>
          <w:p w14:paraId="6D2EA03A" w14:textId="77777777" w:rsidR="00E156CA" w:rsidRPr="00B04405" w:rsidRDefault="00E156CA" w:rsidP="00E156CA">
            <w:pPr>
              <w:jc w:val="both"/>
              <w:rPr>
                <w:rFonts w:ascii="Arial" w:hAnsi="Arial" w:cs="Arial"/>
                <w:sz w:val="20"/>
                <w:szCs w:val="20"/>
                <w:lang w:val="fr-FR"/>
              </w:rPr>
            </w:pPr>
            <w:r w:rsidRPr="00B04405">
              <w:rPr>
                <w:rFonts w:ascii="Arial" w:hAnsi="Arial" w:cs="Arial"/>
                <w:sz w:val="20"/>
                <w:szCs w:val="20"/>
                <w:lang w:val="fr-FR"/>
              </w:rPr>
              <w:t xml:space="preserve">Remboursement du </w:t>
            </w:r>
            <w:r w:rsidRPr="00B04405">
              <w:rPr>
                <w:rFonts w:ascii="Arial" w:hAnsi="Arial" w:cs="Arial"/>
                <w:b/>
                <w:bCs/>
                <w:sz w:val="20"/>
                <w:szCs w:val="20"/>
                <w:lang w:val="fr-FR"/>
              </w:rPr>
              <w:t>solde</w:t>
            </w:r>
            <w:r w:rsidRPr="00B04405">
              <w:rPr>
                <w:rFonts w:ascii="Arial" w:hAnsi="Arial" w:cs="Arial"/>
                <w:sz w:val="20"/>
                <w:szCs w:val="20"/>
                <w:lang w:val="fr-FR"/>
              </w:rPr>
              <w:t xml:space="preserve"> + dernier intérêt</w:t>
            </w:r>
          </w:p>
          <w:p w14:paraId="74EABF01" w14:textId="77777777" w:rsidR="00E156CA" w:rsidRPr="00E156CA" w:rsidRDefault="00E156CA" w:rsidP="00E156CA">
            <w:pPr>
              <w:jc w:val="both"/>
              <w:rPr>
                <w:rFonts w:ascii="Arial" w:hAnsi="Arial" w:cs="Arial"/>
                <w:sz w:val="22"/>
                <w:lang w:val="fr-FR"/>
              </w:rPr>
            </w:pPr>
          </w:p>
        </w:tc>
      </w:tr>
      <w:tr w:rsidR="00E156CA" w14:paraId="29C345D5" w14:textId="77777777" w:rsidTr="00E156CA">
        <w:tc>
          <w:tcPr>
            <w:tcW w:w="3018" w:type="dxa"/>
            <w:vMerge/>
          </w:tcPr>
          <w:p w14:paraId="7E78D613" w14:textId="77777777" w:rsidR="00E156CA" w:rsidRPr="00E156CA" w:rsidRDefault="00E156CA" w:rsidP="00E156CA">
            <w:pPr>
              <w:jc w:val="both"/>
              <w:rPr>
                <w:rFonts w:ascii="Arial" w:hAnsi="Arial" w:cs="Arial"/>
                <w:color w:val="000000" w:themeColor="text1"/>
                <w:sz w:val="22"/>
                <w:szCs w:val="22"/>
                <w:lang w:val="fr-FR"/>
              </w:rPr>
            </w:pPr>
          </w:p>
        </w:tc>
        <w:tc>
          <w:tcPr>
            <w:tcW w:w="1509" w:type="dxa"/>
          </w:tcPr>
          <w:p w14:paraId="41355C5E" w14:textId="2305FE8E" w:rsidR="00E156CA" w:rsidRPr="00B04405" w:rsidRDefault="00E156CA" w:rsidP="00E156CA">
            <w:pPr>
              <w:jc w:val="both"/>
              <w:rPr>
                <w:rFonts w:ascii="Arial" w:hAnsi="Arial" w:cs="Arial"/>
                <w:color w:val="000000" w:themeColor="text1"/>
                <w:sz w:val="20"/>
                <w:szCs w:val="20"/>
                <w:lang w:val="fr-FR"/>
              </w:rPr>
            </w:pPr>
            <w:r w:rsidRPr="00B04405">
              <w:rPr>
                <w:rFonts w:ascii="Arial" w:hAnsi="Arial" w:cs="Arial"/>
                <w:color w:val="000000" w:themeColor="text1"/>
                <w:kern w:val="24"/>
                <w:sz w:val="20"/>
                <w:szCs w:val="20"/>
                <w:lang w:val="fr-FR"/>
              </w:rPr>
              <w:t>Pas de remboursement Intérêt constant</w:t>
            </w:r>
          </w:p>
        </w:tc>
        <w:tc>
          <w:tcPr>
            <w:tcW w:w="1510" w:type="dxa"/>
          </w:tcPr>
          <w:p w14:paraId="7CB9989A" w14:textId="3803519F" w:rsidR="00E156CA" w:rsidRPr="00B04405" w:rsidRDefault="00E156CA" w:rsidP="00E156CA">
            <w:pPr>
              <w:jc w:val="both"/>
              <w:rPr>
                <w:rFonts w:ascii="Arial" w:hAnsi="Arial" w:cs="Arial"/>
                <w:color w:val="000000" w:themeColor="text1"/>
                <w:sz w:val="20"/>
                <w:szCs w:val="20"/>
                <w:lang w:val="fr-FR"/>
              </w:rPr>
            </w:pPr>
            <w:r w:rsidRPr="00B04405">
              <w:rPr>
                <w:rFonts w:ascii="Arial" w:hAnsi="Arial" w:cs="Arial"/>
                <w:color w:val="000000" w:themeColor="text1"/>
                <w:kern w:val="24"/>
                <w:sz w:val="20"/>
                <w:szCs w:val="20"/>
                <w:lang w:val="fr-FR"/>
              </w:rPr>
              <w:t>Remboursement donc intérêt décroissant</w:t>
            </w:r>
          </w:p>
        </w:tc>
        <w:tc>
          <w:tcPr>
            <w:tcW w:w="3019" w:type="dxa"/>
            <w:vMerge/>
          </w:tcPr>
          <w:p w14:paraId="772035F7" w14:textId="77777777" w:rsidR="00E156CA" w:rsidRPr="00E156CA" w:rsidRDefault="00E156CA" w:rsidP="00E156CA">
            <w:pPr>
              <w:jc w:val="both"/>
              <w:rPr>
                <w:rFonts w:ascii="Arial" w:hAnsi="Arial"/>
                <w:sz w:val="22"/>
                <w:lang w:val="fr-FR"/>
              </w:rPr>
            </w:pPr>
          </w:p>
        </w:tc>
      </w:tr>
    </w:tbl>
    <w:p w14:paraId="0EE8CDBE" w14:textId="12D8A84D" w:rsidR="00C4405F" w:rsidRDefault="00C4405F" w:rsidP="008624C9">
      <w:pPr>
        <w:jc w:val="both"/>
        <w:rPr>
          <w:rFonts w:ascii="Arial" w:hAnsi="Arial"/>
          <w:sz w:val="22"/>
          <w:lang w:val="fr-FR"/>
        </w:rPr>
      </w:pPr>
    </w:p>
    <w:p w14:paraId="1CBD3C29" w14:textId="77777777" w:rsidR="00E156CA" w:rsidRPr="00A619A0" w:rsidRDefault="00E156CA" w:rsidP="008624C9">
      <w:pPr>
        <w:jc w:val="both"/>
        <w:rPr>
          <w:rFonts w:ascii="Arial" w:hAnsi="Arial"/>
          <w:sz w:val="22"/>
          <w:lang w:val="fr-FR"/>
        </w:rPr>
      </w:pPr>
    </w:p>
    <w:p w14:paraId="4AF91567" w14:textId="282007E5" w:rsidR="00545B9F" w:rsidRDefault="00545B9F" w:rsidP="00545B9F">
      <w:pPr>
        <w:jc w:val="both"/>
        <w:rPr>
          <w:rFonts w:ascii="Arial" w:hAnsi="Arial" w:cs="Arial"/>
          <w:lang w:val="fr-FR"/>
        </w:rPr>
      </w:pPr>
    </w:p>
    <w:p w14:paraId="6FDBA41F" w14:textId="5834217C" w:rsidR="00586AF5" w:rsidRDefault="00586AF5" w:rsidP="00545B9F">
      <w:pPr>
        <w:jc w:val="both"/>
        <w:rPr>
          <w:rFonts w:ascii="Arial" w:hAnsi="Arial" w:cs="Arial"/>
          <w:lang w:val="fr-FR"/>
        </w:rPr>
      </w:pPr>
    </w:p>
    <w:p w14:paraId="62F5855C" w14:textId="77777777" w:rsidR="00586AF5" w:rsidRPr="00545B9F" w:rsidRDefault="00586AF5" w:rsidP="00545B9F">
      <w:pPr>
        <w:jc w:val="both"/>
        <w:rPr>
          <w:rFonts w:ascii="Arial" w:hAnsi="Arial" w:cs="Arial"/>
          <w:lang w:val="fr-FR"/>
        </w:rPr>
      </w:pPr>
    </w:p>
    <w:p w14:paraId="2E1E6340" w14:textId="77777777" w:rsidR="00545B9F" w:rsidRPr="00545B9F" w:rsidRDefault="00545B9F">
      <w:pPr>
        <w:jc w:val="both"/>
        <w:rPr>
          <w:rFonts w:ascii="Arial" w:hAnsi="Arial"/>
          <w:sz w:val="22"/>
        </w:rPr>
      </w:pPr>
    </w:p>
    <w:p w14:paraId="5DD61AD9" w14:textId="59901E29" w:rsidR="00174C3B" w:rsidRPr="009240FF" w:rsidRDefault="00182FCE" w:rsidP="00A619A0">
      <w:pPr>
        <w:pStyle w:val="Titre1"/>
        <w:spacing w:before="0"/>
        <w:rPr>
          <w:rFonts w:ascii="Arial" w:hAnsi="Arial"/>
          <w:color w:val="auto"/>
          <w:sz w:val="28"/>
          <w:szCs w:val="28"/>
          <w:lang w:val="fr-FR"/>
        </w:rPr>
      </w:pPr>
      <w:r w:rsidRPr="009240FF">
        <w:rPr>
          <w:rFonts w:ascii="Arial" w:hAnsi="Arial"/>
          <w:color w:val="auto"/>
          <w:sz w:val="28"/>
          <w:szCs w:val="28"/>
          <w:lang w:val="fr-FR"/>
        </w:rPr>
        <w:t>IV</w:t>
      </w:r>
      <w:r w:rsidR="00174C3B" w:rsidRPr="009240FF">
        <w:rPr>
          <w:rFonts w:ascii="Arial" w:hAnsi="Arial"/>
          <w:color w:val="auto"/>
          <w:sz w:val="28"/>
          <w:szCs w:val="28"/>
          <w:lang w:val="fr-FR"/>
        </w:rPr>
        <w:t xml:space="preserve"> - ASPECTS COMPTABLES</w:t>
      </w:r>
    </w:p>
    <w:p w14:paraId="53ABF08A" w14:textId="747CF3A4" w:rsidR="00076A77" w:rsidRDefault="002F3A17" w:rsidP="00076A77">
      <w:pPr>
        <w:widowControl w:val="0"/>
        <w:autoSpaceDE w:val="0"/>
        <w:autoSpaceDN w:val="0"/>
        <w:adjustRightInd w:val="0"/>
        <w:jc w:val="both"/>
        <w:rPr>
          <w:rFonts w:ascii="Arial" w:hAnsi="Arial" w:cs="TimesNewRoman"/>
          <w:sz w:val="22"/>
          <w:szCs w:val="22"/>
          <w:lang w:val="fr-FR"/>
        </w:rPr>
      </w:pPr>
      <w:r>
        <w:rPr>
          <w:rFonts w:ascii="Arial" w:hAnsi="Arial" w:cs="TimesNewRoman"/>
          <w:sz w:val="22"/>
          <w:szCs w:val="22"/>
          <w:lang w:val="fr-FR"/>
        </w:rPr>
        <w:t>Une bonne connaissance des aspects comptables est un préalable indispensable pour le fiscaliste.</w:t>
      </w:r>
    </w:p>
    <w:p w14:paraId="7415697E" w14:textId="77777777" w:rsidR="002F3A17" w:rsidRPr="002F3A17" w:rsidRDefault="002F3A17" w:rsidP="00076A77">
      <w:pPr>
        <w:widowControl w:val="0"/>
        <w:autoSpaceDE w:val="0"/>
        <w:autoSpaceDN w:val="0"/>
        <w:adjustRightInd w:val="0"/>
        <w:jc w:val="both"/>
        <w:rPr>
          <w:rFonts w:ascii="Arial" w:hAnsi="Arial" w:cs="TimesNewRoman"/>
          <w:sz w:val="22"/>
          <w:szCs w:val="22"/>
          <w:lang w:val="fr-FR"/>
        </w:rPr>
      </w:pPr>
    </w:p>
    <w:p w14:paraId="0D0EFAB4" w14:textId="51E2738D" w:rsidR="003C2894" w:rsidRPr="009240FF" w:rsidRDefault="003C2894" w:rsidP="00076A77">
      <w:pPr>
        <w:widowControl w:val="0"/>
        <w:autoSpaceDE w:val="0"/>
        <w:autoSpaceDN w:val="0"/>
        <w:adjustRightInd w:val="0"/>
        <w:jc w:val="both"/>
        <w:rPr>
          <w:rFonts w:ascii="Arial" w:hAnsi="Arial" w:cs="TimesNewRoman"/>
          <w:b/>
          <w:sz w:val="22"/>
          <w:szCs w:val="22"/>
          <w:lang w:val="fr-FR"/>
        </w:rPr>
      </w:pPr>
      <w:r w:rsidRPr="009240FF">
        <w:rPr>
          <w:rFonts w:ascii="Arial" w:hAnsi="Arial" w:cs="TimesNewRoman"/>
          <w:b/>
          <w:sz w:val="22"/>
          <w:szCs w:val="22"/>
          <w:lang w:val="fr-FR"/>
        </w:rPr>
        <w:t>IV - I Principes</w:t>
      </w:r>
    </w:p>
    <w:p w14:paraId="1D3EFD7F" w14:textId="6BA17866" w:rsidR="00B37EB4" w:rsidRPr="009240FF" w:rsidRDefault="00076A77" w:rsidP="00076A77">
      <w:pPr>
        <w:widowControl w:val="0"/>
        <w:autoSpaceDE w:val="0"/>
        <w:autoSpaceDN w:val="0"/>
        <w:adjustRightInd w:val="0"/>
        <w:jc w:val="both"/>
        <w:rPr>
          <w:rFonts w:ascii="Arial" w:hAnsi="Arial" w:cs="TimesNewRoman"/>
          <w:sz w:val="22"/>
          <w:szCs w:val="22"/>
          <w:lang w:val="fr-FR"/>
        </w:rPr>
      </w:pPr>
      <w:r w:rsidRPr="009240FF">
        <w:rPr>
          <w:rFonts w:ascii="Arial" w:hAnsi="Arial" w:cs="TimesNewRoman"/>
          <w:sz w:val="22"/>
          <w:szCs w:val="22"/>
          <w:lang w:val="fr-FR"/>
        </w:rPr>
        <w:t>D’après le plan comptable :</w:t>
      </w:r>
    </w:p>
    <w:tbl>
      <w:tblPr>
        <w:tblStyle w:val="Grilledutableau"/>
        <w:tblW w:w="0" w:type="auto"/>
        <w:tblLook w:val="04A0" w:firstRow="1" w:lastRow="0" w:firstColumn="1" w:lastColumn="0" w:noHBand="0" w:noVBand="1"/>
      </w:tblPr>
      <w:tblGrid>
        <w:gridCol w:w="9056"/>
      </w:tblGrid>
      <w:tr w:rsidR="00F97CB9" w:rsidRPr="009240FF" w14:paraId="54E0A10B" w14:textId="77777777" w:rsidTr="00F97CB9">
        <w:tc>
          <w:tcPr>
            <w:tcW w:w="9206" w:type="dxa"/>
          </w:tcPr>
          <w:p w14:paraId="5BA653D3" w14:textId="77777777" w:rsidR="00F97CB9" w:rsidRPr="00CE21B1" w:rsidRDefault="00F97CB9" w:rsidP="00F97CB9">
            <w:pPr>
              <w:widowControl w:val="0"/>
              <w:autoSpaceDE w:val="0"/>
              <w:autoSpaceDN w:val="0"/>
              <w:adjustRightInd w:val="0"/>
              <w:jc w:val="both"/>
              <w:rPr>
                <w:rFonts w:ascii="Arial" w:hAnsi="Arial" w:cs="TimesNewRoman"/>
                <w:i/>
                <w:sz w:val="20"/>
                <w:szCs w:val="20"/>
                <w:lang w:val="fr-FR"/>
              </w:rPr>
            </w:pPr>
            <w:r w:rsidRPr="00CE21B1">
              <w:rPr>
                <w:rFonts w:ascii="Arial" w:hAnsi="Arial" w:cs="TimesNewRoman"/>
                <w:i/>
                <w:sz w:val="20"/>
                <w:szCs w:val="20"/>
                <w:lang w:val="fr-FR"/>
              </w:rPr>
              <w:t>Les comptes 161 « Emprunts obligataires convertibles », 163 « Autres emprunts obligataires »,164 « Emprunts auprès des établissements de crédit », …, 167 « Emprunts et dettes assorties de conditions particulières » et 168 « Autres emprunts et dettes assimilées » peuvent être subdivisés pour identifier :</w:t>
            </w:r>
          </w:p>
          <w:p w14:paraId="16EABD2A" w14:textId="77777777" w:rsidR="00F97CB9" w:rsidRPr="00CE21B1" w:rsidRDefault="00F97CB9" w:rsidP="00F97CB9">
            <w:pPr>
              <w:pStyle w:val="Paragraphedeliste"/>
              <w:widowControl w:val="0"/>
              <w:numPr>
                <w:ilvl w:val="0"/>
                <w:numId w:val="6"/>
              </w:numPr>
              <w:autoSpaceDE w:val="0"/>
              <w:autoSpaceDN w:val="0"/>
              <w:adjustRightInd w:val="0"/>
              <w:jc w:val="both"/>
              <w:rPr>
                <w:rFonts w:ascii="Arial" w:hAnsi="Arial" w:cs="TimesNewRoman"/>
                <w:i/>
                <w:sz w:val="20"/>
                <w:szCs w:val="20"/>
                <w:lang w:val="fr-FR"/>
              </w:rPr>
            </w:pPr>
            <w:proofErr w:type="gramStart"/>
            <w:r w:rsidRPr="00CE21B1">
              <w:rPr>
                <w:rFonts w:ascii="Arial" w:hAnsi="Arial" w:cs="TimesNewRoman"/>
                <w:i/>
                <w:sz w:val="20"/>
                <w:szCs w:val="20"/>
                <w:lang w:val="fr-FR"/>
              </w:rPr>
              <w:t>les</w:t>
            </w:r>
            <w:proofErr w:type="gramEnd"/>
            <w:r w:rsidRPr="00CE21B1">
              <w:rPr>
                <w:rFonts w:ascii="Arial" w:hAnsi="Arial" w:cs="TimesNewRoman"/>
                <w:i/>
                <w:sz w:val="20"/>
                <w:szCs w:val="20"/>
                <w:lang w:val="fr-FR"/>
              </w:rPr>
              <w:t xml:space="preserve"> emprunts et dettes assimilées contractés en France et à l’étranger, en monnaie nationale ou en devises ;</w:t>
            </w:r>
          </w:p>
          <w:p w14:paraId="4667C33B" w14:textId="77777777" w:rsidR="00F97CB9" w:rsidRPr="00CE21B1" w:rsidRDefault="00F97CB9" w:rsidP="00F97CB9">
            <w:pPr>
              <w:pStyle w:val="Paragraphedeliste"/>
              <w:widowControl w:val="0"/>
              <w:numPr>
                <w:ilvl w:val="0"/>
                <w:numId w:val="6"/>
              </w:numPr>
              <w:autoSpaceDE w:val="0"/>
              <w:autoSpaceDN w:val="0"/>
              <w:adjustRightInd w:val="0"/>
              <w:jc w:val="both"/>
              <w:rPr>
                <w:rFonts w:ascii="Arial" w:hAnsi="Arial" w:cs="TimesNewRoman"/>
                <w:i/>
                <w:sz w:val="20"/>
                <w:szCs w:val="20"/>
                <w:lang w:val="fr-FR"/>
              </w:rPr>
            </w:pPr>
            <w:proofErr w:type="gramStart"/>
            <w:r w:rsidRPr="00CE21B1">
              <w:rPr>
                <w:rFonts w:ascii="Arial" w:hAnsi="Arial" w:cs="TimesNewRoman"/>
                <w:i/>
                <w:sz w:val="20"/>
                <w:szCs w:val="20"/>
                <w:lang w:val="fr-FR"/>
              </w:rPr>
              <w:t>la</w:t>
            </w:r>
            <w:proofErr w:type="gramEnd"/>
            <w:r w:rsidRPr="00CE21B1">
              <w:rPr>
                <w:rFonts w:ascii="Arial" w:hAnsi="Arial" w:cs="TimesNewRoman"/>
                <w:i/>
                <w:sz w:val="20"/>
                <w:szCs w:val="20"/>
                <w:lang w:val="fr-FR"/>
              </w:rPr>
              <w:t xml:space="preserve"> partie des emprunts et dettes assimilées dont les échéances sont à long terme, à moyen terme ou à court terme.</w:t>
            </w:r>
          </w:p>
          <w:p w14:paraId="15B99982" w14:textId="77777777" w:rsidR="00F97CB9" w:rsidRPr="00CE21B1" w:rsidRDefault="00F97CB9" w:rsidP="00F97CB9">
            <w:pPr>
              <w:jc w:val="both"/>
              <w:rPr>
                <w:rFonts w:ascii="Arial" w:hAnsi="Arial" w:cs="TimesNewRoman"/>
                <w:i/>
                <w:sz w:val="20"/>
                <w:szCs w:val="20"/>
                <w:lang w:val="fr-FR"/>
              </w:rPr>
            </w:pPr>
          </w:p>
          <w:p w14:paraId="7B995CAF" w14:textId="2BAC6209" w:rsidR="00F97CB9" w:rsidRPr="00CE21B1" w:rsidRDefault="00F97CB9" w:rsidP="00F97CB9">
            <w:pPr>
              <w:jc w:val="both"/>
              <w:rPr>
                <w:rFonts w:ascii="Arial" w:hAnsi="Arial"/>
                <w:i/>
                <w:sz w:val="20"/>
                <w:szCs w:val="20"/>
                <w:lang w:val="fr-FR"/>
              </w:rPr>
            </w:pPr>
            <w:r w:rsidRPr="00CE21B1">
              <w:rPr>
                <w:rFonts w:ascii="Arial" w:hAnsi="Arial"/>
                <w:i/>
                <w:sz w:val="20"/>
                <w:szCs w:val="20"/>
                <w:lang w:val="fr-FR"/>
              </w:rPr>
              <w:t>Les entités peuvent également subdiviser les comptes d’emprunts pour identifier les emprunts contractés auprès d’entités liées ou avec lesquelles elles ont un lien de participation.</w:t>
            </w:r>
          </w:p>
          <w:p w14:paraId="32D9495F" w14:textId="32E238DE" w:rsidR="00F97CB9" w:rsidRPr="009240FF" w:rsidRDefault="00F97CB9" w:rsidP="00F97CB9">
            <w:pPr>
              <w:jc w:val="both"/>
              <w:rPr>
                <w:rFonts w:ascii="Arial" w:hAnsi="Arial" w:cs="TimesNewRoman"/>
                <w:i/>
                <w:sz w:val="22"/>
                <w:szCs w:val="22"/>
                <w:lang w:val="fr-FR"/>
              </w:rPr>
            </w:pPr>
            <w:r w:rsidRPr="00CE21B1">
              <w:rPr>
                <w:rFonts w:ascii="Arial" w:hAnsi="Arial" w:cs="TimesNewRoman"/>
                <w:i/>
                <w:sz w:val="20"/>
                <w:szCs w:val="20"/>
                <w:lang w:val="fr-FR"/>
              </w:rPr>
              <w:t>Les intérêts courus sur emprunts et dettes sont regroupés dans une subdivision du compte 168.</w:t>
            </w:r>
          </w:p>
        </w:tc>
      </w:tr>
    </w:tbl>
    <w:p w14:paraId="34BCD1B8" w14:textId="77777777" w:rsidR="00F97CB9" w:rsidRPr="00A619A0" w:rsidRDefault="00F97CB9" w:rsidP="00076A77">
      <w:pPr>
        <w:widowControl w:val="0"/>
        <w:autoSpaceDE w:val="0"/>
        <w:autoSpaceDN w:val="0"/>
        <w:adjustRightInd w:val="0"/>
        <w:jc w:val="both"/>
        <w:rPr>
          <w:rFonts w:ascii="Arial" w:hAnsi="Arial" w:cs="TimesNewRoman"/>
          <w:sz w:val="22"/>
          <w:szCs w:val="22"/>
          <w:lang w:val="fr-FR"/>
        </w:rPr>
      </w:pPr>
    </w:p>
    <w:p w14:paraId="3454AD55" w14:textId="77777777" w:rsidR="006A120A" w:rsidRPr="00A619A0" w:rsidRDefault="006A120A" w:rsidP="00076A77">
      <w:pPr>
        <w:widowControl w:val="0"/>
        <w:autoSpaceDE w:val="0"/>
        <w:autoSpaceDN w:val="0"/>
        <w:adjustRightInd w:val="0"/>
        <w:jc w:val="both"/>
        <w:rPr>
          <w:rFonts w:ascii="Arial" w:hAnsi="Arial" w:cs="TimesNewRoman"/>
          <w:sz w:val="22"/>
          <w:szCs w:val="22"/>
          <w:lang w:val="fr-FR"/>
        </w:rPr>
      </w:pPr>
    </w:p>
    <w:p w14:paraId="27B34395" w14:textId="148FB733" w:rsidR="008242A7" w:rsidRPr="00A619A0" w:rsidRDefault="00C16066" w:rsidP="00076A77">
      <w:pPr>
        <w:jc w:val="both"/>
        <w:rPr>
          <w:rFonts w:ascii="Arial" w:hAnsi="Arial" w:cs="TimesNewRoman"/>
          <w:sz w:val="22"/>
          <w:szCs w:val="22"/>
          <w:lang w:val="fr-FR"/>
        </w:rPr>
      </w:pPr>
      <w:r w:rsidRPr="00A619A0">
        <w:rPr>
          <w:rFonts w:ascii="Arial" w:hAnsi="Arial" w:cs="TimesNewRoman"/>
          <w:sz w:val="22"/>
          <w:szCs w:val="22"/>
          <w:lang w:val="fr-FR"/>
        </w:rPr>
        <w:t>On rappelle la structure du passif du bilan :</w:t>
      </w:r>
    </w:p>
    <w:p w14:paraId="2F8A7544" w14:textId="726D51E8" w:rsidR="006A120A" w:rsidRPr="00A619A0" w:rsidRDefault="008242A7" w:rsidP="00076A77">
      <w:pPr>
        <w:jc w:val="both"/>
        <w:rPr>
          <w:rFonts w:ascii="Arial" w:hAnsi="Arial" w:cs="TimesNewRoman"/>
          <w:sz w:val="22"/>
          <w:szCs w:val="22"/>
          <w:lang w:val="fr-FR"/>
        </w:rPr>
      </w:pPr>
      <w:r w:rsidRPr="00A619A0">
        <w:rPr>
          <w:rFonts w:ascii="Arial" w:hAnsi="Arial"/>
          <w:noProof/>
          <w:lang w:val="fr-FR"/>
        </w:rPr>
        <w:lastRenderedPageBreak/>
        <w:drawing>
          <wp:anchor distT="0" distB="0" distL="114300" distR="114300" simplePos="0" relativeHeight="251660800" behindDoc="0" locked="0" layoutInCell="1" allowOverlap="1" wp14:anchorId="52C1DD63" wp14:editId="66EC221F">
            <wp:simplePos x="0" y="0"/>
            <wp:positionH relativeFrom="column">
              <wp:posOffset>-48260</wp:posOffset>
            </wp:positionH>
            <wp:positionV relativeFrom="paragraph">
              <wp:posOffset>127635</wp:posOffset>
            </wp:positionV>
            <wp:extent cx="5756275" cy="2113280"/>
            <wp:effectExtent l="0" t="0" r="9525" b="0"/>
            <wp:wrapThrough wrapText="bothSides">
              <wp:wrapPolygon edited="0">
                <wp:start x="0" y="0"/>
                <wp:lineTo x="0" y="21288"/>
                <wp:lineTo x="21540" y="21288"/>
                <wp:lineTo x="2154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275" cy="211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A4009" w14:textId="1512199D" w:rsidR="00666C47" w:rsidRPr="00A619A0" w:rsidRDefault="00666C47" w:rsidP="00076A77">
      <w:pPr>
        <w:jc w:val="both"/>
        <w:rPr>
          <w:rFonts w:ascii="Arial" w:hAnsi="Arial" w:cs="TimesNewRoman"/>
          <w:i/>
          <w:color w:val="FF0000"/>
          <w:sz w:val="22"/>
          <w:szCs w:val="22"/>
          <w:lang w:val="fr-FR"/>
        </w:rPr>
      </w:pPr>
    </w:p>
    <w:p w14:paraId="35675284" w14:textId="2233579E" w:rsidR="00666C47" w:rsidRPr="00A619A0" w:rsidRDefault="008242A7" w:rsidP="00076A77">
      <w:pPr>
        <w:jc w:val="both"/>
        <w:rPr>
          <w:rFonts w:ascii="Arial" w:hAnsi="Arial" w:cs="TimesNewRoman"/>
          <w:sz w:val="22"/>
          <w:szCs w:val="22"/>
          <w:lang w:val="fr-FR"/>
        </w:rPr>
      </w:pPr>
      <w:r w:rsidRPr="00A619A0">
        <w:rPr>
          <w:rFonts w:ascii="Arial" w:hAnsi="Arial" w:cs="TimesNewRoman"/>
          <w:sz w:val="22"/>
          <w:szCs w:val="22"/>
          <w:lang w:val="fr-FR"/>
        </w:rPr>
        <w:t>Les emprunts obligataires figurent donc au passif du bila</w:t>
      </w:r>
      <w:r w:rsidR="0053250C" w:rsidRPr="00A619A0">
        <w:rPr>
          <w:rFonts w:ascii="Arial" w:hAnsi="Arial" w:cs="TimesNewRoman"/>
          <w:sz w:val="22"/>
          <w:szCs w:val="22"/>
          <w:lang w:val="fr-FR"/>
        </w:rPr>
        <w:t>n</w:t>
      </w:r>
      <w:r w:rsidRPr="00A619A0">
        <w:rPr>
          <w:rFonts w:ascii="Arial" w:hAnsi="Arial" w:cs="TimesNewRoman"/>
          <w:sz w:val="22"/>
          <w:szCs w:val="22"/>
          <w:lang w:val="fr-FR"/>
        </w:rPr>
        <w:t>, dans les dettes.</w:t>
      </w:r>
    </w:p>
    <w:p w14:paraId="2B95A535" w14:textId="77777777" w:rsidR="00D07BBD" w:rsidRPr="00A619A0" w:rsidRDefault="00D07BBD" w:rsidP="00076A77">
      <w:pPr>
        <w:jc w:val="both"/>
        <w:rPr>
          <w:rFonts w:ascii="Arial" w:hAnsi="Arial" w:cs="TimesNewRoman"/>
          <w:sz w:val="22"/>
          <w:szCs w:val="22"/>
          <w:lang w:val="fr-FR"/>
        </w:rPr>
      </w:pPr>
    </w:p>
    <w:p w14:paraId="26EFA3AB" w14:textId="0CDB4D2E" w:rsidR="002F3A17" w:rsidRPr="00F63833" w:rsidRDefault="00D07BBD" w:rsidP="00F63833">
      <w:pPr>
        <w:jc w:val="both"/>
        <w:rPr>
          <w:rFonts w:ascii="Arial" w:hAnsi="Arial" w:cs="TimesNewRoman"/>
          <w:sz w:val="22"/>
          <w:szCs w:val="22"/>
          <w:lang w:val="fr-FR"/>
        </w:rPr>
      </w:pPr>
      <w:r w:rsidRPr="00A619A0">
        <w:rPr>
          <w:rFonts w:ascii="Arial" w:hAnsi="Arial" w:cs="TimesNewRoman"/>
          <w:sz w:val="22"/>
          <w:szCs w:val="22"/>
          <w:lang w:val="fr-FR"/>
        </w:rPr>
        <w:t>La base de la détermination du résultat imposable est la comptabilité « plan comptable général ».</w:t>
      </w:r>
      <w:r w:rsidR="008242A7" w:rsidRPr="00A619A0">
        <w:rPr>
          <w:rFonts w:ascii="Arial" w:hAnsi="Arial" w:cs="TimesNewRoman"/>
          <w:sz w:val="22"/>
          <w:szCs w:val="22"/>
          <w:lang w:val="fr-FR"/>
        </w:rPr>
        <w:t xml:space="preserve"> Dans le cadre d’autres préoccupations, financières ou économiques et non plus comptables, on peut remettre en cause la classification comptable.</w:t>
      </w:r>
    </w:p>
    <w:p w14:paraId="5C7448B0" w14:textId="77777777" w:rsidR="00D07BBD" w:rsidRPr="00A619A0" w:rsidRDefault="00D07BBD" w:rsidP="00076A77">
      <w:pPr>
        <w:jc w:val="both"/>
        <w:rPr>
          <w:rFonts w:ascii="Arial" w:hAnsi="Arial" w:cs="TimesNewRoman"/>
          <w:i/>
          <w:sz w:val="22"/>
          <w:szCs w:val="22"/>
          <w:lang w:val="fr-FR"/>
        </w:rPr>
      </w:pPr>
    </w:p>
    <w:tbl>
      <w:tblPr>
        <w:tblStyle w:val="Grilledutableau"/>
        <w:tblW w:w="0" w:type="auto"/>
        <w:tblLook w:val="04A0" w:firstRow="1" w:lastRow="0" w:firstColumn="1" w:lastColumn="0" w:noHBand="0" w:noVBand="1"/>
      </w:tblPr>
      <w:tblGrid>
        <w:gridCol w:w="3584"/>
        <w:gridCol w:w="3066"/>
        <w:gridCol w:w="2406"/>
      </w:tblGrid>
      <w:tr w:rsidR="00D07BBD" w:rsidRPr="00A619A0" w14:paraId="38C22ABE" w14:textId="77777777" w:rsidTr="00CE21B1">
        <w:tc>
          <w:tcPr>
            <w:tcW w:w="3584" w:type="dxa"/>
          </w:tcPr>
          <w:p w14:paraId="48A34A38" w14:textId="3B63268D" w:rsidR="008242A7" w:rsidRPr="00A619A0" w:rsidRDefault="00D07BBD" w:rsidP="00D07BBD">
            <w:pPr>
              <w:jc w:val="center"/>
              <w:rPr>
                <w:rFonts w:ascii="Arial" w:hAnsi="Arial" w:cs="Arial"/>
                <w:b/>
                <w:bCs/>
                <w:kern w:val="24"/>
                <w:sz w:val="22"/>
                <w:szCs w:val="22"/>
              </w:rPr>
            </w:pPr>
            <w:r w:rsidRPr="00A619A0">
              <w:rPr>
                <w:rFonts w:ascii="Arial" w:hAnsi="Arial" w:cs="Arial"/>
                <w:b/>
                <w:bCs/>
                <w:kern w:val="24"/>
                <w:sz w:val="22"/>
                <w:szCs w:val="22"/>
              </w:rPr>
              <w:t>DROIT</w:t>
            </w:r>
            <w:r w:rsidR="008242A7" w:rsidRPr="00A619A0">
              <w:rPr>
                <w:rFonts w:ascii="Arial" w:hAnsi="Arial" w:cs="Arial"/>
                <w:b/>
                <w:bCs/>
                <w:kern w:val="24"/>
                <w:sz w:val="22"/>
                <w:szCs w:val="22"/>
              </w:rPr>
              <w:t xml:space="preserve"> COMPTABLE</w:t>
            </w:r>
          </w:p>
          <w:p w14:paraId="674C6307" w14:textId="5E06DEEE" w:rsidR="00D07BBD" w:rsidRPr="00A619A0" w:rsidRDefault="008242A7" w:rsidP="00D07BBD">
            <w:pPr>
              <w:jc w:val="center"/>
              <w:rPr>
                <w:rFonts w:ascii="Arial" w:hAnsi="Arial" w:cs="TimesNewRoman"/>
                <w:sz w:val="22"/>
                <w:szCs w:val="22"/>
                <w:lang w:val="fr-FR"/>
              </w:rPr>
            </w:pPr>
            <w:r w:rsidRPr="00A619A0">
              <w:rPr>
                <w:rFonts w:ascii="Arial" w:hAnsi="Arial" w:cs="Arial"/>
                <w:b/>
                <w:bCs/>
                <w:kern w:val="24"/>
                <w:sz w:val="22"/>
                <w:szCs w:val="22"/>
              </w:rPr>
              <w:t>ET FISCAL</w:t>
            </w:r>
          </w:p>
        </w:tc>
        <w:tc>
          <w:tcPr>
            <w:tcW w:w="5472" w:type="dxa"/>
            <w:gridSpan w:val="2"/>
          </w:tcPr>
          <w:p w14:paraId="4BD55E32" w14:textId="77777777" w:rsidR="00D07BBD" w:rsidRPr="00A619A0" w:rsidRDefault="00D07BBD" w:rsidP="00D07BBD">
            <w:pPr>
              <w:pStyle w:val="NormalWeb"/>
              <w:spacing w:before="0" w:beforeAutospacing="0" w:after="0" w:afterAutospacing="0"/>
              <w:jc w:val="center"/>
              <w:rPr>
                <w:rFonts w:ascii="Arial" w:hAnsi="Arial" w:cs="Arial"/>
                <w:b/>
                <w:bCs/>
                <w:kern w:val="24"/>
                <w:sz w:val="22"/>
                <w:szCs w:val="22"/>
              </w:rPr>
            </w:pPr>
            <w:r w:rsidRPr="00A619A0">
              <w:rPr>
                <w:rFonts w:ascii="Arial" w:hAnsi="Arial" w:cs="Arial"/>
                <w:b/>
                <w:bCs/>
                <w:kern w:val="24"/>
                <w:sz w:val="22"/>
                <w:szCs w:val="22"/>
              </w:rPr>
              <w:t>COMMUNICATION INFORMATION</w:t>
            </w:r>
          </w:p>
          <w:p w14:paraId="61814F0A" w14:textId="77748313" w:rsidR="00D07BBD" w:rsidRPr="00A619A0" w:rsidRDefault="00D07BBD" w:rsidP="00D07BBD">
            <w:pPr>
              <w:pStyle w:val="NormalWeb"/>
              <w:spacing w:before="0" w:beforeAutospacing="0" w:after="0" w:afterAutospacing="0"/>
              <w:jc w:val="center"/>
              <w:rPr>
                <w:rFonts w:ascii="Arial" w:hAnsi="Arial" w:cs="Arial"/>
                <w:sz w:val="22"/>
                <w:szCs w:val="22"/>
              </w:rPr>
            </w:pPr>
            <w:r w:rsidRPr="00A619A0">
              <w:rPr>
                <w:rFonts w:ascii="Arial" w:hAnsi="Arial" w:cs="Arial"/>
                <w:b/>
                <w:bCs/>
                <w:kern w:val="24"/>
                <w:sz w:val="22"/>
                <w:szCs w:val="22"/>
              </w:rPr>
              <w:t>DES ACTIONNAIRES ET DES MARCHÉS FINANCIERS</w:t>
            </w:r>
          </w:p>
        </w:tc>
      </w:tr>
      <w:tr w:rsidR="00D07BBD" w:rsidRPr="00A619A0" w14:paraId="23390D8F" w14:textId="77777777" w:rsidTr="00CE21B1">
        <w:tc>
          <w:tcPr>
            <w:tcW w:w="3584" w:type="dxa"/>
          </w:tcPr>
          <w:p w14:paraId="0186C2CE" w14:textId="538B8C63" w:rsidR="00D07BBD" w:rsidRPr="00CE21B1" w:rsidRDefault="00D07BBD" w:rsidP="00D07BBD">
            <w:pPr>
              <w:pStyle w:val="NormalWeb"/>
              <w:spacing w:before="0" w:beforeAutospacing="0" w:after="0" w:afterAutospacing="0"/>
              <w:jc w:val="center"/>
              <w:rPr>
                <w:rFonts w:ascii="Arial" w:hAnsi="Arial" w:cs="Arial"/>
              </w:rPr>
            </w:pPr>
            <w:r w:rsidRPr="00CE21B1">
              <w:rPr>
                <w:rFonts w:ascii="Arial" w:hAnsi="Arial" w:cs="Arial"/>
                <w:b/>
                <w:bCs/>
                <w:kern w:val="24"/>
              </w:rPr>
              <w:t>Code de commerce</w:t>
            </w:r>
          </w:p>
          <w:p w14:paraId="0BEE9B62" w14:textId="29EC160E" w:rsidR="00D07BBD" w:rsidRPr="00CE21B1" w:rsidRDefault="00D07BBD" w:rsidP="00D07BBD">
            <w:pPr>
              <w:jc w:val="center"/>
              <w:rPr>
                <w:rFonts w:ascii="Arial" w:hAnsi="Arial" w:cs="TimesNewRoman"/>
                <w:sz w:val="20"/>
                <w:szCs w:val="20"/>
                <w:lang w:val="fr-FR"/>
              </w:rPr>
            </w:pPr>
            <w:r w:rsidRPr="00CE21B1">
              <w:rPr>
                <w:rFonts w:ascii="Arial" w:hAnsi="Arial" w:cs="Arial"/>
                <w:b/>
                <w:bCs/>
                <w:kern w:val="24"/>
                <w:sz w:val="20"/>
                <w:szCs w:val="20"/>
                <w:lang w:val="fr-FR"/>
              </w:rPr>
              <w:t>Code général des impôts</w:t>
            </w:r>
          </w:p>
        </w:tc>
        <w:tc>
          <w:tcPr>
            <w:tcW w:w="3066" w:type="dxa"/>
            <w:vMerge w:val="restart"/>
          </w:tcPr>
          <w:p w14:paraId="1B45AB50" w14:textId="77777777" w:rsidR="00D07BBD" w:rsidRPr="00CE21B1" w:rsidRDefault="00D07BBD" w:rsidP="00D07BBD">
            <w:pPr>
              <w:pStyle w:val="NormalWeb"/>
              <w:spacing w:before="0" w:beforeAutospacing="0" w:after="0" w:afterAutospacing="0"/>
              <w:jc w:val="center"/>
              <w:rPr>
                <w:rFonts w:ascii="Arial" w:hAnsi="Arial" w:cs="Arial"/>
              </w:rPr>
            </w:pPr>
            <w:r w:rsidRPr="00CE21B1">
              <w:rPr>
                <w:rFonts w:ascii="Arial" w:hAnsi="Arial" w:cs="Arial"/>
                <w:b/>
                <w:bCs/>
                <w:kern w:val="24"/>
              </w:rPr>
              <w:t>Règlement</w:t>
            </w:r>
          </w:p>
          <w:p w14:paraId="17C80EC1" w14:textId="30B27019" w:rsidR="00F8498E" w:rsidRPr="00CE21B1" w:rsidRDefault="00F8498E" w:rsidP="00F8498E">
            <w:pPr>
              <w:jc w:val="both"/>
              <w:rPr>
                <w:rFonts w:ascii="Arial" w:hAnsi="Arial" w:cs="TimesNewRoman"/>
                <w:sz w:val="20"/>
                <w:szCs w:val="20"/>
                <w:lang w:val="fr-FR"/>
              </w:rPr>
            </w:pPr>
            <w:r w:rsidRPr="00CE21B1">
              <w:rPr>
                <w:rFonts w:ascii="Arial" w:hAnsi="Arial" w:cs="TimesNewRoman"/>
                <w:sz w:val="20"/>
                <w:szCs w:val="20"/>
                <w:lang w:val="fr-FR"/>
              </w:rPr>
              <w:t xml:space="preserve">Comptes consolidés des sociétés commerciales et des </w:t>
            </w:r>
          </w:p>
          <w:p w14:paraId="70EAB510" w14:textId="77777777" w:rsidR="00F8498E" w:rsidRPr="00CE21B1" w:rsidRDefault="00F8498E" w:rsidP="00F8498E">
            <w:pPr>
              <w:jc w:val="both"/>
              <w:rPr>
                <w:rFonts w:ascii="Arial" w:hAnsi="Arial" w:cs="TimesNewRoman"/>
                <w:sz w:val="20"/>
                <w:szCs w:val="20"/>
                <w:lang w:val="fr-FR"/>
              </w:rPr>
            </w:pPr>
            <w:proofErr w:type="gramStart"/>
            <w:r w:rsidRPr="00CE21B1">
              <w:rPr>
                <w:rFonts w:ascii="Arial" w:hAnsi="Arial" w:cs="TimesNewRoman"/>
                <w:sz w:val="20"/>
                <w:szCs w:val="20"/>
                <w:lang w:val="fr-FR"/>
              </w:rPr>
              <w:t>entreprises</w:t>
            </w:r>
            <w:proofErr w:type="gramEnd"/>
            <w:r w:rsidRPr="00CE21B1">
              <w:rPr>
                <w:rFonts w:ascii="Arial" w:hAnsi="Arial" w:cs="TimesNewRoman"/>
                <w:sz w:val="20"/>
                <w:szCs w:val="20"/>
                <w:lang w:val="fr-FR"/>
              </w:rPr>
              <w:t xml:space="preserve"> publiques</w:t>
            </w:r>
          </w:p>
          <w:p w14:paraId="7731146E" w14:textId="77777777" w:rsidR="00F8498E" w:rsidRPr="00CE21B1" w:rsidRDefault="00F8498E" w:rsidP="00F8498E">
            <w:pPr>
              <w:jc w:val="both"/>
              <w:rPr>
                <w:rFonts w:ascii="Arial" w:hAnsi="Arial" w:cs="TimesNewRoman"/>
                <w:sz w:val="20"/>
                <w:szCs w:val="20"/>
                <w:lang w:val="fr-FR"/>
              </w:rPr>
            </w:pPr>
            <w:r w:rsidRPr="00CE21B1">
              <w:rPr>
                <w:rFonts w:ascii="Arial" w:hAnsi="Arial" w:cs="TimesNewRoman"/>
                <w:sz w:val="20"/>
                <w:szCs w:val="20"/>
                <w:lang w:val="fr-FR"/>
              </w:rPr>
              <w:t>Version consolidée</w:t>
            </w:r>
          </w:p>
          <w:p w14:paraId="5BCBC8B4" w14:textId="2654E71C" w:rsidR="00D07BBD" w:rsidRPr="00CE21B1" w:rsidRDefault="00F8498E" w:rsidP="00F8498E">
            <w:pPr>
              <w:jc w:val="both"/>
              <w:rPr>
                <w:rFonts w:ascii="Arial" w:hAnsi="Arial" w:cs="TimesNewRoman"/>
                <w:sz w:val="20"/>
                <w:szCs w:val="20"/>
                <w:lang w:val="fr-FR"/>
              </w:rPr>
            </w:pPr>
            <w:proofErr w:type="gramStart"/>
            <w:r w:rsidRPr="00CE21B1">
              <w:rPr>
                <w:rFonts w:ascii="Arial" w:hAnsi="Arial" w:cs="TimesNewRoman"/>
                <w:sz w:val="20"/>
                <w:szCs w:val="20"/>
                <w:lang w:val="fr-FR"/>
              </w:rPr>
              <w:t>du</w:t>
            </w:r>
            <w:proofErr w:type="gramEnd"/>
            <w:r w:rsidRPr="00CE21B1">
              <w:rPr>
                <w:rFonts w:ascii="Arial" w:hAnsi="Arial" w:cs="TimesNewRoman"/>
                <w:sz w:val="20"/>
                <w:szCs w:val="20"/>
                <w:lang w:val="fr-FR"/>
              </w:rPr>
              <w:t xml:space="preserve"> règlement CRC 99 -02 au  1</w:t>
            </w:r>
            <w:r w:rsidRPr="00CE21B1">
              <w:rPr>
                <w:rFonts w:ascii="Arial" w:hAnsi="Arial" w:cs="TimesNewRoman"/>
                <w:sz w:val="20"/>
                <w:szCs w:val="20"/>
                <w:vertAlign w:val="superscript"/>
                <w:lang w:val="fr-FR"/>
              </w:rPr>
              <w:t>er</w:t>
            </w:r>
            <w:r w:rsidRPr="00CE21B1">
              <w:rPr>
                <w:rFonts w:ascii="Arial" w:hAnsi="Arial" w:cs="TimesNewRoman"/>
                <w:sz w:val="20"/>
                <w:szCs w:val="20"/>
                <w:lang w:val="fr-FR"/>
              </w:rPr>
              <w:t xml:space="preserve"> janvier 2017</w:t>
            </w:r>
          </w:p>
        </w:tc>
        <w:tc>
          <w:tcPr>
            <w:tcW w:w="2406" w:type="dxa"/>
            <w:vMerge w:val="restart"/>
          </w:tcPr>
          <w:p w14:paraId="0287C195" w14:textId="77777777" w:rsidR="00D07BBD" w:rsidRPr="00CE21B1" w:rsidRDefault="00D07BBD" w:rsidP="00D07BBD">
            <w:pPr>
              <w:pStyle w:val="NormalWeb"/>
              <w:spacing w:before="0" w:beforeAutospacing="0" w:after="0" w:afterAutospacing="0"/>
              <w:jc w:val="center"/>
              <w:rPr>
                <w:rFonts w:ascii="Arial" w:hAnsi="Arial" w:cs="Arial"/>
              </w:rPr>
            </w:pPr>
            <w:r w:rsidRPr="00CE21B1">
              <w:rPr>
                <w:rFonts w:ascii="Arial" w:hAnsi="Arial" w:cs="Arial"/>
                <w:b/>
                <w:bCs/>
                <w:kern w:val="24"/>
              </w:rPr>
              <w:t>IFRS</w:t>
            </w:r>
          </w:p>
          <w:p w14:paraId="33DF93E2" w14:textId="20571798" w:rsidR="00D07BBD" w:rsidRPr="00CE21B1" w:rsidRDefault="00D07BBD" w:rsidP="00D07BBD">
            <w:pPr>
              <w:jc w:val="center"/>
              <w:rPr>
                <w:rFonts w:ascii="Arial" w:hAnsi="Arial" w:cs="TimesNewRoman"/>
                <w:sz w:val="20"/>
                <w:szCs w:val="20"/>
                <w:lang w:val="fr-FR"/>
              </w:rPr>
            </w:pPr>
            <w:r w:rsidRPr="00CE21B1">
              <w:rPr>
                <w:rFonts w:ascii="Arial" w:eastAsiaTheme="minorEastAsia" w:hAnsi="Arial" w:cs="Arial"/>
                <w:kern w:val="24"/>
                <w:sz w:val="20"/>
                <w:szCs w:val="20"/>
                <w:lang w:val="fr-FR"/>
              </w:rPr>
              <w:t>Organisations de nature privée et indépendante des pouvoirs publics et politiques</w:t>
            </w:r>
          </w:p>
        </w:tc>
      </w:tr>
      <w:tr w:rsidR="00D07BBD" w:rsidRPr="00A619A0" w14:paraId="4A465AD8" w14:textId="77777777" w:rsidTr="00CE21B1">
        <w:tc>
          <w:tcPr>
            <w:tcW w:w="3584" w:type="dxa"/>
          </w:tcPr>
          <w:p w14:paraId="6116D9EC" w14:textId="77777777" w:rsidR="00D07BBD" w:rsidRPr="00CE21B1" w:rsidRDefault="00D07BBD" w:rsidP="00F8498E">
            <w:pPr>
              <w:pStyle w:val="NormalWeb"/>
              <w:spacing w:before="0" w:beforeAutospacing="0" w:after="0" w:afterAutospacing="0"/>
              <w:jc w:val="center"/>
              <w:rPr>
                <w:rFonts w:ascii="Arial" w:hAnsi="Arial" w:cs="Arial"/>
              </w:rPr>
            </w:pPr>
            <w:r w:rsidRPr="00CE21B1">
              <w:rPr>
                <w:rFonts w:ascii="Arial" w:hAnsi="Arial" w:cs="Arial"/>
                <w:b/>
                <w:bCs/>
                <w:kern w:val="24"/>
              </w:rPr>
              <w:t>Règlement</w:t>
            </w:r>
          </w:p>
          <w:p w14:paraId="796AFA68" w14:textId="104A76F8" w:rsidR="00F8498E" w:rsidRPr="00CE21B1" w:rsidRDefault="00F8498E" w:rsidP="00F8498E">
            <w:pPr>
              <w:pStyle w:val="NormalWeb"/>
              <w:spacing w:before="0" w:beforeAutospacing="0" w:after="0" w:afterAutospacing="0"/>
              <w:jc w:val="center"/>
              <w:rPr>
                <w:rFonts w:ascii="Arial" w:hAnsi="Arial" w:cs="Arial"/>
                <w:kern w:val="24"/>
              </w:rPr>
            </w:pPr>
            <w:r w:rsidRPr="00CE21B1">
              <w:rPr>
                <w:rFonts w:ascii="Arial" w:hAnsi="Arial" w:cs="Arial"/>
                <w:kern w:val="24"/>
              </w:rPr>
              <w:t xml:space="preserve">ANC N° 2014-03 RELATIF </w:t>
            </w:r>
            <w:proofErr w:type="gramStart"/>
            <w:r w:rsidRPr="00CE21B1">
              <w:rPr>
                <w:rFonts w:ascii="Arial" w:hAnsi="Arial" w:cs="Arial"/>
                <w:kern w:val="24"/>
              </w:rPr>
              <w:t>AU</w:t>
            </w:r>
            <w:proofErr w:type="gramEnd"/>
            <w:r w:rsidRPr="00CE21B1">
              <w:rPr>
                <w:rFonts w:ascii="Arial" w:hAnsi="Arial" w:cs="Arial"/>
                <w:kern w:val="24"/>
              </w:rPr>
              <w:t xml:space="preserve"> PLAN COMPTABLE GENERAL VERSION CONSOLIDEE</w:t>
            </w:r>
          </w:p>
          <w:p w14:paraId="44B318F9" w14:textId="3237EF7A" w:rsidR="00D07BBD" w:rsidRPr="00CE21B1" w:rsidRDefault="00F8498E" w:rsidP="00F8498E">
            <w:pPr>
              <w:pStyle w:val="NormalWeb"/>
              <w:spacing w:before="0" w:beforeAutospacing="0" w:after="0" w:afterAutospacing="0"/>
              <w:jc w:val="center"/>
              <w:rPr>
                <w:rFonts w:ascii="Arial" w:hAnsi="Arial" w:cs="Arial"/>
              </w:rPr>
            </w:pPr>
            <w:r w:rsidRPr="00CE21B1">
              <w:rPr>
                <w:rFonts w:ascii="Arial" w:hAnsi="Arial" w:cs="Arial"/>
                <w:kern w:val="24"/>
              </w:rPr>
              <w:t>AU 1ER JANVIER 2016</w:t>
            </w:r>
          </w:p>
          <w:p w14:paraId="5EC9F33A" w14:textId="25D1EFB6" w:rsidR="00D07BBD" w:rsidRPr="00A619A0" w:rsidRDefault="00D07BBD" w:rsidP="00D07BBD">
            <w:pPr>
              <w:jc w:val="center"/>
              <w:rPr>
                <w:rFonts w:ascii="Arial" w:hAnsi="Arial" w:cs="TimesNewRoman"/>
                <w:b/>
                <w:sz w:val="22"/>
                <w:szCs w:val="22"/>
                <w:lang w:val="fr-FR"/>
              </w:rPr>
            </w:pPr>
            <w:r w:rsidRPr="00CE21B1">
              <w:rPr>
                <w:rFonts w:ascii="Arial" w:hAnsi="Arial" w:cs="Arial"/>
                <w:b/>
                <w:kern w:val="24"/>
                <w:sz w:val="20"/>
                <w:szCs w:val="20"/>
                <w:lang w:val="fr-FR"/>
              </w:rPr>
              <w:t>Plan Comptable Général</w:t>
            </w:r>
          </w:p>
        </w:tc>
        <w:tc>
          <w:tcPr>
            <w:tcW w:w="3066" w:type="dxa"/>
            <w:vMerge/>
          </w:tcPr>
          <w:p w14:paraId="0484CE77" w14:textId="77777777" w:rsidR="00D07BBD" w:rsidRPr="00A619A0" w:rsidRDefault="00D07BBD" w:rsidP="00D07BBD">
            <w:pPr>
              <w:jc w:val="center"/>
              <w:rPr>
                <w:rFonts w:ascii="Arial" w:hAnsi="Arial" w:cs="TimesNewRoman"/>
                <w:sz w:val="22"/>
                <w:szCs w:val="22"/>
                <w:lang w:val="fr-FR"/>
              </w:rPr>
            </w:pPr>
          </w:p>
        </w:tc>
        <w:tc>
          <w:tcPr>
            <w:tcW w:w="2406" w:type="dxa"/>
            <w:vMerge/>
          </w:tcPr>
          <w:p w14:paraId="75F16F43" w14:textId="77777777" w:rsidR="00D07BBD" w:rsidRPr="00A619A0" w:rsidRDefault="00D07BBD" w:rsidP="00D07BBD">
            <w:pPr>
              <w:jc w:val="center"/>
              <w:rPr>
                <w:rFonts w:ascii="Arial" w:hAnsi="Arial" w:cs="TimesNewRoman"/>
                <w:sz w:val="22"/>
                <w:szCs w:val="22"/>
                <w:lang w:val="fr-FR"/>
              </w:rPr>
            </w:pPr>
          </w:p>
        </w:tc>
      </w:tr>
    </w:tbl>
    <w:p w14:paraId="718A6A52" w14:textId="54C9BDF5" w:rsidR="006076E2" w:rsidRPr="00A619A0" w:rsidRDefault="006076E2" w:rsidP="006076E2">
      <w:pPr>
        <w:rPr>
          <w:rFonts w:ascii="Arial" w:hAnsi="Arial" w:cs="TimesNewRoman"/>
          <w:i/>
          <w:color w:val="FF0000"/>
          <w:sz w:val="22"/>
          <w:szCs w:val="22"/>
          <w:lang w:val="fr-FR"/>
        </w:rPr>
      </w:pPr>
    </w:p>
    <w:p w14:paraId="4C055071" w14:textId="5E8FD17F" w:rsidR="00076A77" w:rsidRPr="00523EAC" w:rsidRDefault="00076A77" w:rsidP="0026718A">
      <w:pPr>
        <w:jc w:val="both"/>
        <w:rPr>
          <w:rFonts w:ascii="Arial" w:hAnsi="Arial"/>
          <w:iCs/>
          <w:sz w:val="22"/>
          <w:szCs w:val="22"/>
          <w:lang w:val="fr-FR"/>
        </w:rPr>
      </w:pPr>
      <w:r w:rsidRPr="00523EAC">
        <w:rPr>
          <w:rFonts w:ascii="Arial" w:hAnsi="Arial"/>
          <w:iCs/>
          <w:sz w:val="22"/>
          <w:szCs w:val="22"/>
          <w:lang w:val="fr-FR"/>
        </w:rPr>
        <w:t>Lorsqu’il s’agit d’obligations avec bons de souscription d’action (OBSA), l’emprunt obligataire est comptabilisé selon les règles générales. La contrepartie des bons n’est pas constatée</w:t>
      </w:r>
      <w:r w:rsidR="0053250C" w:rsidRPr="00523EAC">
        <w:rPr>
          <w:rFonts w:ascii="Arial" w:hAnsi="Arial"/>
          <w:iCs/>
          <w:sz w:val="22"/>
          <w:szCs w:val="22"/>
          <w:lang w:val="fr-FR"/>
        </w:rPr>
        <w:t xml:space="preserve"> par l’émetteur.</w:t>
      </w:r>
      <w:r w:rsidR="00523EAC" w:rsidRPr="00523EAC">
        <w:rPr>
          <w:rFonts w:ascii="Arial" w:hAnsi="Arial"/>
          <w:iCs/>
          <w:sz w:val="22"/>
          <w:szCs w:val="22"/>
          <w:lang w:val="fr-FR"/>
        </w:rPr>
        <w:t xml:space="preserve"> </w:t>
      </w:r>
      <w:proofErr w:type="gramStart"/>
      <w:r w:rsidR="00523EAC" w:rsidRPr="00523EAC">
        <w:rPr>
          <w:rFonts w:ascii="Arial" w:hAnsi="Arial"/>
          <w:iCs/>
          <w:sz w:val="22"/>
          <w:szCs w:val="22"/>
          <w:lang w:val="fr-FR"/>
        </w:rPr>
        <w:t>Par contre</w:t>
      </w:r>
      <w:proofErr w:type="gramEnd"/>
      <w:r w:rsidR="00523EAC" w:rsidRPr="00523EAC">
        <w:rPr>
          <w:rFonts w:ascii="Arial" w:hAnsi="Arial"/>
          <w:iCs/>
          <w:sz w:val="22"/>
          <w:szCs w:val="22"/>
          <w:lang w:val="fr-FR"/>
        </w:rPr>
        <w:t>, l’investisseur a bien deux titres : une obligation et un bon.</w:t>
      </w:r>
    </w:p>
    <w:p w14:paraId="771A4ACD" w14:textId="77777777" w:rsidR="0053250C" w:rsidRPr="00A619A0" w:rsidRDefault="0053250C" w:rsidP="006076E2">
      <w:pPr>
        <w:rPr>
          <w:rFonts w:ascii="Arial" w:hAnsi="Arial" w:cs="TimesNewRoman"/>
          <w:i/>
          <w:sz w:val="22"/>
          <w:szCs w:val="22"/>
          <w:lang w:val="fr-FR"/>
        </w:rPr>
      </w:pPr>
    </w:p>
    <w:p w14:paraId="02B5A088" w14:textId="77777777" w:rsidR="000E2BC7" w:rsidRPr="00A619A0" w:rsidRDefault="000E2BC7" w:rsidP="00076A77">
      <w:pPr>
        <w:jc w:val="both"/>
        <w:rPr>
          <w:rFonts w:ascii="Arial" w:hAnsi="Arial"/>
          <w:i/>
          <w:color w:val="FF0000"/>
          <w:sz w:val="22"/>
          <w:szCs w:val="22"/>
          <w:lang w:val="fr-FR"/>
        </w:rPr>
      </w:pPr>
    </w:p>
    <w:p w14:paraId="6EA15918" w14:textId="548216F5" w:rsidR="008D1FEF" w:rsidRPr="00A619A0" w:rsidRDefault="008D1FEF" w:rsidP="00076A77">
      <w:pPr>
        <w:jc w:val="both"/>
        <w:rPr>
          <w:rFonts w:ascii="Arial" w:hAnsi="Arial"/>
          <w:b/>
          <w:sz w:val="22"/>
          <w:szCs w:val="22"/>
          <w:lang w:val="fr-FR"/>
        </w:rPr>
      </w:pPr>
      <w:r w:rsidRPr="00A619A0">
        <w:rPr>
          <w:rFonts w:ascii="Arial" w:hAnsi="Arial"/>
          <w:b/>
          <w:sz w:val="22"/>
          <w:szCs w:val="22"/>
          <w:lang w:val="fr-FR"/>
        </w:rPr>
        <w:t xml:space="preserve">IV-2 </w:t>
      </w:r>
      <w:r w:rsidR="00573213">
        <w:rPr>
          <w:rFonts w:ascii="Arial" w:hAnsi="Arial"/>
          <w:b/>
          <w:sz w:val="22"/>
          <w:szCs w:val="22"/>
          <w:lang w:val="fr-FR"/>
        </w:rPr>
        <w:t>ÉCRITURES COMPTABLES</w:t>
      </w:r>
    </w:p>
    <w:p w14:paraId="69E9C690" w14:textId="45349635" w:rsidR="00751A32" w:rsidRPr="00A619A0" w:rsidRDefault="008D1FEF">
      <w:pPr>
        <w:jc w:val="both"/>
        <w:rPr>
          <w:rFonts w:ascii="Arial" w:hAnsi="Arial"/>
          <w:b/>
          <w:sz w:val="22"/>
          <w:lang w:val="fr-FR"/>
        </w:rPr>
      </w:pPr>
      <w:r w:rsidRPr="00A619A0">
        <w:rPr>
          <w:rFonts w:ascii="Arial" w:hAnsi="Arial"/>
          <w:b/>
          <w:sz w:val="22"/>
          <w:lang w:val="fr-FR"/>
        </w:rPr>
        <w:t>A) Émission de l’emprunt</w:t>
      </w:r>
    </w:p>
    <w:p w14:paraId="54C84840" w14:textId="6A022063" w:rsidR="008D1FEF" w:rsidRPr="00A619A0" w:rsidRDefault="008D1FEF">
      <w:pPr>
        <w:jc w:val="both"/>
        <w:rPr>
          <w:rFonts w:ascii="Arial" w:hAnsi="Arial"/>
          <w:sz w:val="22"/>
          <w:lang w:val="fr-FR"/>
        </w:rPr>
      </w:pPr>
      <w:r w:rsidRPr="00A619A0">
        <w:rPr>
          <w:rFonts w:ascii="Arial" w:hAnsi="Arial"/>
          <w:sz w:val="22"/>
          <w:lang w:val="fr-FR"/>
        </w:rPr>
        <w:t>L’enregistrement de l’emprunt obligataire ordinaire est simple : débit d’un compte de trésorerie et crédit d’un compte de dette.</w:t>
      </w:r>
    </w:p>
    <w:p w14:paraId="6E87C79F" w14:textId="77777777" w:rsidR="008D1FEF" w:rsidRPr="00A619A0" w:rsidRDefault="008D1FEF">
      <w:pPr>
        <w:jc w:val="both"/>
        <w:rPr>
          <w:rFonts w:ascii="Arial" w:hAnsi="Arial"/>
          <w:sz w:val="22"/>
          <w:lang w:val="fr-FR"/>
        </w:rPr>
      </w:pPr>
    </w:p>
    <w:p w14:paraId="0D735383" w14:textId="19DABBC5" w:rsidR="008D1FEF" w:rsidRPr="00A619A0" w:rsidRDefault="008D1FEF">
      <w:pPr>
        <w:jc w:val="both"/>
        <w:rPr>
          <w:rFonts w:ascii="Arial" w:hAnsi="Arial"/>
          <w:sz w:val="22"/>
          <w:lang w:val="fr-FR"/>
        </w:rPr>
      </w:pPr>
      <w:r w:rsidRPr="00A619A0">
        <w:rPr>
          <w:rFonts w:ascii="Arial" w:hAnsi="Arial"/>
          <w:sz w:val="22"/>
          <w:lang w:val="fr-FR"/>
        </w:rPr>
        <w:t>Pour l’emprunt avec prime de remboursement, le montant de l’engagement au passif est enregistré en valeur de remboursement. La prime apparaît à l’actif !</w:t>
      </w:r>
    </w:p>
    <w:p w14:paraId="776222F2" w14:textId="162B019B" w:rsidR="008D1FEF" w:rsidRPr="00A619A0" w:rsidRDefault="008D1FEF">
      <w:pPr>
        <w:jc w:val="both"/>
        <w:rPr>
          <w:rFonts w:ascii="Arial" w:hAnsi="Arial"/>
          <w:sz w:val="22"/>
          <w:lang w:val="fr-FR"/>
        </w:rPr>
      </w:pPr>
      <w:r w:rsidRPr="00A619A0">
        <w:rPr>
          <w:rFonts w:ascii="Arial" w:hAnsi="Arial"/>
          <w:sz w:val="22"/>
          <w:lang w:val="fr-FR"/>
        </w:rPr>
        <w:t>En effet, son montant, appelé à diminuer, doit être amorti, ce qui n’est possible que pour les actifs !!</w:t>
      </w:r>
    </w:p>
    <w:p w14:paraId="5C9B5741" w14:textId="77777777" w:rsidR="008D1FEF" w:rsidRPr="00A619A0" w:rsidRDefault="008D1FEF">
      <w:pPr>
        <w:jc w:val="both"/>
        <w:rPr>
          <w:rFonts w:ascii="Arial" w:hAnsi="Arial"/>
          <w:sz w:val="22"/>
          <w:lang w:val="fr-FR"/>
        </w:rPr>
      </w:pPr>
    </w:p>
    <w:p w14:paraId="79D0D3AA" w14:textId="29A82368" w:rsidR="00174C3B" w:rsidRPr="00A619A0" w:rsidRDefault="00FE5BA8">
      <w:pPr>
        <w:jc w:val="both"/>
        <w:rPr>
          <w:rFonts w:ascii="Arial" w:hAnsi="Arial" w:cs="Arial"/>
          <w:sz w:val="22"/>
          <w:szCs w:val="22"/>
          <w:lang w:val="fr-FR"/>
        </w:rPr>
      </w:pPr>
      <w:r w:rsidRPr="00A619A0">
        <w:rPr>
          <w:rFonts w:ascii="Arial" w:hAnsi="Arial"/>
          <w:sz w:val="22"/>
          <w:lang w:val="fr-FR"/>
        </w:rPr>
        <w:t>Exemple d'un emprunt de 4</w:t>
      </w:r>
      <w:r w:rsidR="00174C3B" w:rsidRPr="00A619A0">
        <w:rPr>
          <w:rFonts w:ascii="Arial" w:hAnsi="Arial"/>
          <w:sz w:val="22"/>
          <w:lang w:val="fr-FR"/>
        </w:rPr>
        <w:t>0 000 obligations, nomi</w:t>
      </w:r>
      <w:r w:rsidRPr="00A619A0">
        <w:rPr>
          <w:rFonts w:ascii="Arial" w:hAnsi="Arial"/>
          <w:sz w:val="22"/>
          <w:lang w:val="fr-FR"/>
        </w:rPr>
        <w:t>nal 1 000 €, intérêt 5</w:t>
      </w:r>
      <w:r w:rsidR="00B1491D" w:rsidRPr="00A619A0">
        <w:rPr>
          <w:rFonts w:ascii="Arial" w:hAnsi="Arial"/>
          <w:sz w:val="22"/>
          <w:lang w:val="fr-FR"/>
        </w:rPr>
        <w:t>,35</w:t>
      </w:r>
      <w:r w:rsidRPr="00A619A0">
        <w:rPr>
          <w:rFonts w:ascii="Arial" w:hAnsi="Arial"/>
          <w:sz w:val="22"/>
          <w:lang w:val="fr-FR"/>
        </w:rPr>
        <w:t xml:space="preserve">%, durée 6 ans, </w:t>
      </w:r>
      <w:r w:rsidR="00DD008C" w:rsidRPr="00A619A0">
        <w:rPr>
          <w:rFonts w:ascii="Arial" w:hAnsi="Arial" w:cs="Arial"/>
          <w:sz w:val="22"/>
          <w:szCs w:val="22"/>
          <w:lang w:val="fr-FR"/>
        </w:rPr>
        <w:t>émission à 998 €</w:t>
      </w:r>
      <w:r w:rsidRPr="00A619A0">
        <w:rPr>
          <w:rFonts w:ascii="Arial" w:hAnsi="Arial" w:cs="Arial"/>
          <w:sz w:val="22"/>
          <w:szCs w:val="22"/>
          <w:lang w:val="fr-FR"/>
        </w:rPr>
        <w:t xml:space="preserve"> et remboursement 1 002 €</w:t>
      </w:r>
      <w:r w:rsidR="00174C3B" w:rsidRPr="00A619A0">
        <w:rPr>
          <w:rFonts w:ascii="Arial" w:hAnsi="Arial" w:cs="Arial"/>
          <w:sz w:val="22"/>
          <w:szCs w:val="22"/>
          <w:lang w:val="fr-FR"/>
        </w:rPr>
        <w:t>. L'an</w:t>
      </w:r>
      <w:r w:rsidRPr="00A619A0">
        <w:rPr>
          <w:rFonts w:ascii="Arial" w:hAnsi="Arial" w:cs="Arial"/>
          <w:sz w:val="22"/>
          <w:szCs w:val="22"/>
          <w:lang w:val="fr-FR"/>
        </w:rPr>
        <w:t xml:space="preserve">nuité théorique </w:t>
      </w:r>
      <w:r w:rsidR="008242A7" w:rsidRPr="00A619A0">
        <w:rPr>
          <w:rFonts w:ascii="Arial" w:hAnsi="Arial" w:cs="Arial"/>
          <w:sz w:val="22"/>
          <w:szCs w:val="22"/>
          <w:lang w:val="fr-FR"/>
        </w:rPr>
        <w:t xml:space="preserve">de l’emprunt indivis </w:t>
      </w:r>
      <w:r w:rsidRPr="00A619A0">
        <w:rPr>
          <w:rFonts w:ascii="Arial" w:hAnsi="Arial" w:cs="Arial"/>
          <w:sz w:val="22"/>
          <w:szCs w:val="22"/>
          <w:lang w:val="fr-FR"/>
        </w:rPr>
        <w:t xml:space="preserve">est 7 982 354,95 </w:t>
      </w:r>
      <w:r w:rsidR="00174C3B" w:rsidRPr="00A619A0">
        <w:rPr>
          <w:rFonts w:ascii="Arial" w:hAnsi="Arial" w:cs="Arial"/>
          <w:sz w:val="22"/>
          <w:szCs w:val="22"/>
          <w:lang w:val="fr-FR"/>
        </w:rPr>
        <w:t>€.</w:t>
      </w:r>
    </w:p>
    <w:p w14:paraId="6C2BEBB2" w14:textId="0AE961F1" w:rsidR="00174C3B" w:rsidRPr="00A619A0" w:rsidRDefault="00174C3B">
      <w:pPr>
        <w:jc w:val="both"/>
        <w:rPr>
          <w:rFonts w:ascii="Arial" w:hAnsi="Arial"/>
          <w:sz w:val="22"/>
          <w:lang w:val="fr-FR"/>
        </w:rPr>
      </w:pPr>
    </w:p>
    <w:p w14:paraId="365F0ABB" w14:textId="187202D2" w:rsidR="008D1FEF" w:rsidRDefault="008D1FEF">
      <w:pPr>
        <w:jc w:val="both"/>
        <w:rPr>
          <w:rFonts w:ascii="Arial" w:hAnsi="Arial"/>
          <w:sz w:val="22"/>
          <w:lang w:val="fr-FR"/>
        </w:rPr>
      </w:pPr>
    </w:p>
    <w:p w14:paraId="68E2E96F" w14:textId="77777777" w:rsidR="00F41BCC" w:rsidRPr="00A619A0" w:rsidRDefault="00F41BCC">
      <w:pPr>
        <w:jc w:val="both"/>
        <w:rPr>
          <w:rFonts w:ascii="Arial" w:hAnsi="Arial"/>
          <w:sz w:val="22"/>
          <w:lang w:val="fr-FR"/>
        </w:rPr>
      </w:pPr>
    </w:p>
    <w:tbl>
      <w:tblPr>
        <w:tblW w:w="9612" w:type="dxa"/>
        <w:tblLayout w:type="fixed"/>
        <w:tblCellMar>
          <w:left w:w="80" w:type="dxa"/>
          <w:right w:w="80" w:type="dxa"/>
        </w:tblCellMar>
        <w:tblLook w:val="0000" w:firstRow="0" w:lastRow="0" w:firstColumn="0" w:lastColumn="0" w:noHBand="0" w:noVBand="0"/>
      </w:tblPr>
      <w:tblGrid>
        <w:gridCol w:w="1498"/>
        <w:gridCol w:w="3969"/>
        <w:gridCol w:w="2072"/>
        <w:gridCol w:w="2073"/>
      </w:tblGrid>
      <w:tr w:rsidR="00174C3B" w:rsidRPr="00A619A0" w14:paraId="6A94F48C" w14:textId="77777777">
        <w:tc>
          <w:tcPr>
            <w:tcW w:w="1498" w:type="dxa"/>
            <w:tcBorders>
              <w:top w:val="single" w:sz="6" w:space="0" w:color="auto"/>
              <w:left w:val="single" w:sz="6" w:space="0" w:color="auto"/>
              <w:bottom w:val="single" w:sz="6" w:space="0" w:color="auto"/>
              <w:right w:val="single" w:sz="6" w:space="0" w:color="auto"/>
            </w:tcBorders>
          </w:tcPr>
          <w:p w14:paraId="6BFDF6CF" w14:textId="77777777" w:rsidR="00174C3B" w:rsidRPr="00A619A0" w:rsidRDefault="00174C3B">
            <w:pPr>
              <w:jc w:val="center"/>
              <w:rPr>
                <w:rFonts w:ascii="Arial" w:hAnsi="Arial"/>
                <w:b/>
                <w:sz w:val="22"/>
                <w:lang w:val="fr-FR"/>
              </w:rPr>
            </w:pPr>
            <w:r w:rsidRPr="00A619A0">
              <w:rPr>
                <w:rFonts w:ascii="Arial" w:hAnsi="Arial"/>
                <w:b/>
                <w:sz w:val="22"/>
                <w:lang w:val="fr-FR"/>
              </w:rPr>
              <w:lastRenderedPageBreak/>
              <w:t>N° compte</w:t>
            </w:r>
          </w:p>
        </w:tc>
        <w:tc>
          <w:tcPr>
            <w:tcW w:w="3969" w:type="dxa"/>
            <w:tcBorders>
              <w:top w:val="single" w:sz="6" w:space="0" w:color="auto"/>
              <w:left w:val="single" w:sz="6" w:space="0" w:color="auto"/>
              <w:bottom w:val="single" w:sz="6" w:space="0" w:color="auto"/>
              <w:right w:val="single" w:sz="6" w:space="0" w:color="auto"/>
            </w:tcBorders>
          </w:tcPr>
          <w:p w14:paraId="08F259D0" w14:textId="77777777" w:rsidR="00174C3B" w:rsidRPr="00A619A0" w:rsidRDefault="00174C3B">
            <w:pPr>
              <w:jc w:val="center"/>
              <w:rPr>
                <w:rFonts w:ascii="Arial" w:hAnsi="Arial"/>
                <w:b/>
                <w:sz w:val="22"/>
                <w:lang w:val="fr-FR"/>
              </w:rPr>
            </w:pPr>
            <w:proofErr w:type="gramStart"/>
            <w:r w:rsidRPr="00A619A0">
              <w:rPr>
                <w:rFonts w:ascii="Arial" w:hAnsi="Arial"/>
                <w:b/>
                <w:sz w:val="22"/>
                <w:lang w:val="fr-FR"/>
              </w:rPr>
              <w:t>nom</w:t>
            </w:r>
            <w:proofErr w:type="gramEnd"/>
            <w:r w:rsidRPr="00A619A0">
              <w:rPr>
                <w:rFonts w:ascii="Arial" w:hAnsi="Arial"/>
                <w:b/>
                <w:sz w:val="22"/>
                <w:lang w:val="fr-FR"/>
              </w:rPr>
              <w:t xml:space="preserve"> compte</w:t>
            </w:r>
          </w:p>
        </w:tc>
        <w:tc>
          <w:tcPr>
            <w:tcW w:w="2072" w:type="dxa"/>
            <w:tcBorders>
              <w:top w:val="single" w:sz="6" w:space="0" w:color="auto"/>
              <w:left w:val="single" w:sz="6" w:space="0" w:color="auto"/>
              <w:bottom w:val="single" w:sz="6" w:space="0" w:color="auto"/>
              <w:right w:val="single" w:sz="6" w:space="0" w:color="auto"/>
            </w:tcBorders>
          </w:tcPr>
          <w:p w14:paraId="546C48B8" w14:textId="77777777" w:rsidR="00174C3B" w:rsidRPr="00A619A0" w:rsidRDefault="00174C3B">
            <w:pPr>
              <w:jc w:val="center"/>
              <w:rPr>
                <w:rFonts w:ascii="Arial" w:hAnsi="Arial"/>
                <w:b/>
                <w:sz w:val="22"/>
                <w:lang w:val="fr-FR"/>
              </w:rPr>
            </w:pPr>
            <w:proofErr w:type="gramStart"/>
            <w:r w:rsidRPr="00A619A0">
              <w:rPr>
                <w:rFonts w:ascii="Arial" w:hAnsi="Arial"/>
                <w:b/>
                <w:sz w:val="22"/>
                <w:lang w:val="fr-FR"/>
              </w:rPr>
              <w:t>débit</w:t>
            </w:r>
            <w:proofErr w:type="gramEnd"/>
          </w:p>
        </w:tc>
        <w:tc>
          <w:tcPr>
            <w:tcW w:w="2073" w:type="dxa"/>
            <w:tcBorders>
              <w:top w:val="single" w:sz="6" w:space="0" w:color="auto"/>
              <w:left w:val="single" w:sz="6" w:space="0" w:color="auto"/>
              <w:bottom w:val="single" w:sz="6" w:space="0" w:color="auto"/>
              <w:right w:val="single" w:sz="6" w:space="0" w:color="auto"/>
            </w:tcBorders>
          </w:tcPr>
          <w:p w14:paraId="592E919C" w14:textId="77777777" w:rsidR="00174C3B" w:rsidRPr="00A619A0" w:rsidRDefault="00174C3B">
            <w:pPr>
              <w:jc w:val="center"/>
              <w:rPr>
                <w:rFonts w:ascii="Arial" w:hAnsi="Arial"/>
                <w:b/>
                <w:sz w:val="22"/>
                <w:lang w:val="fr-FR"/>
              </w:rPr>
            </w:pPr>
            <w:proofErr w:type="gramStart"/>
            <w:r w:rsidRPr="00A619A0">
              <w:rPr>
                <w:rFonts w:ascii="Arial" w:hAnsi="Arial"/>
                <w:b/>
                <w:sz w:val="22"/>
                <w:lang w:val="fr-FR"/>
              </w:rPr>
              <w:t>crédit</w:t>
            </w:r>
            <w:proofErr w:type="gramEnd"/>
          </w:p>
        </w:tc>
      </w:tr>
      <w:tr w:rsidR="00174C3B" w:rsidRPr="00A619A0" w14:paraId="616C9D50" w14:textId="77777777">
        <w:tc>
          <w:tcPr>
            <w:tcW w:w="1498" w:type="dxa"/>
            <w:tcBorders>
              <w:top w:val="single" w:sz="6" w:space="0" w:color="auto"/>
              <w:left w:val="single" w:sz="6" w:space="0" w:color="auto"/>
              <w:bottom w:val="single" w:sz="6" w:space="0" w:color="auto"/>
              <w:right w:val="single" w:sz="6" w:space="0" w:color="auto"/>
            </w:tcBorders>
          </w:tcPr>
          <w:p w14:paraId="6F7687C2" w14:textId="77777777" w:rsidR="00174C3B" w:rsidRPr="00F41BCC" w:rsidRDefault="00174C3B">
            <w:pPr>
              <w:jc w:val="center"/>
              <w:rPr>
                <w:rFonts w:ascii="Arial" w:hAnsi="Arial"/>
                <w:sz w:val="20"/>
                <w:szCs w:val="20"/>
                <w:lang w:val="fr-FR"/>
              </w:rPr>
            </w:pPr>
            <w:r w:rsidRPr="00F41BCC">
              <w:rPr>
                <w:rFonts w:ascii="Arial" w:hAnsi="Arial"/>
                <w:sz w:val="20"/>
                <w:szCs w:val="20"/>
                <w:lang w:val="fr-FR"/>
              </w:rPr>
              <w:t>5XX</w:t>
            </w:r>
          </w:p>
          <w:p w14:paraId="314302B5" w14:textId="77777777" w:rsidR="00174C3B" w:rsidRPr="00F41BCC" w:rsidRDefault="00174C3B">
            <w:pPr>
              <w:jc w:val="center"/>
              <w:rPr>
                <w:rFonts w:ascii="Arial" w:hAnsi="Arial"/>
                <w:sz w:val="20"/>
                <w:szCs w:val="20"/>
                <w:lang w:val="fr-FR"/>
              </w:rPr>
            </w:pPr>
            <w:r w:rsidRPr="00F41BCC">
              <w:rPr>
                <w:rFonts w:ascii="Arial" w:hAnsi="Arial"/>
                <w:sz w:val="20"/>
                <w:szCs w:val="20"/>
                <w:lang w:val="fr-FR"/>
              </w:rPr>
              <w:t>169</w:t>
            </w:r>
          </w:p>
          <w:p w14:paraId="72CB9C83" w14:textId="77777777" w:rsidR="00174C3B" w:rsidRPr="00F41BCC" w:rsidRDefault="00174C3B">
            <w:pPr>
              <w:jc w:val="center"/>
              <w:rPr>
                <w:rFonts w:ascii="Arial" w:hAnsi="Arial"/>
                <w:sz w:val="20"/>
                <w:szCs w:val="20"/>
                <w:lang w:val="fr-FR"/>
              </w:rPr>
            </w:pPr>
            <w:r w:rsidRPr="00F41BCC">
              <w:rPr>
                <w:rFonts w:ascii="Arial" w:hAnsi="Arial"/>
                <w:sz w:val="20"/>
                <w:szCs w:val="20"/>
                <w:lang w:val="fr-FR"/>
              </w:rPr>
              <w:t>16X</w:t>
            </w:r>
          </w:p>
        </w:tc>
        <w:tc>
          <w:tcPr>
            <w:tcW w:w="3969" w:type="dxa"/>
            <w:tcBorders>
              <w:top w:val="single" w:sz="6" w:space="0" w:color="auto"/>
              <w:left w:val="single" w:sz="6" w:space="0" w:color="auto"/>
              <w:bottom w:val="single" w:sz="6" w:space="0" w:color="auto"/>
              <w:right w:val="single" w:sz="6" w:space="0" w:color="auto"/>
            </w:tcBorders>
          </w:tcPr>
          <w:p w14:paraId="084047BA" w14:textId="77777777" w:rsidR="00174C3B" w:rsidRPr="00F41BCC" w:rsidRDefault="00174C3B">
            <w:pPr>
              <w:jc w:val="both"/>
              <w:rPr>
                <w:rFonts w:ascii="Arial" w:hAnsi="Arial"/>
                <w:sz w:val="20"/>
                <w:szCs w:val="20"/>
                <w:lang w:val="fr-FR"/>
              </w:rPr>
            </w:pPr>
            <w:proofErr w:type="gramStart"/>
            <w:r w:rsidRPr="00F41BCC">
              <w:rPr>
                <w:rFonts w:ascii="Arial" w:hAnsi="Arial"/>
                <w:sz w:val="20"/>
                <w:szCs w:val="20"/>
                <w:lang w:val="fr-FR"/>
              </w:rPr>
              <w:t>disponibilités</w:t>
            </w:r>
            <w:proofErr w:type="gramEnd"/>
          </w:p>
          <w:p w14:paraId="250C610C" w14:textId="77777777" w:rsidR="00174C3B" w:rsidRPr="00F41BCC" w:rsidRDefault="00174C3B">
            <w:pPr>
              <w:jc w:val="both"/>
              <w:rPr>
                <w:rFonts w:ascii="Arial" w:hAnsi="Arial"/>
                <w:sz w:val="20"/>
                <w:szCs w:val="20"/>
                <w:lang w:val="fr-FR"/>
              </w:rPr>
            </w:pPr>
            <w:proofErr w:type="gramStart"/>
            <w:r w:rsidRPr="00F41BCC">
              <w:rPr>
                <w:rFonts w:ascii="Arial" w:hAnsi="Arial"/>
                <w:sz w:val="20"/>
                <w:szCs w:val="20"/>
                <w:lang w:val="fr-FR"/>
              </w:rPr>
              <w:t>prime</w:t>
            </w:r>
            <w:proofErr w:type="gramEnd"/>
            <w:r w:rsidRPr="00F41BCC">
              <w:rPr>
                <w:rFonts w:ascii="Arial" w:hAnsi="Arial"/>
                <w:sz w:val="20"/>
                <w:szCs w:val="20"/>
                <w:lang w:val="fr-FR"/>
              </w:rPr>
              <w:t xml:space="preserve"> de remboursement</w:t>
            </w:r>
          </w:p>
          <w:p w14:paraId="66F3BEDB" w14:textId="77777777" w:rsidR="00174C3B" w:rsidRPr="00F41BCC" w:rsidRDefault="00174C3B">
            <w:pPr>
              <w:jc w:val="both"/>
              <w:rPr>
                <w:rFonts w:ascii="Arial" w:hAnsi="Arial"/>
                <w:sz w:val="20"/>
                <w:szCs w:val="20"/>
                <w:lang w:val="fr-FR"/>
              </w:rPr>
            </w:pPr>
            <w:proofErr w:type="gramStart"/>
            <w:r w:rsidRPr="00F41BCC">
              <w:rPr>
                <w:rFonts w:ascii="Arial" w:hAnsi="Arial"/>
                <w:sz w:val="20"/>
                <w:szCs w:val="20"/>
                <w:lang w:val="fr-FR"/>
              </w:rPr>
              <w:t>emprunt</w:t>
            </w:r>
            <w:proofErr w:type="gramEnd"/>
            <w:r w:rsidRPr="00F41BCC">
              <w:rPr>
                <w:rFonts w:ascii="Arial" w:hAnsi="Arial"/>
                <w:sz w:val="20"/>
                <w:szCs w:val="20"/>
                <w:lang w:val="fr-FR"/>
              </w:rPr>
              <w:t xml:space="preserve"> obligataire</w:t>
            </w:r>
          </w:p>
        </w:tc>
        <w:tc>
          <w:tcPr>
            <w:tcW w:w="2072" w:type="dxa"/>
            <w:tcBorders>
              <w:top w:val="single" w:sz="6" w:space="0" w:color="auto"/>
              <w:left w:val="single" w:sz="6" w:space="0" w:color="auto"/>
              <w:bottom w:val="single" w:sz="6" w:space="0" w:color="auto"/>
              <w:right w:val="single" w:sz="6" w:space="0" w:color="auto"/>
            </w:tcBorders>
          </w:tcPr>
          <w:p w14:paraId="2FEDCBEC" w14:textId="77777777" w:rsidR="00174C3B" w:rsidRPr="00F41BCC" w:rsidRDefault="00FD21DA">
            <w:pPr>
              <w:jc w:val="right"/>
              <w:rPr>
                <w:rFonts w:ascii="Arial" w:hAnsi="Arial"/>
                <w:sz w:val="20"/>
                <w:szCs w:val="20"/>
                <w:lang w:val="fr-FR"/>
              </w:rPr>
            </w:pPr>
            <w:r w:rsidRPr="00F41BCC">
              <w:rPr>
                <w:rFonts w:ascii="Arial" w:hAnsi="Arial"/>
                <w:sz w:val="20"/>
                <w:szCs w:val="20"/>
                <w:lang w:val="fr-FR"/>
              </w:rPr>
              <w:t>39 920</w:t>
            </w:r>
            <w:r w:rsidR="00174C3B" w:rsidRPr="00F41BCC">
              <w:rPr>
                <w:rFonts w:ascii="Arial" w:hAnsi="Arial"/>
                <w:sz w:val="20"/>
                <w:szCs w:val="20"/>
                <w:lang w:val="fr-FR"/>
              </w:rPr>
              <w:t xml:space="preserve"> 000</w:t>
            </w:r>
          </w:p>
          <w:p w14:paraId="50B4F9F2" w14:textId="77777777" w:rsidR="00174C3B" w:rsidRPr="00F41BCC" w:rsidRDefault="00FD21DA">
            <w:pPr>
              <w:jc w:val="right"/>
              <w:rPr>
                <w:rFonts w:ascii="Arial" w:hAnsi="Arial"/>
                <w:sz w:val="20"/>
                <w:szCs w:val="20"/>
                <w:lang w:val="fr-FR"/>
              </w:rPr>
            </w:pPr>
            <w:r w:rsidRPr="00F41BCC">
              <w:rPr>
                <w:rFonts w:ascii="Arial" w:hAnsi="Arial"/>
                <w:sz w:val="20"/>
                <w:szCs w:val="20"/>
                <w:lang w:val="fr-FR"/>
              </w:rPr>
              <w:t>16</w:t>
            </w:r>
            <w:r w:rsidR="00174C3B" w:rsidRPr="00F41BCC">
              <w:rPr>
                <w:rFonts w:ascii="Arial" w:hAnsi="Arial"/>
                <w:sz w:val="20"/>
                <w:szCs w:val="20"/>
                <w:lang w:val="fr-FR"/>
              </w:rPr>
              <w:t>0 000</w:t>
            </w:r>
          </w:p>
        </w:tc>
        <w:tc>
          <w:tcPr>
            <w:tcW w:w="2073" w:type="dxa"/>
            <w:tcBorders>
              <w:top w:val="single" w:sz="6" w:space="0" w:color="auto"/>
              <w:left w:val="single" w:sz="6" w:space="0" w:color="auto"/>
              <w:bottom w:val="single" w:sz="6" w:space="0" w:color="auto"/>
              <w:right w:val="single" w:sz="6" w:space="0" w:color="auto"/>
            </w:tcBorders>
          </w:tcPr>
          <w:p w14:paraId="49E59141" w14:textId="77777777" w:rsidR="00174C3B" w:rsidRPr="00F41BCC" w:rsidRDefault="00174C3B">
            <w:pPr>
              <w:jc w:val="right"/>
              <w:rPr>
                <w:rFonts w:ascii="Arial" w:hAnsi="Arial"/>
                <w:sz w:val="20"/>
                <w:szCs w:val="20"/>
                <w:lang w:val="fr-FR"/>
              </w:rPr>
            </w:pPr>
          </w:p>
          <w:p w14:paraId="07024A60" w14:textId="77777777" w:rsidR="00174C3B" w:rsidRPr="00F41BCC" w:rsidRDefault="00174C3B">
            <w:pPr>
              <w:jc w:val="right"/>
              <w:rPr>
                <w:rFonts w:ascii="Arial" w:hAnsi="Arial"/>
                <w:sz w:val="20"/>
                <w:szCs w:val="20"/>
                <w:lang w:val="fr-FR"/>
              </w:rPr>
            </w:pPr>
          </w:p>
          <w:p w14:paraId="7DEBFD98" w14:textId="77777777" w:rsidR="00174C3B" w:rsidRPr="00F41BCC" w:rsidRDefault="00FE5BA8">
            <w:pPr>
              <w:jc w:val="right"/>
              <w:rPr>
                <w:rFonts w:ascii="Arial" w:hAnsi="Arial"/>
                <w:sz w:val="20"/>
                <w:szCs w:val="20"/>
                <w:lang w:val="fr-FR"/>
              </w:rPr>
            </w:pPr>
            <w:r w:rsidRPr="00F41BCC">
              <w:rPr>
                <w:rFonts w:ascii="Arial" w:hAnsi="Arial"/>
                <w:sz w:val="20"/>
                <w:szCs w:val="20"/>
                <w:lang w:val="fr-FR"/>
              </w:rPr>
              <w:t>40 08</w:t>
            </w:r>
            <w:r w:rsidR="00174C3B" w:rsidRPr="00F41BCC">
              <w:rPr>
                <w:rFonts w:ascii="Arial" w:hAnsi="Arial"/>
                <w:sz w:val="20"/>
                <w:szCs w:val="20"/>
                <w:lang w:val="fr-FR"/>
              </w:rPr>
              <w:t>0 000</w:t>
            </w:r>
          </w:p>
        </w:tc>
      </w:tr>
    </w:tbl>
    <w:p w14:paraId="1EDBF1E3" w14:textId="77777777" w:rsidR="00174C3B" w:rsidRPr="00A619A0" w:rsidRDefault="00174C3B">
      <w:pPr>
        <w:jc w:val="both"/>
        <w:rPr>
          <w:rFonts w:ascii="Arial" w:hAnsi="Arial"/>
          <w:sz w:val="20"/>
          <w:lang w:val="fr-FR"/>
        </w:rPr>
      </w:pPr>
    </w:p>
    <w:p w14:paraId="76DB538C" w14:textId="4495FDAF" w:rsidR="00174C3B" w:rsidRPr="00A619A0" w:rsidRDefault="00B1491D" w:rsidP="006076E2">
      <w:pPr>
        <w:jc w:val="both"/>
        <w:rPr>
          <w:rFonts w:ascii="Arial" w:hAnsi="Arial"/>
          <w:sz w:val="22"/>
          <w:lang w:val="fr-FR"/>
        </w:rPr>
      </w:pPr>
      <w:r w:rsidRPr="00A619A0">
        <w:rPr>
          <w:rFonts w:ascii="Arial" w:hAnsi="Arial"/>
          <w:sz w:val="22"/>
          <w:lang w:val="fr-FR"/>
        </w:rPr>
        <w:t>L</w:t>
      </w:r>
      <w:r w:rsidR="00174C3B" w:rsidRPr="00A619A0">
        <w:rPr>
          <w:rFonts w:ascii="Arial" w:hAnsi="Arial"/>
          <w:sz w:val="22"/>
          <w:lang w:val="fr-FR"/>
        </w:rPr>
        <w:t>a distinction financière entre prime à l'émission et p</w:t>
      </w:r>
      <w:r w:rsidR="006076E2" w:rsidRPr="00A619A0">
        <w:rPr>
          <w:rFonts w:ascii="Arial" w:hAnsi="Arial"/>
          <w:sz w:val="22"/>
          <w:lang w:val="fr-FR"/>
        </w:rPr>
        <w:t xml:space="preserve">rime au remboursement n'est pas </w:t>
      </w:r>
      <w:r w:rsidR="00174C3B" w:rsidRPr="00A619A0">
        <w:rPr>
          <w:rFonts w:ascii="Arial" w:hAnsi="Arial"/>
          <w:sz w:val="22"/>
          <w:lang w:val="fr-FR"/>
        </w:rPr>
        <w:t>retenue par l'analyse comptable</w:t>
      </w:r>
      <w:r w:rsidR="002E6F8C" w:rsidRPr="00A619A0">
        <w:rPr>
          <w:rFonts w:ascii="Arial" w:hAnsi="Arial"/>
          <w:sz w:val="22"/>
          <w:lang w:val="fr-FR"/>
        </w:rPr>
        <w:t xml:space="preserve"> </w:t>
      </w:r>
      <w:r w:rsidR="00174C3B" w:rsidRPr="00A619A0">
        <w:rPr>
          <w:rFonts w:ascii="Arial" w:hAnsi="Arial"/>
          <w:sz w:val="22"/>
          <w:lang w:val="fr-FR"/>
        </w:rPr>
        <w:t>; seul compte ici le montant total de l'engagement pris par la société émettrice de l'emprunt.</w:t>
      </w:r>
    </w:p>
    <w:p w14:paraId="57212A01" w14:textId="77777777" w:rsidR="00252837" w:rsidRPr="00A619A0" w:rsidRDefault="00252837" w:rsidP="00252837">
      <w:pPr>
        <w:jc w:val="both"/>
        <w:rPr>
          <w:rFonts w:ascii="Arial" w:hAnsi="Arial"/>
          <w:i/>
          <w:sz w:val="22"/>
          <w:lang w:val="fr-FR"/>
        </w:rPr>
      </w:pPr>
    </w:p>
    <w:p w14:paraId="2E5543DA" w14:textId="77777777" w:rsidR="00252837" w:rsidRPr="00F41BCC" w:rsidRDefault="00252837" w:rsidP="00252837">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F41BCC">
        <w:rPr>
          <w:rFonts w:ascii="Arial" w:hAnsi="Arial"/>
          <w:i/>
          <w:sz w:val="20"/>
          <w:szCs w:val="20"/>
          <w:lang w:val="fr-FR"/>
        </w:rPr>
        <w:t>Les emprunts obligataires dont le remboursement est assorti de primes sont comptabilisés a</w:t>
      </w:r>
      <w:r w:rsidR="00B1491D" w:rsidRPr="00F41BCC">
        <w:rPr>
          <w:rFonts w:ascii="Arial" w:hAnsi="Arial"/>
          <w:i/>
          <w:sz w:val="20"/>
          <w:szCs w:val="20"/>
          <w:lang w:val="fr-FR"/>
        </w:rPr>
        <w:t xml:space="preserve">u crédit des comptes 161 ou 163, </w:t>
      </w:r>
      <w:r w:rsidRPr="00F41BCC">
        <w:rPr>
          <w:rFonts w:ascii="Arial" w:hAnsi="Arial"/>
          <w:i/>
          <w:sz w:val="20"/>
          <w:szCs w:val="20"/>
          <w:lang w:val="fr-FR"/>
        </w:rPr>
        <w:t>pour leur valeur totale, primes de remboursement incluses. La contrepartie de ces primes est enregistrée au débit du compte 169 « Primes de remboursement des obligations ».</w:t>
      </w:r>
    </w:p>
    <w:p w14:paraId="1818D3B8" w14:textId="77777777" w:rsidR="00FE5BA8" w:rsidRPr="00F41BCC" w:rsidRDefault="00252837" w:rsidP="00252837">
      <w:pPr>
        <w:pBdr>
          <w:top w:val="single" w:sz="4" w:space="1" w:color="auto"/>
          <w:left w:val="single" w:sz="4" w:space="4" w:color="auto"/>
          <w:bottom w:val="single" w:sz="4" w:space="1" w:color="auto"/>
          <w:right w:val="single" w:sz="4" w:space="4" w:color="auto"/>
        </w:pBdr>
        <w:jc w:val="both"/>
        <w:rPr>
          <w:rFonts w:ascii="Arial" w:hAnsi="Arial"/>
          <w:i/>
          <w:sz w:val="20"/>
          <w:szCs w:val="20"/>
          <w:lang w:val="fr-FR"/>
        </w:rPr>
      </w:pPr>
      <w:r w:rsidRPr="00F41BCC">
        <w:rPr>
          <w:rFonts w:ascii="Arial" w:hAnsi="Arial"/>
          <w:i/>
          <w:sz w:val="20"/>
          <w:szCs w:val="20"/>
          <w:lang w:val="fr-FR"/>
        </w:rPr>
        <w:t>La dotation de l’exercice est inscrite par le débit du compte 6861 « Dotations aux amortissements des primes de remboursement des obligations » au crédit du compte 169</w:t>
      </w:r>
    </w:p>
    <w:p w14:paraId="0B7F054D" w14:textId="77777777" w:rsidR="00174C3B" w:rsidRPr="00F41BCC" w:rsidRDefault="00FE5BA8" w:rsidP="00252837">
      <w:pPr>
        <w:pBdr>
          <w:top w:val="single" w:sz="4" w:space="1" w:color="auto"/>
          <w:left w:val="single" w:sz="4" w:space="4" w:color="auto"/>
          <w:bottom w:val="single" w:sz="4" w:space="1" w:color="auto"/>
          <w:right w:val="single" w:sz="4" w:space="4" w:color="auto"/>
        </w:pBdr>
        <w:jc w:val="both"/>
        <w:rPr>
          <w:rFonts w:ascii="Arial" w:hAnsi="Arial"/>
          <w:sz w:val="20"/>
          <w:szCs w:val="20"/>
          <w:lang w:val="fr-FR"/>
        </w:rPr>
      </w:pPr>
      <w:r w:rsidRPr="00F41BCC">
        <w:rPr>
          <w:rFonts w:ascii="Arial" w:hAnsi="Arial"/>
          <w:i/>
          <w:sz w:val="20"/>
          <w:szCs w:val="20"/>
          <w:lang w:val="fr-FR"/>
        </w:rPr>
        <w:t xml:space="preserve">Source : PCG </w:t>
      </w:r>
      <w:r w:rsidR="00174C3B" w:rsidRPr="00F41BCC">
        <w:rPr>
          <w:rFonts w:ascii="Arial" w:hAnsi="Arial"/>
          <w:sz w:val="20"/>
          <w:szCs w:val="20"/>
          <w:lang w:val="fr-FR"/>
        </w:rPr>
        <w:tab/>
      </w:r>
    </w:p>
    <w:p w14:paraId="22FB0B14" w14:textId="77777777" w:rsidR="00FE5BA8" w:rsidRPr="00A619A0" w:rsidRDefault="00FE5BA8">
      <w:pPr>
        <w:jc w:val="both"/>
        <w:rPr>
          <w:rFonts w:ascii="Arial" w:hAnsi="Arial"/>
          <w:sz w:val="22"/>
          <w:lang w:val="fr-FR"/>
        </w:rPr>
      </w:pPr>
    </w:p>
    <w:p w14:paraId="2036F558" w14:textId="77777777" w:rsidR="00574545" w:rsidRPr="00A619A0" w:rsidRDefault="002A59EF" w:rsidP="002A59EF">
      <w:pPr>
        <w:tabs>
          <w:tab w:val="left" w:pos="1240"/>
        </w:tabs>
        <w:jc w:val="both"/>
        <w:rPr>
          <w:rFonts w:ascii="Arial" w:hAnsi="Arial"/>
          <w:sz w:val="22"/>
          <w:lang w:val="fr-FR"/>
        </w:rPr>
      </w:pPr>
      <w:r w:rsidRPr="00A619A0">
        <w:rPr>
          <w:rFonts w:ascii="Arial" w:hAnsi="Arial"/>
          <w:sz w:val="22"/>
          <w:lang w:val="fr-FR"/>
        </w:rPr>
        <w:t xml:space="preserve">On peut bien évidemment combiner l’obligation convertible </w:t>
      </w:r>
      <w:r w:rsidRPr="00A619A0">
        <w:rPr>
          <w:rFonts w:ascii="Arial" w:hAnsi="Arial"/>
          <w:b/>
          <w:sz w:val="22"/>
          <w:lang w:val="fr-FR"/>
        </w:rPr>
        <w:t>ET</w:t>
      </w:r>
      <w:r w:rsidRPr="00A619A0">
        <w:rPr>
          <w:rFonts w:ascii="Arial" w:hAnsi="Arial"/>
          <w:sz w:val="22"/>
          <w:lang w:val="fr-FR"/>
        </w:rPr>
        <w:t xml:space="preserve"> la prime de remboursement.</w:t>
      </w:r>
    </w:p>
    <w:p w14:paraId="75331017" w14:textId="77777777" w:rsidR="00574545" w:rsidRPr="00A619A0" w:rsidRDefault="00574545" w:rsidP="002A59EF">
      <w:pPr>
        <w:tabs>
          <w:tab w:val="left" w:pos="1240"/>
        </w:tabs>
        <w:jc w:val="both"/>
        <w:rPr>
          <w:rFonts w:ascii="Arial" w:hAnsi="Arial"/>
          <w:sz w:val="22"/>
          <w:lang w:val="fr-FR"/>
        </w:rPr>
      </w:pPr>
    </w:p>
    <w:p w14:paraId="58B779E5" w14:textId="17F543BD" w:rsidR="00574545" w:rsidRPr="00A619A0" w:rsidRDefault="00574545" w:rsidP="002A59EF">
      <w:pPr>
        <w:tabs>
          <w:tab w:val="left" w:pos="1240"/>
        </w:tabs>
        <w:jc w:val="both"/>
        <w:rPr>
          <w:rFonts w:ascii="Arial" w:hAnsi="Arial"/>
          <w:sz w:val="22"/>
          <w:lang w:val="fr-FR"/>
        </w:rPr>
      </w:pPr>
      <w:r w:rsidRPr="00A619A0">
        <w:rPr>
          <w:rFonts w:ascii="Arial" w:hAnsi="Arial"/>
          <w:sz w:val="22"/>
          <w:lang w:val="fr-FR"/>
        </w:rPr>
        <w:t xml:space="preserve">Deux analyses différentes sont </w:t>
      </w:r>
      <w:r w:rsidR="0053250C" w:rsidRPr="00A619A0">
        <w:rPr>
          <w:rFonts w:ascii="Arial" w:hAnsi="Arial"/>
          <w:sz w:val="22"/>
          <w:lang w:val="fr-FR"/>
        </w:rPr>
        <w:t xml:space="preserve">alors </w:t>
      </w:r>
      <w:r w:rsidRPr="00A619A0">
        <w:rPr>
          <w:rFonts w:ascii="Arial" w:hAnsi="Arial"/>
          <w:sz w:val="22"/>
          <w:lang w:val="fr-FR"/>
        </w:rPr>
        <w:t>proposées :</w:t>
      </w:r>
    </w:p>
    <w:p w14:paraId="02E3049A" w14:textId="570E3C44" w:rsidR="00574545" w:rsidRPr="00BC3BC3" w:rsidRDefault="00574545" w:rsidP="00BC3BC3">
      <w:pPr>
        <w:pStyle w:val="Paragraphedeliste"/>
        <w:numPr>
          <w:ilvl w:val="0"/>
          <w:numId w:val="21"/>
        </w:numPr>
        <w:tabs>
          <w:tab w:val="left" w:pos="1240"/>
        </w:tabs>
        <w:jc w:val="both"/>
        <w:rPr>
          <w:rFonts w:ascii="Arial" w:hAnsi="Arial"/>
          <w:sz w:val="22"/>
          <w:lang w:val="fr-FR"/>
        </w:rPr>
      </w:pPr>
      <w:r w:rsidRPr="00BC3BC3">
        <w:rPr>
          <w:rFonts w:ascii="Arial" w:hAnsi="Arial"/>
          <w:sz w:val="22"/>
          <w:lang w:val="fr-FR"/>
        </w:rPr>
        <w:t>Pour la compagnie nationale des commissaires aux comp</w:t>
      </w:r>
      <w:r w:rsidR="00045B09" w:rsidRPr="00BC3BC3">
        <w:rPr>
          <w:rFonts w:ascii="Arial" w:hAnsi="Arial"/>
          <w:sz w:val="22"/>
          <w:lang w:val="fr-FR"/>
        </w:rPr>
        <w:t>tes (CNCC), l’enregistrement peut être</w:t>
      </w:r>
      <w:r w:rsidRPr="00BC3BC3">
        <w:rPr>
          <w:rFonts w:ascii="Arial" w:hAnsi="Arial"/>
          <w:sz w:val="22"/>
          <w:lang w:val="fr-FR"/>
        </w:rPr>
        <w:t xml:space="preserve"> classique : la dette est en valeur de remboursement au passif et la prime apparaît à l’actif où elle sera amortie.</w:t>
      </w:r>
    </w:p>
    <w:p w14:paraId="1CF6496F" w14:textId="77777777" w:rsidR="00574545" w:rsidRPr="00A619A0" w:rsidRDefault="00574545" w:rsidP="00574545">
      <w:pPr>
        <w:tabs>
          <w:tab w:val="left" w:pos="1240"/>
        </w:tabs>
        <w:jc w:val="both"/>
        <w:rPr>
          <w:rFonts w:ascii="Arial" w:hAnsi="Arial"/>
          <w:sz w:val="22"/>
          <w:lang w:val="fr-FR"/>
        </w:rPr>
      </w:pPr>
    </w:p>
    <w:tbl>
      <w:tblPr>
        <w:tblStyle w:val="Grilledutableau"/>
        <w:tblW w:w="0" w:type="auto"/>
        <w:tblLook w:val="04A0" w:firstRow="1" w:lastRow="0" w:firstColumn="1" w:lastColumn="0" w:noHBand="0" w:noVBand="1"/>
      </w:tblPr>
      <w:tblGrid>
        <w:gridCol w:w="520"/>
        <w:gridCol w:w="2158"/>
        <w:gridCol w:w="1858"/>
        <w:gridCol w:w="1212"/>
        <w:gridCol w:w="2741"/>
        <w:gridCol w:w="577"/>
      </w:tblGrid>
      <w:tr w:rsidR="00574545" w:rsidRPr="00A619A0" w14:paraId="19D45A4F" w14:textId="77777777" w:rsidTr="00574545">
        <w:tc>
          <w:tcPr>
            <w:tcW w:w="534" w:type="dxa"/>
            <w:tcBorders>
              <w:top w:val="nil"/>
              <w:left w:val="nil"/>
              <w:bottom w:val="nil"/>
            </w:tcBorders>
          </w:tcPr>
          <w:p w14:paraId="2F6BF89F" w14:textId="77777777" w:rsidR="00574545" w:rsidRPr="00A619A0" w:rsidRDefault="00574545" w:rsidP="00574545">
            <w:pPr>
              <w:jc w:val="both"/>
              <w:rPr>
                <w:rFonts w:ascii="Arial" w:hAnsi="Arial"/>
                <w:b/>
                <w:sz w:val="22"/>
                <w:lang w:val="fr-FR"/>
              </w:rPr>
            </w:pPr>
          </w:p>
        </w:tc>
        <w:tc>
          <w:tcPr>
            <w:tcW w:w="8134" w:type="dxa"/>
            <w:gridSpan w:val="4"/>
          </w:tcPr>
          <w:p w14:paraId="5C2DC8AC" w14:textId="77777777" w:rsidR="00574545" w:rsidRPr="00A619A0" w:rsidRDefault="00574545" w:rsidP="00574545">
            <w:pPr>
              <w:jc w:val="center"/>
              <w:rPr>
                <w:rFonts w:ascii="Arial" w:hAnsi="Arial"/>
                <w:b/>
                <w:sz w:val="22"/>
                <w:lang w:val="fr-FR"/>
              </w:rPr>
            </w:pPr>
            <w:r w:rsidRPr="00A619A0">
              <w:rPr>
                <w:rFonts w:ascii="Arial" w:hAnsi="Arial"/>
                <w:b/>
                <w:sz w:val="22"/>
                <w:lang w:val="fr-FR"/>
              </w:rPr>
              <w:t>BILAN À L’ÉMISSION</w:t>
            </w:r>
          </w:p>
        </w:tc>
        <w:tc>
          <w:tcPr>
            <w:tcW w:w="593" w:type="dxa"/>
            <w:tcBorders>
              <w:top w:val="nil"/>
              <w:bottom w:val="nil"/>
              <w:right w:val="nil"/>
            </w:tcBorders>
          </w:tcPr>
          <w:p w14:paraId="63785150" w14:textId="77777777" w:rsidR="00574545" w:rsidRPr="00A619A0" w:rsidRDefault="00574545" w:rsidP="00574545">
            <w:pPr>
              <w:jc w:val="both"/>
              <w:rPr>
                <w:rFonts w:ascii="Arial" w:hAnsi="Arial"/>
                <w:b/>
                <w:sz w:val="22"/>
                <w:lang w:val="fr-FR"/>
              </w:rPr>
            </w:pPr>
          </w:p>
        </w:tc>
      </w:tr>
      <w:tr w:rsidR="00574545" w:rsidRPr="00A619A0" w14:paraId="09A11330" w14:textId="77777777" w:rsidTr="00574545">
        <w:tc>
          <w:tcPr>
            <w:tcW w:w="534" w:type="dxa"/>
            <w:tcBorders>
              <w:top w:val="nil"/>
              <w:left w:val="nil"/>
              <w:bottom w:val="nil"/>
            </w:tcBorders>
          </w:tcPr>
          <w:p w14:paraId="02993FED" w14:textId="77777777" w:rsidR="00574545" w:rsidRPr="00A619A0" w:rsidRDefault="00574545" w:rsidP="00574545">
            <w:pPr>
              <w:jc w:val="both"/>
              <w:rPr>
                <w:rFonts w:ascii="Arial" w:hAnsi="Arial"/>
                <w:b/>
                <w:sz w:val="22"/>
                <w:lang w:val="fr-FR"/>
              </w:rPr>
            </w:pPr>
          </w:p>
        </w:tc>
        <w:tc>
          <w:tcPr>
            <w:tcW w:w="4068" w:type="dxa"/>
            <w:gridSpan w:val="2"/>
          </w:tcPr>
          <w:p w14:paraId="4C36158E" w14:textId="77777777" w:rsidR="00574545" w:rsidRPr="00A619A0" w:rsidRDefault="00574545" w:rsidP="00574545">
            <w:pPr>
              <w:jc w:val="center"/>
              <w:rPr>
                <w:rFonts w:ascii="Arial" w:hAnsi="Arial"/>
                <w:b/>
                <w:sz w:val="22"/>
                <w:lang w:val="fr-FR"/>
              </w:rPr>
            </w:pPr>
            <w:r w:rsidRPr="00A619A0">
              <w:rPr>
                <w:rFonts w:ascii="Arial" w:hAnsi="Arial"/>
                <w:b/>
                <w:sz w:val="22"/>
                <w:lang w:val="fr-FR"/>
              </w:rPr>
              <w:t>Actif</w:t>
            </w:r>
          </w:p>
        </w:tc>
        <w:tc>
          <w:tcPr>
            <w:tcW w:w="4066" w:type="dxa"/>
            <w:gridSpan w:val="2"/>
          </w:tcPr>
          <w:p w14:paraId="51E5B3BE" w14:textId="77777777" w:rsidR="00574545" w:rsidRPr="00A619A0" w:rsidRDefault="00574545" w:rsidP="00574545">
            <w:pPr>
              <w:jc w:val="center"/>
              <w:rPr>
                <w:rFonts w:ascii="Arial" w:hAnsi="Arial"/>
                <w:b/>
                <w:sz w:val="22"/>
                <w:lang w:val="fr-FR"/>
              </w:rPr>
            </w:pPr>
            <w:r w:rsidRPr="00A619A0">
              <w:rPr>
                <w:rFonts w:ascii="Arial" w:hAnsi="Arial"/>
                <w:b/>
                <w:sz w:val="22"/>
                <w:lang w:val="fr-FR"/>
              </w:rPr>
              <w:t>Passif</w:t>
            </w:r>
          </w:p>
        </w:tc>
        <w:tc>
          <w:tcPr>
            <w:tcW w:w="593" w:type="dxa"/>
            <w:tcBorders>
              <w:top w:val="nil"/>
              <w:bottom w:val="nil"/>
              <w:right w:val="nil"/>
            </w:tcBorders>
          </w:tcPr>
          <w:p w14:paraId="742D519E" w14:textId="77777777" w:rsidR="00574545" w:rsidRPr="00A619A0" w:rsidRDefault="00574545" w:rsidP="00574545">
            <w:pPr>
              <w:jc w:val="both"/>
              <w:rPr>
                <w:rFonts w:ascii="Arial" w:hAnsi="Arial"/>
                <w:b/>
                <w:sz w:val="22"/>
                <w:lang w:val="fr-FR"/>
              </w:rPr>
            </w:pPr>
          </w:p>
        </w:tc>
      </w:tr>
      <w:tr w:rsidR="00574545" w:rsidRPr="00A619A0" w14:paraId="4B4D02A7" w14:textId="77777777" w:rsidTr="00574545">
        <w:tc>
          <w:tcPr>
            <w:tcW w:w="534" w:type="dxa"/>
            <w:tcBorders>
              <w:top w:val="nil"/>
              <w:left w:val="nil"/>
              <w:bottom w:val="nil"/>
            </w:tcBorders>
          </w:tcPr>
          <w:p w14:paraId="0369C46D" w14:textId="77777777" w:rsidR="00574545" w:rsidRPr="00A619A0" w:rsidRDefault="00574545" w:rsidP="00574545">
            <w:pPr>
              <w:jc w:val="both"/>
              <w:rPr>
                <w:rFonts w:ascii="Arial" w:hAnsi="Arial"/>
                <w:sz w:val="22"/>
                <w:lang w:val="fr-FR"/>
              </w:rPr>
            </w:pPr>
          </w:p>
        </w:tc>
        <w:tc>
          <w:tcPr>
            <w:tcW w:w="2182" w:type="dxa"/>
            <w:vMerge w:val="restart"/>
          </w:tcPr>
          <w:p w14:paraId="2C1865FF" w14:textId="77B92D65" w:rsidR="00574545" w:rsidRPr="00F41BCC" w:rsidRDefault="00045B09" w:rsidP="00574545">
            <w:pPr>
              <w:jc w:val="both"/>
              <w:rPr>
                <w:rFonts w:ascii="Arial" w:hAnsi="Arial"/>
                <w:sz w:val="20"/>
                <w:szCs w:val="20"/>
                <w:lang w:val="fr-FR"/>
              </w:rPr>
            </w:pPr>
            <w:r w:rsidRPr="00F41BCC">
              <w:rPr>
                <w:rFonts w:ascii="Arial" w:hAnsi="Arial"/>
                <w:sz w:val="20"/>
                <w:szCs w:val="20"/>
                <w:lang w:val="fr-FR"/>
              </w:rPr>
              <w:t xml:space="preserve">512 - </w:t>
            </w:r>
            <w:r w:rsidR="00574545" w:rsidRPr="00F41BCC">
              <w:rPr>
                <w:rFonts w:ascii="Arial" w:hAnsi="Arial"/>
                <w:sz w:val="20"/>
                <w:szCs w:val="20"/>
                <w:lang w:val="fr-FR"/>
              </w:rPr>
              <w:t>Disponibilités</w:t>
            </w:r>
          </w:p>
          <w:p w14:paraId="09AB0633" w14:textId="77777777" w:rsidR="00574545" w:rsidRPr="00F41BCC" w:rsidRDefault="00574545" w:rsidP="00574545">
            <w:pPr>
              <w:jc w:val="both"/>
              <w:rPr>
                <w:rFonts w:ascii="Arial" w:hAnsi="Arial"/>
                <w:sz w:val="20"/>
                <w:szCs w:val="20"/>
                <w:lang w:val="fr-FR"/>
              </w:rPr>
            </w:pPr>
          </w:p>
          <w:p w14:paraId="0BA12E9E" w14:textId="160F833D" w:rsidR="00574545" w:rsidRPr="00F41BCC" w:rsidRDefault="00045B09" w:rsidP="00574545">
            <w:pPr>
              <w:jc w:val="both"/>
              <w:rPr>
                <w:rFonts w:ascii="Arial" w:hAnsi="Arial"/>
                <w:sz w:val="20"/>
                <w:szCs w:val="20"/>
                <w:lang w:val="fr-FR"/>
              </w:rPr>
            </w:pPr>
            <w:r w:rsidRPr="00F41BCC">
              <w:rPr>
                <w:rFonts w:ascii="Arial" w:hAnsi="Arial"/>
                <w:sz w:val="20"/>
                <w:szCs w:val="20"/>
                <w:lang w:val="fr-FR"/>
              </w:rPr>
              <w:t xml:space="preserve">169 - </w:t>
            </w:r>
            <w:r w:rsidR="00574545" w:rsidRPr="00F41BCC">
              <w:rPr>
                <w:rFonts w:ascii="Arial" w:hAnsi="Arial"/>
                <w:sz w:val="20"/>
                <w:szCs w:val="20"/>
                <w:lang w:val="fr-FR"/>
              </w:rPr>
              <w:t>Prime de remboursement</w:t>
            </w:r>
          </w:p>
        </w:tc>
        <w:tc>
          <w:tcPr>
            <w:tcW w:w="1886" w:type="dxa"/>
            <w:vMerge w:val="restart"/>
          </w:tcPr>
          <w:p w14:paraId="4C58F8F9" w14:textId="77777777" w:rsidR="00574545" w:rsidRPr="00F41BCC" w:rsidRDefault="00574545" w:rsidP="00574545">
            <w:pPr>
              <w:jc w:val="center"/>
              <w:rPr>
                <w:rFonts w:ascii="Arial" w:hAnsi="Arial"/>
                <w:sz w:val="20"/>
                <w:szCs w:val="20"/>
                <w:lang w:val="fr-FR"/>
              </w:rPr>
            </w:pPr>
            <w:r w:rsidRPr="00F41BCC">
              <w:rPr>
                <w:rFonts w:ascii="Arial" w:hAnsi="Arial"/>
                <w:sz w:val="20"/>
                <w:szCs w:val="20"/>
                <w:lang w:val="fr-FR"/>
              </w:rPr>
              <w:t>E (prix d’émission)</w:t>
            </w:r>
          </w:p>
          <w:p w14:paraId="0C54479F" w14:textId="77777777" w:rsidR="00574545" w:rsidRPr="00F41BCC" w:rsidRDefault="00574545" w:rsidP="00574545">
            <w:pPr>
              <w:jc w:val="center"/>
              <w:rPr>
                <w:rFonts w:ascii="Arial" w:hAnsi="Arial"/>
                <w:sz w:val="20"/>
                <w:szCs w:val="20"/>
                <w:lang w:val="fr-FR"/>
              </w:rPr>
            </w:pPr>
          </w:p>
          <w:p w14:paraId="184C5191" w14:textId="77777777" w:rsidR="00574545" w:rsidRPr="00F41BCC" w:rsidRDefault="00574545" w:rsidP="00574545">
            <w:pPr>
              <w:jc w:val="center"/>
              <w:rPr>
                <w:rFonts w:ascii="Arial" w:hAnsi="Arial"/>
                <w:sz w:val="20"/>
                <w:szCs w:val="20"/>
                <w:lang w:val="fr-FR"/>
              </w:rPr>
            </w:pPr>
          </w:p>
          <w:p w14:paraId="41860C89" w14:textId="6E816EC0" w:rsidR="00574545" w:rsidRPr="00F41BCC" w:rsidRDefault="00574545" w:rsidP="00574545">
            <w:pPr>
              <w:jc w:val="center"/>
              <w:rPr>
                <w:rFonts w:ascii="Arial" w:hAnsi="Arial"/>
                <w:sz w:val="20"/>
                <w:szCs w:val="20"/>
                <w:lang w:val="fr-FR"/>
              </w:rPr>
            </w:pPr>
            <w:r w:rsidRPr="00F41BCC">
              <w:rPr>
                <w:rFonts w:ascii="Arial" w:hAnsi="Arial"/>
                <w:sz w:val="20"/>
                <w:szCs w:val="20"/>
                <w:lang w:val="fr-FR"/>
              </w:rPr>
              <w:t>R-E</w:t>
            </w:r>
          </w:p>
        </w:tc>
        <w:tc>
          <w:tcPr>
            <w:tcW w:w="1231" w:type="dxa"/>
            <w:vMerge w:val="restart"/>
          </w:tcPr>
          <w:p w14:paraId="0888D55B" w14:textId="77777777" w:rsidR="00574545" w:rsidRPr="00F41BCC" w:rsidRDefault="00574545" w:rsidP="00574545">
            <w:pPr>
              <w:jc w:val="both"/>
              <w:rPr>
                <w:rFonts w:ascii="Arial" w:hAnsi="Arial"/>
                <w:sz w:val="20"/>
                <w:szCs w:val="20"/>
                <w:lang w:val="fr-FR"/>
              </w:rPr>
            </w:pPr>
          </w:p>
          <w:p w14:paraId="2905AB09" w14:textId="046DCBB2" w:rsidR="00574545" w:rsidRPr="00F41BCC" w:rsidRDefault="00574545" w:rsidP="00574545">
            <w:pPr>
              <w:jc w:val="both"/>
              <w:rPr>
                <w:rFonts w:ascii="Arial" w:hAnsi="Arial"/>
                <w:sz w:val="20"/>
                <w:szCs w:val="20"/>
                <w:lang w:val="fr-FR"/>
              </w:rPr>
            </w:pPr>
            <w:r w:rsidRPr="00F41BCC">
              <w:rPr>
                <w:rFonts w:ascii="Arial" w:hAnsi="Arial"/>
                <w:sz w:val="20"/>
                <w:szCs w:val="20"/>
                <w:lang w:val="fr-FR"/>
              </w:rPr>
              <w:t>Dettes</w:t>
            </w:r>
          </w:p>
        </w:tc>
        <w:tc>
          <w:tcPr>
            <w:tcW w:w="2835" w:type="dxa"/>
            <w:vMerge w:val="restart"/>
          </w:tcPr>
          <w:p w14:paraId="3C07877C" w14:textId="77777777" w:rsidR="00574545" w:rsidRPr="00F41BCC" w:rsidRDefault="00574545" w:rsidP="00574545">
            <w:pPr>
              <w:jc w:val="center"/>
              <w:rPr>
                <w:rFonts w:ascii="Arial" w:hAnsi="Arial"/>
                <w:sz w:val="20"/>
                <w:szCs w:val="20"/>
                <w:lang w:val="fr-FR"/>
              </w:rPr>
            </w:pPr>
          </w:p>
          <w:p w14:paraId="07E562BD" w14:textId="77777777" w:rsidR="00574545" w:rsidRPr="00F41BCC" w:rsidRDefault="00574545" w:rsidP="00574545">
            <w:pPr>
              <w:jc w:val="center"/>
              <w:rPr>
                <w:rFonts w:ascii="Arial" w:hAnsi="Arial"/>
                <w:sz w:val="20"/>
                <w:szCs w:val="20"/>
                <w:lang w:val="fr-FR"/>
              </w:rPr>
            </w:pPr>
            <w:r w:rsidRPr="00F41BCC">
              <w:rPr>
                <w:rFonts w:ascii="Arial" w:hAnsi="Arial"/>
                <w:sz w:val="20"/>
                <w:szCs w:val="20"/>
                <w:lang w:val="fr-FR"/>
              </w:rPr>
              <w:t>R</w:t>
            </w:r>
          </w:p>
          <w:p w14:paraId="462ACDD6" w14:textId="64E7BB34" w:rsidR="00574545" w:rsidRPr="00F41BCC" w:rsidRDefault="00574545" w:rsidP="00574545">
            <w:pPr>
              <w:rPr>
                <w:rFonts w:ascii="Arial" w:hAnsi="Arial"/>
                <w:sz w:val="20"/>
                <w:szCs w:val="20"/>
                <w:lang w:val="fr-FR"/>
              </w:rPr>
            </w:pPr>
          </w:p>
        </w:tc>
        <w:tc>
          <w:tcPr>
            <w:tcW w:w="593" w:type="dxa"/>
            <w:tcBorders>
              <w:top w:val="nil"/>
              <w:bottom w:val="nil"/>
              <w:right w:val="nil"/>
            </w:tcBorders>
          </w:tcPr>
          <w:p w14:paraId="732771FE" w14:textId="77777777" w:rsidR="00574545" w:rsidRPr="00A619A0" w:rsidRDefault="00574545" w:rsidP="00574545">
            <w:pPr>
              <w:jc w:val="both"/>
              <w:rPr>
                <w:rFonts w:ascii="Arial" w:hAnsi="Arial"/>
                <w:sz w:val="22"/>
                <w:lang w:val="fr-FR"/>
              </w:rPr>
            </w:pPr>
          </w:p>
        </w:tc>
      </w:tr>
      <w:tr w:rsidR="00574545" w:rsidRPr="00A619A0" w14:paraId="4509EF31" w14:textId="77777777" w:rsidTr="00574545">
        <w:tc>
          <w:tcPr>
            <w:tcW w:w="534" w:type="dxa"/>
            <w:tcBorders>
              <w:top w:val="nil"/>
              <w:left w:val="nil"/>
              <w:bottom w:val="nil"/>
            </w:tcBorders>
          </w:tcPr>
          <w:p w14:paraId="646B915D" w14:textId="77777777" w:rsidR="00574545" w:rsidRPr="00A619A0" w:rsidRDefault="00574545" w:rsidP="00574545">
            <w:pPr>
              <w:jc w:val="both"/>
              <w:rPr>
                <w:rFonts w:ascii="Arial" w:hAnsi="Arial"/>
                <w:sz w:val="22"/>
                <w:lang w:val="fr-FR"/>
              </w:rPr>
            </w:pPr>
          </w:p>
        </w:tc>
        <w:tc>
          <w:tcPr>
            <w:tcW w:w="2182" w:type="dxa"/>
            <w:vMerge/>
          </w:tcPr>
          <w:p w14:paraId="0DB48EAE" w14:textId="77777777" w:rsidR="00574545" w:rsidRPr="00F41BCC" w:rsidRDefault="00574545" w:rsidP="00574545">
            <w:pPr>
              <w:jc w:val="both"/>
              <w:rPr>
                <w:rFonts w:ascii="Arial" w:hAnsi="Arial"/>
                <w:sz w:val="20"/>
                <w:szCs w:val="20"/>
                <w:lang w:val="fr-FR"/>
              </w:rPr>
            </w:pPr>
          </w:p>
        </w:tc>
        <w:tc>
          <w:tcPr>
            <w:tcW w:w="1886" w:type="dxa"/>
            <w:vMerge/>
          </w:tcPr>
          <w:p w14:paraId="62D26048" w14:textId="77777777" w:rsidR="00574545" w:rsidRPr="00F41BCC" w:rsidRDefault="00574545" w:rsidP="00574545">
            <w:pPr>
              <w:jc w:val="center"/>
              <w:rPr>
                <w:rFonts w:ascii="Arial" w:hAnsi="Arial"/>
                <w:sz w:val="20"/>
                <w:szCs w:val="20"/>
                <w:lang w:val="fr-FR"/>
              </w:rPr>
            </w:pPr>
          </w:p>
        </w:tc>
        <w:tc>
          <w:tcPr>
            <w:tcW w:w="1231" w:type="dxa"/>
            <w:vMerge/>
          </w:tcPr>
          <w:p w14:paraId="601194C5" w14:textId="178C9DA7" w:rsidR="00574545" w:rsidRPr="00F41BCC" w:rsidRDefault="00574545" w:rsidP="00574545">
            <w:pPr>
              <w:jc w:val="both"/>
              <w:rPr>
                <w:rFonts w:ascii="Arial" w:hAnsi="Arial"/>
                <w:sz w:val="20"/>
                <w:szCs w:val="20"/>
                <w:lang w:val="fr-FR"/>
              </w:rPr>
            </w:pPr>
          </w:p>
        </w:tc>
        <w:tc>
          <w:tcPr>
            <w:tcW w:w="2835" w:type="dxa"/>
            <w:vMerge/>
          </w:tcPr>
          <w:p w14:paraId="2D26A569" w14:textId="698A0E97" w:rsidR="00574545" w:rsidRPr="00F41BCC" w:rsidRDefault="00574545" w:rsidP="00574545">
            <w:pPr>
              <w:rPr>
                <w:rFonts w:ascii="Arial" w:hAnsi="Arial"/>
                <w:sz w:val="20"/>
                <w:szCs w:val="20"/>
                <w:lang w:val="fr-FR"/>
              </w:rPr>
            </w:pPr>
          </w:p>
        </w:tc>
        <w:tc>
          <w:tcPr>
            <w:tcW w:w="593" w:type="dxa"/>
            <w:tcBorders>
              <w:top w:val="nil"/>
              <w:bottom w:val="nil"/>
              <w:right w:val="nil"/>
            </w:tcBorders>
          </w:tcPr>
          <w:p w14:paraId="3EA46D82" w14:textId="77777777" w:rsidR="00574545" w:rsidRPr="00A619A0" w:rsidRDefault="00574545" w:rsidP="00574545">
            <w:pPr>
              <w:jc w:val="both"/>
              <w:rPr>
                <w:rFonts w:ascii="Arial" w:hAnsi="Arial"/>
                <w:sz w:val="22"/>
                <w:lang w:val="fr-FR"/>
              </w:rPr>
            </w:pPr>
          </w:p>
        </w:tc>
      </w:tr>
      <w:tr w:rsidR="00574545" w:rsidRPr="00A619A0" w14:paraId="3BA315A6" w14:textId="77777777" w:rsidTr="00574545">
        <w:tc>
          <w:tcPr>
            <w:tcW w:w="534" w:type="dxa"/>
            <w:tcBorders>
              <w:top w:val="nil"/>
              <w:left w:val="nil"/>
              <w:bottom w:val="nil"/>
            </w:tcBorders>
          </w:tcPr>
          <w:p w14:paraId="2929F1E9" w14:textId="77777777" w:rsidR="00574545" w:rsidRPr="00A619A0" w:rsidRDefault="00574545" w:rsidP="00574545">
            <w:pPr>
              <w:jc w:val="both"/>
              <w:rPr>
                <w:rFonts w:ascii="Arial" w:hAnsi="Arial"/>
                <w:sz w:val="22"/>
                <w:lang w:val="fr-FR"/>
              </w:rPr>
            </w:pPr>
          </w:p>
        </w:tc>
        <w:tc>
          <w:tcPr>
            <w:tcW w:w="2182" w:type="dxa"/>
          </w:tcPr>
          <w:p w14:paraId="49323995" w14:textId="77777777" w:rsidR="00574545" w:rsidRPr="00F41BCC" w:rsidRDefault="00574545" w:rsidP="00574545">
            <w:pPr>
              <w:jc w:val="both"/>
              <w:rPr>
                <w:rFonts w:ascii="Arial" w:hAnsi="Arial"/>
                <w:sz w:val="20"/>
                <w:szCs w:val="20"/>
                <w:lang w:val="fr-FR"/>
              </w:rPr>
            </w:pPr>
          </w:p>
        </w:tc>
        <w:tc>
          <w:tcPr>
            <w:tcW w:w="1886" w:type="dxa"/>
          </w:tcPr>
          <w:p w14:paraId="26D7DCFA" w14:textId="17196533" w:rsidR="00574545" w:rsidRPr="00F41BCC" w:rsidRDefault="00574545" w:rsidP="00574545">
            <w:pPr>
              <w:jc w:val="center"/>
              <w:rPr>
                <w:rFonts w:ascii="Arial" w:hAnsi="Arial"/>
                <w:sz w:val="20"/>
                <w:szCs w:val="20"/>
                <w:lang w:val="fr-FR"/>
              </w:rPr>
            </w:pPr>
            <w:r w:rsidRPr="00F41BCC">
              <w:rPr>
                <w:rFonts w:ascii="Arial" w:hAnsi="Arial"/>
                <w:sz w:val="20"/>
                <w:szCs w:val="20"/>
                <w:lang w:val="fr-FR"/>
              </w:rPr>
              <w:t>Total = R</w:t>
            </w:r>
          </w:p>
        </w:tc>
        <w:tc>
          <w:tcPr>
            <w:tcW w:w="1231" w:type="dxa"/>
          </w:tcPr>
          <w:p w14:paraId="4245201D" w14:textId="77777777" w:rsidR="00574545" w:rsidRPr="00F41BCC" w:rsidRDefault="00574545" w:rsidP="00574545">
            <w:pPr>
              <w:jc w:val="both"/>
              <w:rPr>
                <w:rFonts w:ascii="Arial" w:hAnsi="Arial"/>
                <w:sz w:val="20"/>
                <w:szCs w:val="20"/>
                <w:lang w:val="fr-FR"/>
              </w:rPr>
            </w:pPr>
          </w:p>
        </w:tc>
        <w:tc>
          <w:tcPr>
            <w:tcW w:w="2835" w:type="dxa"/>
          </w:tcPr>
          <w:p w14:paraId="70EDC256" w14:textId="7A0C69DD" w:rsidR="00574545" w:rsidRPr="00F41BCC" w:rsidRDefault="00574545" w:rsidP="00574545">
            <w:pPr>
              <w:jc w:val="center"/>
              <w:rPr>
                <w:rFonts w:ascii="Arial" w:hAnsi="Arial"/>
                <w:sz w:val="20"/>
                <w:szCs w:val="20"/>
                <w:lang w:val="fr-FR"/>
              </w:rPr>
            </w:pPr>
            <w:r w:rsidRPr="00F41BCC">
              <w:rPr>
                <w:rFonts w:ascii="Arial" w:hAnsi="Arial"/>
                <w:sz w:val="20"/>
                <w:szCs w:val="20"/>
                <w:lang w:val="fr-FR"/>
              </w:rPr>
              <w:t>Total = R</w:t>
            </w:r>
          </w:p>
        </w:tc>
        <w:tc>
          <w:tcPr>
            <w:tcW w:w="593" w:type="dxa"/>
            <w:tcBorders>
              <w:top w:val="nil"/>
              <w:bottom w:val="nil"/>
              <w:right w:val="nil"/>
            </w:tcBorders>
          </w:tcPr>
          <w:p w14:paraId="6C455A38" w14:textId="77777777" w:rsidR="00574545" w:rsidRPr="00A619A0" w:rsidRDefault="00574545" w:rsidP="00574545">
            <w:pPr>
              <w:jc w:val="both"/>
              <w:rPr>
                <w:rFonts w:ascii="Arial" w:hAnsi="Arial"/>
                <w:sz w:val="22"/>
                <w:lang w:val="fr-FR"/>
              </w:rPr>
            </w:pPr>
          </w:p>
        </w:tc>
      </w:tr>
    </w:tbl>
    <w:p w14:paraId="7A824C28" w14:textId="77777777" w:rsidR="00574545" w:rsidRPr="00A619A0" w:rsidRDefault="00574545" w:rsidP="00574545">
      <w:pPr>
        <w:tabs>
          <w:tab w:val="left" w:pos="1240"/>
        </w:tabs>
        <w:jc w:val="both"/>
        <w:rPr>
          <w:rFonts w:ascii="Arial" w:hAnsi="Arial"/>
          <w:sz w:val="22"/>
          <w:lang w:val="fr-FR"/>
        </w:rPr>
      </w:pPr>
    </w:p>
    <w:p w14:paraId="71EB2B6B" w14:textId="099E7285" w:rsidR="00574545" w:rsidRPr="00BC3BC3" w:rsidRDefault="00045B09" w:rsidP="00BC3BC3">
      <w:pPr>
        <w:pStyle w:val="Paragraphedeliste"/>
        <w:numPr>
          <w:ilvl w:val="0"/>
          <w:numId w:val="21"/>
        </w:numPr>
        <w:tabs>
          <w:tab w:val="left" w:pos="1240"/>
        </w:tabs>
        <w:jc w:val="both"/>
        <w:rPr>
          <w:rFonts w:ascii="Arial" w:hAnsi="Arial"/>
          <w:sz w:val="22"/>
          <w:lang w:val="fr-FR"/>
        </w:rPr>
      </w:pPr>
      <w:r w:rsidRPr="00BC3BC3">
        <w:rPr>
          <w:rFonts w:ascii="Arial" w:hAnsi="Arial"/>
          <w:sz w:val="22"/>
          <w:lang w:val="fr-FR"/>
        </w:rPr>
        <w:t>La CNCC fait également état d’un autre enregistrement, en montant net</w:t>
      </w:r>
    </w:p>
    <w:p w14:paraId="77A22C06" w14:textId="153F5FAD" w:rsidR="00574545" w:rsidRPr="00A619A0" w:rsidRDefault="00045B09" w:rsidP="00574545">
      <w:pPr>
        <w:tabs>
          <w:tab w:val="left" w:pos="1240"/>
        </w:tabs>
        <w:jc w:val="both"/>
        <w:rPr>
          <w:rFonts w:ascii="Arial" w:hAnsi="Arial"/>
          <w:sz w:val="22"/>
          <w:lang w:val="fr-FR"/>
        </w:rPr>
      </w:pPr>
      <w:r w:rsidRPr="00A619A0">
        <w:rPr>
          <w:rFonts w:ascii="Arial" w:hAnsi="Arial"/>
          <w:sz w:val="22"/>
          <w:lang w:val="fr-FR"/>
        </w:rPr>
        <w:t>Lors de l’émission de l’emprunt, la prime de remboursement n’est pas comptabilisée en dette au bilan. A cette date, la conversion (future) en actions est estimée probable et le paiement de la prime improbable. En revanche, la prime doit être provisionnée (provision pour risque financier) dès lors que le remboursement de l’emprunt devient probable.</w:t>
      </w:r>
    </w:p>
    <w:p w14:paraId="237FD2B9" w14:textId="77777777" w:rsidR="00574545" w:rsidRPr="00A619A0" w:rsidRDefault="00574545" w:rsidP="00574545">
      <w:pPr>
        <w:tabs>
          <w:tab w:val="left" w:pos="1240"/>
        </w:tabs>
        <w:jc w:val="both"/>
        <w:rPr>
          <w:rFonts w:ascii="Arial" w:hAnsi="Arial"/>
          <w:sz w:val="22"/>
          <w:lang w:val="fr-FR"/>
        </w:rPr>
      </w:pPr>
    </w:p>
    <w:p w14:paraId="6359F920" w14:textId="77777777" w:rsidR="00045B09" w:rsidRPr="00A619A0" w:rsidRDefault="00045B09" w:rsidP="00574545">
      <w:pPr>
        <w:tabs>
          <w:tab w:val="left" w:pos="1240"/>
        </w:tabs>
        <w:jc w:val="both"/>
        <w:rPr>
          <w:rFonts w:ascii="Arial" w:hAnsi="Arial"/>
          <w:sz w:val="22"/>
          <w:lang w:val="fr-FR"/>
        </w:rPr>
      </w:pPr>
      <w:r w:rsidRPr="00A619A0">
        <w:rPr>
          <w:rFonts w:ascii="Arial" w:hAnsi="Arial"/>
          <w:sz w:val="22"/>
          <w:lang w:val="fr-FR"/>
        </w:rPr>
        <w:t>En fait, l</w:t>
      </w:r>
      <w:r w:rsidR="002A59EF" w:rsidRPr="00A619A0">
        <w:rPr>
          <w:rFonts w:ascii="Arial" w:hAnsi="Arial"/>
          <w:sz w:val="22"/>
          <w:lang w:val="fr-FR"/>
        </w:rPr>
        <w:t>a logique de l’opération est que l’obligataire doit convertir, mais il y a un risque de non conversion, enregistré par une dotation aux prov</w:t>
      </w:r>
      <w:r w:rsidRPr="00A619A0">
        <w:rPr>
          <w:rFonts w:ascii="Arial" w:hAnsi="Arial"/>
          <w:sz w:val="22"/>
          <w:lang w:val="fr-FR"/>
        </w:rPr>
        <w:t>isions pour risques et charges.</w:t>
      </w:r>
    </w:p>
    <w:p w14:paraId="453710A0" w14:textId="4AF53A4D" w:rsidR="00045B09" w:rsidRPr="00A619A0" w:rsidRDefault="00045B09" w:rsidP="00574545">
      <w:pPr>
        <w:tabs>
          <w:tab w:val="left" w:pos="1240"/>
        </w:tabs>
        <w:jc w:val="both"/>
        <w:rPr>
          <w:rFonts w:ascii="Arial" w:hAnsi="Arial"/>
          <w:sz w:val="22"/>
          <w:lang w:val="fr-FR"/>
        </w:rPr>
      </w:pPr>
      <w:r w:rsidRPr="00A619A0">
        <w:rPr>
          <w:rFonts w:ascii="Arial" w:hAnsi="Arial"/>
          <w:sz w:val="22"/>
          <w:lang w:val="fr-FR"/>
        </w:rPr>
        <w:t>Selon une doctrine de la COB (Rapport COB 1994, p. 162 s. et Bull. COB n° 374, décembre 2002, p. 23), la probabilité de non-conversion doit être appréciée notamment au regard de la volatilité du marché de l’action, de sa tendance récente et de l’échéance plus ou moins lointaine du titre de créance.</w:t>
      </w:r>
    </w:p>
    <w:p w14:paraId="7BA530E3" w14:textId="3CCA6853" w:rsidR="002A59EF" w:rsidRPr="00A619A0" w:rsidRDefault="008242A7" w:rsidP="00574545">
      <w:pPr>
        <w:tabs>
          <w:tab w:val="left" w:pos="1240"/>
        </w:tabs>
        <w:jc w:val="both"/>
        <w:rPr>
          <w:rFonts w:ascii="Arial" w:hAnsi="Arial"/>
          <w:sz w:val="22"/>
          <w:lang w:val="fr-FR"/>
        </w:rPr>
      </w:pPr>
      <w:r w:rsidRPr="00A619A0">
        <w:rPr>
          <w:rFonts w:ascii="Arial" w:hAnsi="Arial"/>
          <w:sz w:val="22"/>
          <w:lang w:val="fr-FR"/>
        </w:rPr>
        <w:t xml:space="preserve">Le </w:t>
      </w:r>
      <w:r w:rsidR="002A59EF" w:rsidRPr="00A619A0">
        <w:rPr>
          <w:rFonts w:ascii="Arial" w:hAnsi="Arial"/>
          <w:sz w:val="22"/>
          <w:lang w:val="fr-FR"/>
        </w:rPr>
        <w:t xml:space="preserve">montant de la provision </w:t>
      </w:r>
      <w:r w:rsidRPr="00A619A0">
        <w:rPr>
          <w:rFonts w:ascii="Arial" w:hAnsi="Arial"/>
          <w:sz w:val="22"/>
          <w:lang w:val="fr-FR"/>
        </w:rPr>
        <w:t xml:space="preserve">doit être </w:t>
      </w:r>
      <w:r w:rsidR="002A59EF" w:rsidRPr="00A619A0">
        <w:rPr>
          <w:rFonts w:ascii="Arial" w:hAnsi="Arial"/>
          <w:sz w:val="22"/>
          <w:lang w:val="fr-FR"/>
        </w:rPr>
        <w:t xml:space="preserve">&lt; </w:t>
      </w:r>
      <w:r w:rsidRPr="00A619A0">
        <w:rPr>
          <w:rFonts w:ascii="Arial" w:hAnsi="Arial"/>
          <w:sz w:val="22"/>
          <w:lang w:val="fr-FR"/>
        </w:rPr>
        <w:t xml:space="preserve">NR valeur de remboursement, car </w:t>
      </w:r>
      <w:r w:rsidR="00895012" w:rsidRPr="00A619A0">
        <w:rPr>
          <w:rFonts w:ascii="Arial" w:hAnsi="Arial"/>
          <w:sz w:val="22"/>
          <w:lang w:val="fr-FR"/>
        </w:rPr>
        <w:t>les obligataires devraient demander la conversion.</w:t>
      </w:r>
      <w:r w:rsidR="002A59EF" w:rsidRPr="00A619A0">
        <w:rPr>
          <w:rFonts w:ascii="Arial" w:hAnsi="Arial"/>
          <w:sz w:val="22"/>
          <w:lang w:val="fr-FR"/>
        </w:rPr>
        <w:t xml:space="preserve"> Il en résulte l’enregistrement comptable suivant :</w:t>
      </w:r>
    </w:p>
    <w:p w14:paraId="3F66744D" w14:textId="77777777" w:rsidR="006E50C2" w:rsidRPr="00A619A0" w:rsidRDefault="006E50C2" w:rsidP="002A59EF">
      <w:pPr>
        <w:tabs>
          <w:tab w:val="left" w:pos="1240"/>
        </w:tabs>
        <w:jc w:val="both"/>
        <w:rPr>
          <w:rFonts w:ascii="Arial" w:hAnsi="Arial"/>
          <w:sz w:val="22"/>
          <w:lang w:val="fr-FR"/>
        </w:rPr>
      </w:pPr>
    </w:p>
    <w:tbl>
      <w:tblPr>
        <w:tblStyle w:val="Grilledutableau"/>
        <w:tblW w:w="0" w:type="auto"/>
        <w:tblLook w:val="04A0" w:firstRow="1" w:lastRow="0" w:firstColumn="1" w:lastColumn="0" w:noHBand="0" w:noVBand="1"/>
      </w:tblPr>
      <w:tblGrid>
        <w:gridCol w:w="519"/>
        <w:gridCol w:w="2144"/>
        <w:gridCol w:w="1854"/>
        <w:gridCol w:w="1227"/>
        <w:gridCol w:w="2747"/>
        <w:gridCol w:w="575"/>
      </w:tblGrid>
      <w:tr w:rsidR="002A59EF" w:rsidRPr="00A619A0" w14:paraId="258642B5" w14:textId="77777777" w:rsidTr="002A59EF">
        <w:tc>
          <w:tcPr>
            <w:tcW w:w="534" w:type="dxa"/>
            <w:tcBorders>
              <w:top w:val="nil"/>
              <w:left w:val="nil"/>
              <w:bottom w:val="nil"/>
            </w:tcBorders>
          </w:tcPr>
          <w:p w14:paraId="4E1DFF7E" w14:textId="77777777" w:rsidR="002A59EF" w:rsidRPr="00A619A0" w:rsidRDefault="002A59EF" w:rsidP="002A59EF">
            <w:pPr>
              <w:jc w:val="both"/>
              <w:rPr>
                <w:rFonts w:ascii="Arial" w:hAnsi="Arial"/>
                <w:b/>
                <w:sz w:val="22"/>
                <w:lang w:val="fr-FR"/>
              </w:rPr>
            </w:pPr>
          </w:p>
        </w:tc>
        <w:tc>
          <w:tcPr>
            <w:tcW w:w="8134" w:type="dxa"/>
            <w:gridSpan w:val="4"/>
          </w:tcPr>
          <w:p w14:paraId="6FDF6055" w14:textId="77777777" w:rsidR="002A59EF" w:rsidRPr="00A619A0" w:rsidRDefault="002A59EF" w:rsidP="002A59EF">
            <w:pPr>
              <w:jc w:val="center"/>
              <w:rPr>
                <w:rFonts w:ascii="Arial" w:hAnsi="Arial"/>
                <w:b/>
                <w:sz w:val="22"/>
                <w:lang w:val="fr-FR"/>
              </w:rPr>
            </w:pPr>
            <w:r w:rsidRPr="00A619A0">
              <w:rPr>
                <w:rFonts w:ascii="Arial" w:hAnsi="Arial"/>
                <w:b/>
                <w:sz w:val="22"/>
                <w:lang w:val="fr-FR"/>
              </w:rPr>
              <w:t>BILAN À L’ÉMISSION</w:t>
            </w:r>
          </w:p>
        </w:tc>
        <w:tc>
          <w:tcPr>
            <w:tcW w:w="593" w:type="dxa"/>
            <w:tcBorders>
              <w:top w:val="nil"/>
              <w:bottom w:val="nil"/>
              <w:right w:val="nil"/>
            </w:tcBorders>
          </w:tcPr>
          <w:p w14:paraId="677F9BBB" w14:textId="77777777" w:rsidR="002A59EF" w:rsidRPr="00A619A0" w:rsidRDefault="002A59EF" w:rsidP="002A59EF">
            <w:pPr>
              <w:jc w:val="both"/>
              <w:rPr>
                <w:rFonts w:ascii="Arial" w:hAnsi="Arial"/>
                <w:b/>
                <w:sz w:val="22"/>
                <w:lang w:val="fr-FR"/>
              </w:rPr>
            </w:pPr>
          </w:p>
        </w:tc>
      </w:tr>
      <w:tr w:rsidR="002A59EF" w:rsidRPr="00A619A0" w14:paraId="6FC42F6C" w14:textId="77777777" w:rsidTr="002A59EF">
        <w:tc>
          <w:tcPr>
            <w:tcW w:w="534" w:type="dxa"/>
            <w:tcBorders>
              <w:top w:val="nil"/>
              <w:left w:val="nil"/>
              <w:bottom w:val="nil"/>
            </w:tcBorders>
          </w:tcPr>
          <w:p w14:paraId="2AB9D134" w14:textId="77777777" w:rsidR="002A59EF" w:rsidRPr="00A619A0" w:rsidRDefault="002A59EF" w:rsidP="002A59EF">
            <w:pPr>
              <w:jc w:val="both"/>
              <w:rPr>
                <w:rFonts w:ascii="Arial" w:hAnsi="Arial"/>
                <w:b/>
                <w:sz w:val="22"/>
                <w:lang w:val="fr-FR"/>
              </w:rPr>
            </w:pPr>
          </w:p>
        </w:tc>
        <w:tc>
          <w:tcPr>
            <w:tcW w:w="4068" w:type="dxa"/>
            <w:gridSpan w:val="2"/>
          </w:tcPr>
          <w:p w14:paraId="359B7B41" w14:textId="77777777" w:rsidR="002A59EF" w:rsidRPr="00A619A0" w:rsidRDefault="002A59EF" w:rsidP="002A59EF">
            <w:pPr>
              <w:jc w:val="center"/>
              <w:rPr>
                <w:rFonts w:ascii="Arial" w:hAnsi="Arial"/>
                <w:b/>
                <w:sz w:val="22"/>
                <w:lang w:val="fr-FR"/>
              </w:rPr>
            </w:pPr>
            <w:r w:rsidRPr="00A619A0">
              <w:rPr>
                <w:rFonts w:ascii="Arial" w:hAnsi="Arial"/>
                <w:b/>
                <w:sz w:val="22"/>
                <w:lang w:val="fr-FR"/>
              </w:rPr>
              <w:t>Actif</w:t>
            </w:r>
          </w:p>
        </w:tc>
        <w:tc>
          <w:tcPr>
            <w:tcW w:w="4066" w:type="dxa"/>
            <w:gridSpan w:val="2"/>
          </w:tcPr>
          <w:p w14:paraId="28D42B68" w14:textId="77777777" w:rsidR="002A59EF" w:rsidRPr="00A619A0" w:rsidRDefault="002A59EF" w:rsidP="002A59EF">
            <w:pPr>
              <w:jc w:val="center"/>
              <w:rPr>
                <w:rFonts w:ascii="Arial" w:hAnsi="Arial"/>
                <w:b/>
                <w:sz w:val="22"/>
                <w:lang w:val="fr-FR"/>
              </w:rPr>
            </w:pPr>
            <w:r w:rsidRPr="00A619A0">
              <w:rPr>
                <w:rFonts w:ascii="Arial" w:hAnsi="Arial"/>
                <w:b/>
                <w:sz w:val="22"/>
                <w:lang w:val="fr-FR"/>
              </w:rPr>
              <w:t>Passif</w:t>
            </w:r>
          </w:p>
        </w:tc>
        <w:tc>
          <w:tcPr>
            <w:tcW w:w="593" w:type="dxa"/>
            <w:tcBorders>
              <w:top w:val="nil"/>
              <w:bottom w:val="nil"/>
              <w:right w:val="nil"/>
            </w:tcBorders>
          </w:tcPr>
          <w:p w14:paraId="6E91F07F" w14:textId="77777777" w:rsidR="002A59EF" w:rsidRPr="00A619A0" w:rsidRDefault="002A59EF" w:rsidP="002A59EF">
            <w:pPr>
              <w:jc w:val="both"/>
              <w:rPr>
                <w:rFonts w:ascii="Arial" w:hAnsi="Arial"/>
                <w:b/>
                <w:sz w:val="22"/>
                <w:lang w:val="fr-FR"/>
              </w:rPr>
            </w:pPr>
          </w:p>
        </w:tc>
      </w:tr>
      <w:tr w:rsidR="002A59EF" w:rsidRPr="00A619A0" w14:paraId="17A12702" w14:textId="77777777" w:rsidTr="002A59EF">
        <w:tc>
          <w:tcPr>
            <w:tcW w:w="534" w:type="dxa"/>
            <w:tcBorders>
              <w:top w:val="nil"/>
              <w:left w:val="nil"/>
              <w:bottom w:val="nil"/>
            </w:tcBorders>
          </w:tcPr>
          <w:p w14:paraId="545C22AB" w14:textId="77777777" w:rsidR="002A59EF" w:rsidRPr="00A619A0" w:rsidRDefault="002A59EF" w:rsidP="002A59EF">
            <w:pPr>
              <w:jc w:val="both"/>
              <w:rPr>
                <w:rFonts w:ascii="Arial" w:hAnsi="Arial"/>
                <w:sz w:val="22"/>
                <w:lang w:val="fr-FR"/>
              </w:rPr>
            </w:pPr>
          </w:p>
        </w:tc>
        <w:tc>
          <w:tcPr>
            <w:tcW w:w="2182" w:type="dxa"/>
            <w:vMerge w:val="restart"/>
          </w:tcPr>
          <w:p w14:paraId="6DAACB44" w14:textId="77777777" w:rsidR="002A59EF" w:rsidRPr="00F41BCC" w:rsidRDefault="002A59EF" w:rsidP="002A59EF">
            <w:pPr>
              <w:jc w:val="both"/>
              <w:rPr>
                <w:rFonts w:ascii="Arial" w:hAnsi="Arial"/>
                <w:sz w:val="20"/>
                <w:szCs w:val="20"/>
                <w:lang w:val="fr-FR"/>
              </w:rPr>
            </w:pPr>
            <w:r w:rsidRPr="00F41BCC">
              <w:rPr>
                <w:rFonts w:ascii="Arial" w:hAnsi="Arial"/>
                <w:sz w:val="20"/>
                <w:szCs w:val="20"/>
                <w:lang w:val="fr-FR"/>
              </w:rPr>
              <w:t>Disponibilités</w:t>
            </w:r>
          </w:p>
        </w:tc>
        <w:tc>
          <w:tcPr>
            <w:tcW w:w="1886" w:type="dxa"/>
            <w:vMerge w:val="restart"/>
          </w:tcPr>
          <w:p w14:paraId="4C44E50A" w14:textId="77777777" w:rsidR="002A59EF" w:rsidRPr="00F41BCC" w:rsidRDefault="002A59EF" w:rsidP="002A59EF">
            <w:pPr>
              <w:jc w:val="center"/>
              <w:rPr>
                <w:rFonts w:ascii="Arial" w:hAnsi="Arial"/>
                <w:sz w:val="20"/>
                <w:szCs w:val="20"/>
                <w:lang w:val="fr-FR"/>
              </w:rPr>
            </w:pPr>
            <w:r w:rsidRPr="00F41BCC">
              <w:rPr>
                <w:rFonts w:ascii="Arial" w:hAnsi="Arial"/>
                <w:sz w:val="20"/>
                <w:szCs w:val="20"/>
                <w:lang w:val="fr-FR"/>
              </w:rPr>
              <w:t>E (prix d’émission)</w:t>
            </w:r>
          </w:p>
        </w:tc>
        <w:tc>
          <w:tcPr>
            <w:tcW w:w="1231" w:type="dxa"/>
          </w:tcPr>
          <w:p w14:paraId="0A139BDC" w14:textId="77777777" w:rsidR="002A59EF" w:rsidRPr="00F41BCC" w:rsidRDefault="002A59EF" w:rsidP="002A59EF">
            <w:pPr>
              <w:jc w:val="both"/>
              <w:rPr>
                <w:rFonts w:ascii="Arial" w:hAnsi="Arial"/>
                <w:sz w:val="20"/>
                <w:szCs w:val="20"/>
                <w:lang w:val="fr-FR"/>
              </w:rPr>
            </w:pPr>
            <w:r w:rsidRPr="00F41BCC">
              <w:rPr>
                <w:rFonts w:ascii="Arial" w:hAnsi="Arial"/>
                <w:sz w:val="20"/>
                <w:szCs w:val="20"/>
                <w:lang w:val="fr-FR"/>
              </w:rPr>
              <w:t>Résultat</w:t>
            </w:r>
          </w:p>
        </w:tc>
        <w:tc>
          <w:tcPr>
            <w:tcW w:w="2835" w:type="dxa"/>
          </w:tcPr>
          <w:p w14:paraId="2D4EF7A0" w14:textId="77777777" w:rsidR="002A59EF" w:rsidRPr="00F41BCC" w:rsidRDefault="002A59EF" w:rsidP="002A59EF">
            <w:pPr>
              <w:jc w:val="center"/>
              <w:rPr>
                <w:rFonts w:ascii="Arial" w:hAnsi="Arial"/>
                <w:sz w:val="20"/>
                <w:szCs w:val="20"/>
                <w:lang w:val="fr-FR"/>
              </w:rPr>
            </w:pPr>
            <w:r w:rsidRPr="00F41BCC">
              <w:rPr>
                <w:rFonts w:ascii="Arial" w:hAnsi="Arial"/>
                <w:sz w:val="20"/>
                <w:szCs w:val="20"/>
                <w:lang w:val="fr-FR"/>
              </w:rPr>
              <w:t>Minoré des dotations &lt;R-E</w:t>
            </w:r>
          </w:p>
        </w:tc>
        <w:tc>
          <w:tcPr>
            <w:tcW w:w="593" w:type="dxa"/>
            <w:tcBorders>
              <w:top w:val="nil"/>
              <w:bottom w:val="nil"/>
              <w:right w:val="nil"/>
            </w:tcBorders>
          </w:tcPr>
          <w:p w14:paraId="497E9183" w14:textId="77777777" w:rsidR="002A59EF" w:rsidRPr="00A619A0" w:rsidRDefault="002A59EF" w:rsidP="002A59EF">
            <w:pPr>
              <w:jc w:val="both"/>
              <w:rPr>
                <w:rFonts w:ascii="Arial" w:hAnsi="Arial"/>
                <w:sz w:val="22"/>
                <w:lang w:val="fr-FR"/>
              </w:rPr>
            </w:pPr>
          </w:p>
        </w:tc>
      </w:tr>
      <w:tr w:rsidR="002A59EF" w:rsidRPr="00A619A0" w14:paraId="4C7D5A9C" w14:textId="77777777" w:rsidTr="002A59EF">
        <w:tc>
          <w:tcPr>
            <w:tcW w:w="534" w:type="dxa"/>
            <w:tcBorders>
              <w:top w:val="nil"/>
              <w:left w:val="nil"/>
              <w:bottom w:val="nil"/>
            </w:tcBorders>
          </w:tcPr>
          <w:p w14:paraId="1C623818" w14:textId="77777777" w:rsidR="002A59EF" w:rsidRPr="00A619A0" w:rsidRDefault="002A59EF" w:rsidP="002A59EF">
            <w:pPr>
              <w:jc w:val="both"/>
              <w:rPr>
                <w:rFonts w:ascii="Arial" w:hAnsi="Arial"/>
                <w:sz w:val="22"/>
                <w:lang w:val="fr-FR"/>
              </w:rPr>
            </w:pPr>
          </w:p>
        </w:tc>
        <w:tc>
          <w:tcPr>
            <w:tcW w:w="2182" w:type="dxa"/>
            <w:vMerge/>
          </w:tcPr>
          <w:p w14:paraId="7F0EA551" w14:textId="77777777" w:rsidR="002A59EF" w:rsidRPr="00F41BCC" w:rsidRDefault="002A59EF" w:rsidP="002A59EF">
            <w:pPr>
              <w:jc w:val="both"/>
              <w:rPr>
                <w:rFonts w:ascii="Arial" w:hAnsi="Arial"/>
                <w:sz w:val="20"/>
                <w:szCs w:val="20"/>
                <w:lang w:val="fr-FR"/>
              </w:rPr>
            </w:pPr>
          </w:p>
        </w:tc>
        <w:tc>
          <w:tcPr>
            <w:tcW w:w="1886" w:type="dxa"/>
            <w:vMerge/>
          </w:tcPr>
          <w:p w14:paraId="6FE901E5" w14:textId="77777777" w:rsidR="002A59EF" w:rsidRPr="00F41BCC" w:rsidRDefault="002A59EF" w:rsidP="002A59EF">
            <w:pPr>
              <w:jc w:val="center"/>
              <w:rPr>
                <w:rFonts w:ascii="Arial" w:hAnsi="Arial"/>
                <w:sz w:val="20"/>
                <w:szCs w:val="20"/>
                <w:lang w:val="fr-FR"/>
              </w:rPr>
            </w:pPr>
          </w:p>
        </w:tc>
        <w:tc>
          <w:tcPr>
            <w:tcW w:w="1231" w:type="dxa"/>
          </w:tcPr>
          <w:p w14:paraId="58FA9691" w14:textId="77777777" w:rsidR="002A59EF" w:rsidRPr="00F41BCC" w:rsidRDefault="002A59EF" w:rsidP="002A59EF">
            <w:pPr>
              <w:jc w:val="both"/>
              <w:rPr>
                <w:rFonts w:ascii="Arial" w:hAnsi="Arial"/>
                <w:sz w:val="20"/>
                <w:szCs w:val="20"/>
                <w:lang w:val="fr-FR"/>
              </w:rPr>
            </w:pPr>
            <w:r w:rsidRPr="00F41BCC">
              <w:rPr>
                <w:rFonts w:ascii="Arial" w:hAnsi="Arial"/>
                <w:sz w:val="20"/>
                <w:szCs w:val="20"/>
                <w:lang w:val="fr-FR"/>
              </w:rPr>
              <w:t>Provisions risques et charges</w:t>
            </w:r>
          </w:p>
          <w:p w14:paraId="206F1391" w14:textId="77777777" w:rsidR="002A59EF" w:rsidRPr="00F41BCC" w:rsidRDefault="002A59EF" w:rsidP="002A59EF">
            <w:pPr>
              <w:jc w:val="both"/>
              <w:rPr>
                <w:rFonts w:ascii="Arial" w:hAnsi="Arial"/>
                <w:sz w:val="20"/>
                <w:szCs w:val="20"/>
                <w:lang w:val="fr-FR"/>
              </w:rPr>
            </w:pPr>
          </w:p>
          <w:p w14:paraId="604E61D0" w14:textId="77777777" w:rsidR="002A59EF" w:rsidRPr="00F41BCC" w:rsidRDefault="002A59EF" w:rsidP="002A59EF">
            <w:pPr>
              <w:jc w:val="both"/>
              <w:rPr>
                <w:rFonts w:ascii="Arial" w:hAnsi="Arial"/>
                <w:sz w:val="20"/>
                <w:szCs w:val="20"/>
                <w:lang w:val="fr-FR"/>
              </w:rPr>
            </w:pPr>
            <w:r w:rsidRPr="00F41BCC">
              <w:rPr>
                <w:rFonts w:ascii="Arial" w:hAnsi="Arial"/>
                <w:sz w:val="20"/>
                <w:szCs w:val="20"/>
                <w:lang w:val="fr-FR"/>
              </w:rPr>
              <w:t>Dettes</w:t>
            </w:r>
          </w:p>
        </w:tc>
        <w:tc>
          <w:tcPr>
            <w:tcW w:w="2835" w:type="dxa"/>
          </w:tcPr>
          <w:p w14:paraId="3A0B54FC" w14:textId="77777777" w:rsidR="002A59EF" w:rsidRPr="00F41BCC" w:rsidRDefault="002A59EF" w:rsidP="002A59EF">
            <w:pPr>
              <w:jc w:val="center"/>
              <w:rPr>
                <w:rFonts w:ascii="Arial" w:hAnsi="Arial"/>
                <w:sz w:val="20"/>
                <w:szCs w:val="20"/>
                <w:lang w:val="fr-FR"/>
              </w:rPr>
            </w:pPr>
            <w:proofErr w:type="gramStart"/>
            <w:r w:rsidRPr="00F41BCC">
              <w:rPr>
                <w:rFonts w:ascii="Arial" w:hAnsi="Arial"/>
                <w:sz w:val="20"/>
                <w:szCs w:val="20"/>
                <w:lang w:val="fr-FR"/>
              </w:rPr>
              <w:t>montant</w:t>
            </w:r>
            <w:proofErr w:type="gramEnd"/>
            <w:r w:rsidRPr="00F41BCC">
              <w:rPr>
                <w:rFonts w:ascii="Arial" w:hAnsi="Arial"/>
                <w:sz w:val="20"/>
                <w:szCs w:val="20"/>
                <w:lang w:val="fr-FR"/>
              </w:rPr>
              <w:t xml:space="preserve"> &lt; R-E</w:t>
            </w:r>
          </w:p>
          <w:p w14:paraId="5FC81B04" w14:textId="77777777" w:rsidR="002A59EF" w:rsidRPr="00F41BCC" w:rsidRDefault="002A59EF" w:rsidP="002A59EF">
            <w:pPr>
              <w:jc w:val="center"/>
              <w:rPr>
                <w:rFonts w:ascii="Arial" w:hAnsi="Arial"/>
                <w:sz w:val="20"/>
                <w:szCs w:val="20"/>
                <w:lang w:val="fr-FR"/>
              </w:rPr>
            </w:pPr>
          </w:p>
          <w:p w14:paraId="1AC14FA2" w14:textId="77777777" w:rsidR="002A59EF" w:rsidRPr="00F41BCC" w:rsidRDefault="002A59EF" w:rsidP="002A59EF">
            <w:pPr>
              <w:jc w:val="center"/>
              <w:rPr>
                <w:rFonts w:ascii="Arial" w:hAnsi="Arial"/>
                <w:sz w:val="20"/>
                <w:szCs w:val="20"/>
                <w:lang w:val="fr-FR"/>
              </w:rPr>
            </w:pPr>
          </w:p>
          <w:p w14:paraId="0518B1E7" w14:textId="77777777" w:rsidR="002A59EF" w:rsidRPr="00F41BCC" w:rsidRDefault="002A59EF" w:rsidP="002A59EF">
            <w:pPr>
              <w:jc w:val="center"/>
              <w:rPr>
                <w:rFonts w:ascii="Arial" w:hAnsi="Arial"/>
                <w:sz w:val="20"/>
                <w:szCs w:val="20"/>
                <w:lang w:val="fr-FR"/>
              </w:rPr>
            </w:pPr>
          </w:p>
          <w:p w14:paraId="1F6D994D" w14:textId="77777777" w:rsidR="002A59EF" w:rsidRPr="00F41BCC" w:rsidRDefault="002A59EF" w:rsidP="002A59EF">
            <w:pPr>
              <w:jc w:val="center"/>
              <w:rPr>
                <w:rFonts w:ascii="Arial" w:hAnsi="Arial"/>
                <w:sz w:val="20"/>
                <w:szCs w:val="20"/>
                <w:lang w:val="fr-FR"/>
              </w:rPr>
            </w:pPr>
            <w:r w:rsidRPr="00F41BCC">
              <w:rPr>
                <w:rFonts w:ascii="Arial" w:hAnsi="Arial"/>
                <w:sz w:val="20"/>
                <w:szCs w:val="20"/>
                <w:lang w:val="fr-FR"/>
              </w:rPr>
              <w:t>E</w:t>
            </w:r>
          </w:p>
        </w:tc>
        <w:tc>
          <w:tcPr>
            <w:tcW w:w="593" w:type="dxa"/>
            <w:tcBorders>
              <w:top w:val="nil"/>
              <w:bottom w:val="nil"/>
              <w:right w:val="nil"/>
            </w:tcBorders>
          </w:tcPr>
          <w:p w14:paraId="4A9EE328" w14:textId="77777777" w:rsidR="002A59EF" w:rsidRPr="00A619A0" w:rsidRDefault="002A59EF" w:rsidP="002A59EF">
            <w:pPr>
              <w:jc w:val="both"/>
              <w:rPr>
                <w:rFonts w:ascii="Arial" w:hAnsi="Arial"/>
                <w:sz w:val="22"/>
                <w:lang w:val="fr-FR"/>
              </w:rPr>
            </w:pPr>
          </w:p>
        </w:tc>
      </w:tr>
      <w:tr w:rsidR="002A59EF" w:rsidRPr="00A619A0" w14:paraId="2678B4A7" w14:textId="77777777" w:rsidTr="002A59EF">
        <w:tc>
          <w:tcPr>
            <w:tcW w:w="534" w:type="dxa"/>
            <w:tcBorders>
              <w:top w:val="nil"/>
              <w:left w:val="nil"/>
              <w:bottom w:val="nil"/>
            </w:tcBorders>
          </w:tcPr>
          <w:p w14:paraId="0009EDCA" w14:textId="77777777" w:rsidR="002A59EF" w:rsidRPr="00A619A0" w:rsidRDefault="002A59EF" w:rsidP="002A59EF">
            <w:pPr>
              <w:jc w:val="both"/>
              <w:rPr>
                <w:rFonts w:ascii="Arial" w:hAnsi="Arial"/>
                <w:sz w:val="22"/>
                <w:lang w:val="fr-FR"/>
              </w:rPr>
            </w:pPr>
          </w:p>
        </w:tc>
        <w:tc>
          <w:tcPr>
            <w:tcW w:w="2182" w:type="dxa"/>
          </w:tcPr>
          <w:p w14:paraId="17F40D11" w14:textId="77777777" w:rsidR="002A59EF" w:rsidRPr="00F41BCC" w:rsidRDefault="002A59EF" w:rsidP="002A59EF">
            <w:pPr>
              <w:jc w:val="both"/>
              <w:rPr>
                <w:rFonts w:ascii="Arial" w:hAnsi="Arial"/>
                <w:sz w:val="20"/>
                <w:szCs w:val="20"/>
                <w:lang w:val="fr-FR"/>
              </w:rPr>
            </w:pPr>
          </w:p>
        </w:tc>
        <w:tc>
          <w:tcPr>
            <w:tcW w:w="1886" w:type="dxa"/>
          </w:tcPr>
          <w:p w14:paraId="08A5FEE0" w14:textId="77777777" w:rsidR="002A59EF" w:rsidRPr="00F41BCC" w:rsidRDefault="002A59EF" w:rsidP="002A59EF">
            <w:pPr>
              <w:jc w:val="center"/>
              <w:rPr>
                <w:rFonts w:ascii="Arial" w:hAnsi="Arial"/>
                <w:sz w:val="20"/>
                <w:szCs w:val="20"/>
                <w:lang w:val="fr-FR"/>
              </w:rPr>
            </w:pPr>
            <w:r w:rsidRPr="00F41BCC">
              <w:rPr>
                <w:rFonts w:ascii="Arial" w:hAnsi="Arial"/>
                <w:sz w:val="20"/>
                <w:szCs w:val="20"/>
                <w:lang w:val="fr-FR"/>
              </w:rPr>
              <w:t>Total = E</w:t>
            </w:r>
          </w:p>
        </w:tc>
        <w:tc>
          <w:tcPr>
            <w:tcW w:w="1231" w:type="dxa"/>
          </w:tcPr>
          <w:p w14:paraId="632F9342" w14:textId="77777777" w:rsidR="002A59EF" w:rsidRPr="00F41BCC" w:rsidRDefault="002A59EF" w:rsidP="002A59EF">
            <w:pPr>
              <w:jc w:val="both"/>
              <w:rPr>
                <w:rFonts w:ascii="Arial" w:hAnsi="Arial"/>
                <w:sz w:val="20"/>
                <w:szCs w:val="20"/>
                <w:lang w:val="fr-FR"/>
              </w:rPr>
            </w:pPr>
          </w:p>
        </w:tc>
        <w:tc>
          <w:tcPr>
            <w:tcW w:w="2835" w:type="dxa"/>
          </w:tcPr>
          <w:p w14:paraId="3331485A" w14:textId="77777777" w:rsidR="002A59EF" w:rsidRPr="00F41BCC" w:rsidRDefault="002A59EF" w:rsidP="002A59EF">
            <w:pPr>
              <w:jc w:val="center"/>
              <w:rPr>
                <w:rFonts w:ascii="Arial" w:hAnsi="Arial"/>
                <w:sz w:val="20"/>
                <w:szCs w:val="20"/>
                <w:lang w:val="fr-FR"/>
              </w:rPr>
            </w:pPr>
            <w:r w:rsidRPr="00F41BCC">
              <w:rPr>
                <w:rFonts w:ascii="Arial" w:hAnsi="Arial"/>
                <w:sz w:val="20"/>
                <w:szCs w:val="20"/>
                <w:lang w:val="fr-FR"/>
              </w:rPr>
              <w:t>Total = E</w:t>
            </w:r>
          </w:p>
        </w:tc>
        <w:tc>
          <w:tcPr>
            <w:tcW w:w="593" w:type="dxa"/>
            <w:tcBorders>
              <w:top w:val="nil"/>
              <w:bottom w:val="nil"/>
              <w:right w:val="nil"/>
            </w:tcBorders>
          </w:tcPr>
          <w:p w14:paraId="04B17240" w14:textId="77777777" w:rsidR="002A59EF" w:rsidRPr="00A619A0" w:rsidRDefault="002A59EF" w:rsidP="002A59EF">
            <w:pPr>
              <w:jc w:val="both"/>
              <w:rPr>
                <w:rFonts w:ascii="Arial" w:hAnsi="Arial"/>
                <w:sz w:val="22"/>
                <w:lang w:val="fr-FR"/>
              </w:rPr>
            </w:pPr>
          </w:p>
        </w:tc>
      </w:tr>
    </w:tbl>
    <w:p w14:paraId="7FB7355E" w14:textId="77777777" w:rsidR="002A59EF" w:rsidRPr="00A619A0" w:rsidRDefault="002A59EF" w:rsidP="002A59EF">
      <w:pPr>
        <w:tabs>
          <w:tab w:val="left" w:pos="1240"/>
        </w:tabs>
        <w:jc w:val="both"/>
        <w:rPr>
          <w:rFonts w:ascii="Arial" w:hAnsi="Arial"/>
          <w:sz w:val="22"/>
          <w:lang w:val="fr-FR"/>
        </w:rPr>
      </w:pPr>
    </w:p>
    <w:p w14:paraId="13E4C946" w14:textId="77777777" w:rsidR="00FE5BA8" w:rsidRPr="00A619A0" w:rsidRDefault="00FE5BA8">
      <w:pPr>
        <w:jc w:val="both"/>
        <w:rPr>
          <w:rFonts w:ascii="Arial" w:hAnsi="Arial"/>
          <w:sz w:val="22"/>
          <w:lang w:val="fr-FR"/>
        </w:rPr>
      </w:pPr>
    </w:p>
    <w:p w14:paraId="4B0A2F16" w14:textId="77777777" w:rsidR="00174C3B" w:rsidRPr="00A619A0" w:rsidRDefault="00174C3B">
      <w:pPr>
        <w:jc w:val="both"/>
        <w:rPr>
          <w:rFonts w:ascii="Arial" w:hAnsi="Arial"/>
          <w:sz w:val="22"/>
          <w:lang w:val="fr-FR"/>
        </w:rPr>
      </w:pPr>
      <w:r w:rsidRPr="00A619A0">
        <w:rPr>
          <w:rFonts w:ascii="Arial" w:hAnsi="Arial"/>
          <w:b/>
          <w:sz w:val="22"/>
          <w:lang w:val="fr-FR"/>
        </w:rPr>
        <w:t>Frais d'émission de l'emprunt</w:t>
      </w:r>
      <w:r w:rsidRPr="00A619A0">
        <w:rPr>
          <w:rFonts w:ascii="Arial" w:hAnsi="Arial"/>
          <w:sz w:val="22"/>
          <w:lang w:val="fr-FR"/>
        </w:rPr>
        <w:t xml:space="preserve"> : il est possible de les inscrire en charges de l'exercice d'émission ou de passer par le compte charges à répartir</w:t>
      </w:r>
    </w:p>
    <w:p w14:paraId="60BD42B8" w14:textId="77777777" w:rsidR="00174C3B" w:rsidRPr="00A619A0" w:rsidRDefault="00174C3B">
      <w:pPr>
        <w:jc w:val="both"/>
        <w:rPr>
          <w:rFonts w:ascii="Arial" w:hAnsi="Arial"/>
          <w:lang w:val="fr-FR"/>
        </w:rPr>
      </w:pPr>
    </w:p>
    <w:tbl>
      <w:tblPr>
        <w:tblW w:w="9612" w:type="dxa"/>
        <w:tblLayout w:type="fixed"/>
        <w:tblCellMar>
          <w:left w:w="80" w:type="dxa"/>
          <w:right w:w="80" w:type="dxa"/>
        </w:tblCellMar>
        <w:tblLook w:val="0000" w:firstRow="0" w:lastRow="0" w:firstColumn="0" w:lastColumn="0" w:noHBand="0" w:noVBand="0"/>
      </w:tblPr>
      <w:tblGrid>
        <w:gridCol w:w="1498"/>
        <w:gridCol w:w="3969"/>
        <w:gridCol w:w="2126"/>
        <w:gridCol w:w="2019"/>
      </w:tblGrid>
      <w:tr w:rsidR="00174C3B" w:rsidRPr="00A619A0" w14:paraId="6CC67DD8" w14:textId="77777777">
        <w:tc>
          <w:tcPr>
            <w:tcW w:w="1498" w:type="dxa"/>
            <w:tcBorders>
              <w:top w:val="single" w:sz="6" w:space="0" w:color="auto"/>
              <w:left w:val="single" w:sz="6" w:space="0" w:color="auto"/>
              <w:bottom w:val="single" w:sz="6" w:space="0" w:color="auto"/>
              <w:right w:val="single" w:sz="6" w:space="0" w:color="auto"/>
            </w:tcBorders>
          </w:tcPr>
          <w:p w14:paraId="57B583FB" w14:textId="77777777" w:rsidR="00174C3B" w:rsidRPr="00A619A0" w:rsidRDefault="00174C3B">
            <w:pPr>
              <w:jc w:val="center"/>
              <w:rPr>
                <w:rFonts w:ascii="Arial" w:hAnsi="Arial"/>
                <w:b/>
                <w:sz w:val="22"/>
                <w:lang w:val="fr-FR"/>
              </w:rPr>
            </w:pPr>
            <w:r w:rsidRPr="00A619A0">
              <w:rPr>
                <w:rFonts w:ascii="Arial" w:hAnsi="Arial"/>
                <w:b/>
                <w:sz w:val="22"/>
                <w:lang w:val="fr-FR"/>
              </w:rPr>
              <w:t>N° compte</w:t>
            </w:r>
          </w:p>
        </w:tc>
        <w:tc>
          <w:tcPr>
            <w:tcW w:w="3969" w:type="dxa"/>
            <w:tcBorders>
              <w:top w:val="single" w:sz="6" w:space="0" w:color="auto"/>
              <w:left w:val="single" w:sz="6" w:space="0" w:color="auto"/>
              <w:bottom w:val="single" w:sz="6" w:space="0" w:color="auto"/>
              <w:right w:val="single" w:sz="6" w:space="0" w:color="auto"/>
            </w:tcBorders>
          </w:tcPr>
          <w:p w14:paraId="699506AD" w14:textId="77777777" w:rsidR="00174C3B" w:rsidRPr="00A619A0" w:rsidRDefault="00174C3B">
            <w:pPr>
              <w:jc w:val="center"/>
              <w:rPr>
                <w:rFonts w:ascii="Arial" w:hAnsi="Arial"/>
                <w:b/>
                <w:sz w:val="22"/>
                <w:lang w:val="fr-FR"/>
              </w:rPr>
            </w:pPr>
            <w:proofErr w:type="gramStart"/>
            <w:r w:rsidRPr="00A619A0">
              <w:rPr>
                <w:rFonts w:ascii="Arial" w:hAnsi="Arial"/>
                <w:b/>
                <w:sz w:val="22"/>
                <w:lang w:val="fr-FR"/>
              </w:rPr>
              <w:t>nom</w:t>
            </w:r>
            <w:proofErr w:type="gramEnd"/>
            <w:r w:rsidRPr="00A619A0">
              <w:rPr>
                <w:rFonts w:ascii="Arial" w:hAnsi="Arial"/>
                <w:b/>
                <w:sz w:val="22"/>
                <w:lang w:val="fr-FR"/>
              </w:rPr>
              <w:t xml:space="preserve"> compte</w:t>
            </w:r>
          </w:p>
        </w:tc>
        <w:tc>
          <w:tcPr>
            <w:tcW w:w="2126" w:type="dxa"/>
            <w:tcBorders>
              <w:top w:val="single" w:sz="6" w:space="0" w:color="auto"/>
              <w:left w:val="single" w:sz="6" w:space="0" w:color="auto"/>
              <w:bottom w:val="single" w:sz="6" w:space="0" w:color="auto"/>
              <w:right w:val="single" w:sz="6" w:space="0" w:color="auto"/>
            </w:tcBorders>
          </w:tcPr>
          <w:p w14:paraId="152E1A87" w14:textId="77777777" w:rsidR="00174C3B" w:rsidRPr="00A619A0" w:rsidRDefault="00174C3B">
            <w:pPr>
              <w:jc w:val="center"/>
              <w:rPr>
                <w:rFonts w:ascii="Arial" w:hAnsi="Arial"/>
                <w:b/>
                <w:sz w:val="22"/>
                <w:lang w:val="fr-FR"/>
              </w:rPr>
            </w:pPr>
            <w:proofErr w:type="gramStart"/>
            <w:r w:rsidRPr="00A619A0">
              <w:rPr>
                <w:rFonts w:ascii="Arial" w:hAnsi="Arial"/>
                <w:b/>
                <w:sz w:val="22"/>
                <w:lang w:val="fr-FR"/>
              </w:rPr>
              <w:t>débit</w:t>
            </w:r>
            <w:proofErr w:type="gramEnd"/>
          </w:p>
        </w:tc>
        <w:tc>
          <w:tcPr>
            <w:tcW w:w="2019" w:type="dxa"/>
            <w:tcBorders>
              <w:top w:val="single" w:sz="6" w:space="0" w:color="auto"/>
              <w:left w:val="single" w:sz="6" w:space="0" w:color="auto"/>
              <w:bottom w:val="single" w:sz="6" w:space="0" w:color="auto"/>
              <w:right w:val="single" w:sz="6" w:space="0" w:color="auto"/>
            </w:tcBorders>
          </w:tcPr>
          <w:p w14:paraId="24BC744D" w14:textId="77777777" w:rsidR="00174C3B" w:rsidRPr="00A619A0" w:rsidRDefault="00174C3B">
            <w:pPr>
              <w:jc w:val="center"/>
              <w:rPr>
                <w:rFonts w:ascii="Arial" w:hAnsi="Arial"/>
                <w:b/>
                <w:sz w:val="22"/>
                <w:lang w:val="fr-FR"/>
              </w:rPr>
            </w:pPr>
            <w:proofErr w:type="gramStart"/>
            <w:r w:rsidRPr="00A619A0">
              <w:rPr>
                <w:rFonts w:ascii="Arial" w:hAnsi="Arial"/>
                <w:b/>
                <w:sz w:val="22"/>
                <w:lang w:val="fr-FR"/>
              </w:rPr>
              <w:t>crédit</w:t>
            </w:r>
            <w:proofErr w:type="gramEnd"/>
          </w:p>
        </w:tc>
      </w:tr>
      <w:tr w:rsidR="00174C3B" w:rsidRPr="00A619A0" w14:paraId="139F0B48" w14:textId="77777777">
        <w:tc>
          <w:tcPr>
            <w:tcW w:w="1498" w:type="dxa"/>
            <w:tcBorders>
              <w:top w:val="single" w:sz="6" w:space="0" w:color="auto"/>
              <w:left w:val="single" w:sz="6" w:space="0" w:color="auto"/>
              <w:bottom w:val="single" w:sz="6" w:space="0" w:color="auto"/>
              <w:right w:val="single" w:sz="6" w:space="0" w:color="auto"/>
            </w:tcBorders>
          </w:tcPr>
          <w:p w14:paraId="15D6B970" w14:textId="77777777" w:rsidR="00174C3B" w:rsidRPr="006C74B2" w:rsidRDefault="00174C3B" w:rsidP="00174C3B">
            <w:pPr>
              <w:jc w:val="center"/>
              <w:rPr>
                <w:rFonts w:ascii="Arial" w:hAnsi="Arial"/>
                <w:sz w:val="20"/>
                <w:szCs w:val="20"/>
                <w:lang w:val="fr-FR"/>
              </w:rPr>
            </w:pPr>
            <w:r w:rsidRPr="006C74B2">
              <w:rPr>
                <w:rFonts w:ascii="Arial" w:hAnsi="Arial"/>
                <w:sz w:val="20"/>
                <w:szCs w:val="20"/>
                <w:lang w:val="fr-FR"/>
              </w:rPr>
              <w:t>6xx</w:t>
            </w:r>
          </w:p>
          <w:p w14:paraId="6994BBCD" w14:textId="77777777" w:rsidR="00174C3B" w:rsidRPr="006C74B2" w:rsidRDefault="00174C3B">
            <w:pPr>
              <w:jc w:val="center"/>
              <w:rPr>
                <w:rFonts w:ascii="Arial" w:hAnsi="Arial"/>
                <w:sz w:val="20"/>
                <w:szCs w:val="20"/>
                <w:lang w:val="fr-FR"/>
              </w:rPr>
            </w:pPr>
            <w:r w:rsidRPr="006C74B2">
              <w:rPr>
                <w:rFonts w:ascii="Arial" w:hAnsi="Arial"/>
                <w:sz w:val="20"/>
                <w:szCs w:val="20"/>
                <w:lang w:val="fr-FR"/>
              </w:rPr>
              <w:t>5xx</w:t>
            </w:r>
          </w:p>
        </w:tc>
        <w:tc>
          <w:tcPr>
            <w:tcW w:w="3969" w:type="dxa"/>
            <w:tcBorders>
              <w:top w:val="single" w:sz="6" w:space="0" w:color="auto"/>
              <w:left w:val="single" w:sz="6" w:space="0" w:color="auto"/>
              <w:bottom w:val="single" w:sz="6" w:space="0" w:color="auto"/>
              <w:right w:val="single" w:sz="6" w:space="0" w:color="auto"/>
            </w:tcBorders>
          </w:tcPr>
          <w:p w14:paraId="09F59792" w14:textId="77777777" w:rsidR="00174C3B" w:rsidRPr="006C74B2" w:rsidRDefault="00174C3B">
            <w:pPr>
              <w:jc w:val="both"/>
              <w:rPr>
                <w:rFonts w:ascii="Arial" w:hAnsi="Arial"/>
                <w:sz w:val="20"/>
                <w:szCs w:val="20"/>
                <w:lang w:val="fr-FR"/>
              </w:rPr>
            </w:pPr>
            <w:proofErr w:type="gramStart"/>
            <w:r w:rsidRPr="006C74B2">
              <w:rPr>
                <w:rFonts w:ascii="Arial" w:hAnsi="Arial"/>
                <w:sz w:val="20"/>
                <w:szCs w:val="20"/>
                <w:lang w:val="fr-FR"/>
              </w:rPr>
              <w:t>commissions</w:t>
            </w:r>
            <w:proofErr w:type="gramEnd"/>
            <w:r w:rsidRPr="006C74B2">
              <w:rPr>
                <w:rFonts w:ascii="Arial" w:hAnsi="Arial"/>
                <w:sz w:val="20"/>
                <w:szCs w:val="20"/>
                <w:lang w:val="fr-FR"/>
              </w:rPr>
              <w:t xml:space="preserve"> et frais sur emprunts</w:t>
            </w:r>
          </w:p>
          <w:p w14:paraId="2DC46553" w14:textId="77777777" w:rsidR="00174C3B" w:rsidRPr="006C74B2" w:rsidRDefault="00174C3B">
            <w:pPr>
              <w:jc w:val="both"/>
              <w:rPr>
                <w:rFonts w:ascii="Arial" w:hAnsi="Arial"/>
                <w:sz w:val="20"/>
                <w:szCs w:val="20"/>
                <w:lang w:val="fr-FR"/>
              </w:rPr>
            </w:pPr>
            <w:proofErr w:type="gramStart"/>
            <w:r w:rsidRPr="006C74B2">
              <w:rPr>
                <w:rFonts w:ascii="Arial" w:hAnsi="Arial"/>
                <w:sz w:val="20"/>
                <w:szCs w:val="20"/>
                <w:lang w:val="fr-FR"/>
              </w:rPr>
              <w:t>disponibilités</w:t>
            </w:r>
            <w:proofErr w:type="gramEnd"/>
          </w:p>
        </w:tc>
        <w:tc>
          <w:tcPr>
            <w:tcW w:w="2126" w:type="dxa"/>
            <w:tcBorders>
              <w:top w:val="single" w:sz="6" w:space="0" w:color="auto"/>
              <w:left w:val="single" w:sz="6" w:space="0" w:color="auto"/>
              <w:bottom w:val="single" w:sz="6" w:space="0" w:color="auto"/>
              <w:right w:val="single" w:sz="6" w:space="0" w:color="auto"/>
            </w:tcBorders>
          </w:tcPr>
          <w:p w14:paraId="626FFE36" w14:textId="77777777" w:rsidR="00174C3B" w:rsidRPr="006C74B2" w:rsidRDefault="00174C3B">
            <w:pPr>
              <w:jc w:val="center"/>
              <w:rPr>
                <w:rFonts w:ascii="Arial" w:hAnsi="Arial"/>
                <w:sz w:val="20"/>
                <w:szCs w:val="20"/>
                <w:lang w:val="fr-FR"/>
              </w:rPr>
            </w:pPr>
            <w:r w:rsidRPr="006C74B2">
              <w:rPr>
                <w:rFonts w:ascii="Arial" w:hAnsi="Arial"/>
                <w:sz w:val="20"/>
                <w:szCs w:val="20"/>
                <w:lang w:val="fr-FR"/>
              </w:rPr>
              <w:t>X</w:t>
            </w:r>
          </w:p>
        </w:tc>
        <w:tc>
          <w:tcPr>
            <w:tcW w:w="2019" w:type="dxa"/>
            <w:tcBorders>
              <w:top w:val="single" w:sz="6" w:space="0" w:color="auto"/>
              <w:left w:val="single" w:sz="6" w:space="0" w:color="auto"/>
              <w:bottom w:val="single" w:sz="6" w:space="0" w:color="auto"/>
              <w:right w:val="single" w:sz="6" w:space="0" w:color="auto"/>
            </w:tcBorders>
          </w:tcPr>
          <w:p w14:paraId="7D784E61" w14:textId="77777777" w:rsidR="00174C3B" w:rsidRPr="006C74B2" w:rsidRDefault="00174C3B" w:rsidP="00174C3B">
            <w:pPr>
              <w:rPr>
                <w:rFonts w:ascii="Arial" w:hAnsi="Arial"/>
                <w:sz w:val="20"/>
                <w:szCs w:val="20"/>
                <w:lang w:val="fr-FR"/>
              </w:rPr>
            </w:pPr>
          </w:p>
          <w:p w14:paraId="0B63ED9B" w14:textId="310BF658" w:rsidR="00174C3B" w:rsidRPr="006C74B2" w:rsidRDefault="008D2C93">
            <w:pPr>
              <w:jc w:val="center"/>
              <w:rPr>
                <w:rFonts w:ascii="Arial" w:hAnsi="Arial"/>
                <w:sz w:val="20"/>
                <w:szCs w:val="20"/>
                <w:lang w:val="fr-FR"/>
              </w:rPr>
            </w:pPr>
            <w:r w:rsidRPr="006C74B2">
              <w:rPr>
                <w:rFonts w:ascii="Arial" w:hAnsi="Arial"/>
                <w:sz w:val="20"/>
                <w:szCs w:val="20"/>
                <w:lang w:val="fr-FR"/>
              </w:rPr>
              <w:t>X</w:t>
            </w:r>
          </w:p>
        </w:tc>
      </w:tr>
      <w:tr w:rsidR="00174C3B" w:rsidRPr="00A619A0" w14:paraId="5B715C93" w14:textId="77777777">
        <w:tc>
          <w:tcPr>
            <w:tcW w:w="1498" w:type="dxa"/>
            <w:tcBorders>
              <w:top w:val="single" w:sz="6" w:space="0" w:color="auto"/>
              <w:left w:val="single" w:sz="6" w:space="0" w:color="auto"/>
              <w:bottom w:val="single" w:sz="6" w:space="0" w:color="auto"/>
              <w:right w:val="single" w:sz="6" w:space="0" w:color="auto"/>
            </w:tcBorders>
          </w:tcPr>
          <w:p w14:paraId="578096EE" w14:textId="77777777" w:rsidR="00174C3B" w:rsidRPr="006C74B2" w:rsidRDefault="00174C3B">
            <w:pPr>
              <w:jc w:val="center"/>
              <w:rPr>
                <w:rFonts w:ascii="Arial" w:hAnsi="Arial"/>
                <w:sz w:val="20"/>
                <w:szCs w:val="20"/>
                <w:lang w:val="fr-FR"/>
              </w:rPr>
            </w:pPr>
            <w:r w:rsidRPr="006C74B2">
              <w:rPr>
                <w:rFonts w:ascii="Arial" w:hAnsi="Arial"/>
                <w:sz w:val="20"/>
                <w:szCs w:val="20"/>
                <w:lang w:val="fr-FR"/>
              </w:rPr>
              <w:t>481</w:t>
            </w:r>
          </w:p>
          <w:p w14:paraId="7B2B1720" w14:textId="77777777" w:rsidR="00174C3B" w:rsidRPr="006C74B2" w:rsidRDefault="00174C3B">
            <w:pPr>
              <w:jc w:val="center"/>
              <w:rPr>
                <w:rFonts w:ascii="Arial" w:hAnsi="Arial"/>
                <w:sz w:val="20"/>
                <w:szCs w:val="20"/>
                <w:lang w:val="fr-FR"/>
              </w:rPr>
            </w:pPr>
            <w:r w:rsidRPr="006C74B2">
              <w:rPr>
                <w:rFonts w:ascii="Arial" w:hAnsi="Arial"/>
                <w:sz w:val="20"/>
                <w:szCs w:val="20"/>
                <w:lang w:val="fr-FR"/>
              </w:rPr>
              <w:t>791</w:t>
            </w:r>
          </w:p>
        </w:tc>
        <w:tc>
          <w:tcPr>
            <w:tcW w:w="3969" w:type="dxa"/>
            <w:tcBorders>
              <w:top w:val="single" w:sz="6" w:space="0" w:color="auto"/>
              <w:left w:val="single" w:sz="6" w:space="0" w:color="auto"/>
              <w:bottom w:val="single" w:sz="6" w:space="0" w:color="auto"/>
              <w:right w:val="single" w:sz="6" w:space="0" w:color="auto"/>
            </w:tcBorders>
          </w:tcPr>
          <w:p w14:paraId="3F2331B1" w14:textId="77777777" w:rsidR="00174C3B" w:rsidRPr="006C74B2" w:rsidRDefault="00174C3B">
            <w:pPr>
              <w:jc w:val="both"/>
              <w:rPr>
                <w:rFonts w:ascii="Arial" w:hAnsi="Arial"/>
                <w:sz w:val="20"/>
                <w:szCs w:val="20"/>
                <w:lang w:val="fr-FR"/>
              </w:rPr>
            </w:pPr>
            <w:proofErr w:type="gramStart"/>
            <w:r w:rsidRPr="006C74B2">
              <w:rPr>
                <w:rFonts w:ascii="Arial" w:hAnsi="Arial"/>
                <w:sz w:val="20"/>
                <w:szCs w:val="20"/>
                <w:lang w:val="fr-FR"/>
              </w:rPr>
              <w:t>charges</w:t>
            </w:r>
            <w:proofErr w:type="gramEnd"/>
            <w:r w:rsidRPr="006C74B2">
              <w:rPr>
                <w:rFonts w:ascii="Arial" w:hAnsi="Arial"/>
                <w:sz w:val="20"/>
                <w:szCs w:val="20"/>
                <w:lang w:val="fr-FR"/>
              </w:rPr>
              <w:t xml:space="preserve"> à répartir</w:t>
            </w:r>
          </w:p>
          <w:p w14:paraId="443631EF" w14:textId="77777777" w:rsidR="00174C3B" w:rsidRPr="006C74B2" w:rsidRDefault="00174C3B">
            <w:pPr>
              <w:jc w:val="both"/>
              <w:rPr>
                <w:rFonts w:ascii="Arial" w:hAnsi="Arial"/>
                <w:sz w:val="20"/>
                <w:szCs w:val="20"/>
                <w:lang w:val="fr-FR"/>
              </w:rPr>
            </w:pPr>
            <w:proofErr w:type="gramStart"/>
            <w:r w:rsidRPr="006C74B2">
              <w:rPr>
                <w:rFonts w:ascii="Arial" w:hAnsi="Arial"/>
                <w:sz w:val="20"/>
                <w:szCs w:val="20"/>
                <w:lang w:val="fr-FR"/>
              </w:rPr>
              <w:t>transferts</w:t>
            </w:r>
            <w:proofErr w:type="gramEnd"/>
            <w:r w:rsidRPr="006C74B2">
              <w:rPr>
                <w:rFonts w:ascii="Arial" w:hAnsi="Arial"/>
                <w:sz w:val="20"/>
                <w:szCs w:val="20"/>
                <w:lang w:val="fr-FR"/>
              </w:rPr>
              <w:t xml:space="preserve"> de charges</w:t>
            </w:r>
          </w:p>
        </w:tc>
        <w:tc>
          <w:tcPr>
            <w:tcW w:w="2126" w:type="dxa"/>
            <w:tcBorders>
              <w:top w:val="single" w:sz="6" w:space="0" w:color="auto"/>
              <w:left w:val="single" w:sz="6" w:space="0" w:color="auto"/>
              <w:bottom w:val="single" w:sz="6" w:space="0" w:color="auto"/>
              <w:right w:val="single" w:sz="6" w:space="0" w:color="auto"/>
            </w:tcBorders>
          </w:tcPr>
          <w:p w14:paraId="6E268778" w14:textId="085ABE09" w:rsidR="00174C3B" w:rsidRPr="006C74B2" w:rsidRDefault="00E3200F">
            <w:pPr>
              <w:jc w:val="center"/>
              <w:rPr>
                <w:rFonts w:ascii="Arial" w:hAnsi="Arial"/>
                <w:sz w:val="20"/>
                <w:szCs w:val="20"/>
                <w:lang w:val="fr-FR"/>
              </w:rPr>
            </w:pPr>
            <w:r w:rsidRPr="006C74B2">
              <w:rPr>
                <w:rFonts w:ascii="Arial" w:hAnsi="Arial"/>
                <w:sz w:val="20"/>
                <w:szCs w:val="20"/>
                <w:lang w:val="fr-FR"/>
              </w:rPr>
              <w:t>X</w:t>
            </w:r>
          </w:p>
        </w:tc>
        <w:tc>
          <w:tcPr>
            <w:tcW w:w="2019" w:type="dxa"/>
            <w:tcBorders>
              <w:top w:val="single" w:sz="6" w:space="0" w:color="auto"/>
              <w:left w:val="single" w:sz="6" w:space="0" w:color="auto"/>
              <w:bottom w:val="single" w:sz="6" w:space="0" w:color="auto"/>
              <w:right w:val="single" w:sz="6" w:space="0" w:color="auto"/>
            </w:tcBorders>
          </w:tcPr>
          <w:p w14:paraId="57280B24" w14:textId="77777777" w:rsidR="00174C3B" w:rsidRPr="006C74B2" w:rsidRDefault="00174C3B">
            <w:pPr>
              <w:jc w:val="center"/>
              <w:rPr>
                <w:rFonts w:ascii="Arial" w:hAnsi="Arial"/>
                <w:sz w:val="20"/>
                <w:szCs w:val="20"/>
                <w:lang w:val="fr-FR"/>
              </w:rPr>
            </w:pPr>
          </w:p>
          <w:p w14:paraId="36404A5B" w14:textId="55F28B27" w:rsidR="00174C3B" w:rsidRPr="006C74B2" w:rsidRDefault="00E3200F">
            <w:pPr>
              <w:jc w:val="center"/>
              <w:rPr>
                <w:rFonts w:ascii="Arial" w:hAnsi="Arial"/>
                <w:sz w:val="20"/>
                <w:szCs w:val="20"/>
                <w:lang w:val="fr-FR"/>
              </w:rPr>
            </w:pPr>
            <w:r w:rsidRPr="006C74B2">
              <w:rPr>
                <w:rFonts w:ascii="Arial" w:hAnsi="Arial"/>
                <w:sz w:val="20"/>
                <w:szCs w:val="20"/>
                <w:lang w:val="fr-FR"/>
              </w:rPr>
              <w:t>X</w:t>
            </w:r>
          </w:p>
        </w:tc>
      </w:tr>
      <w:tr w:rsidR="00174C3B" w:rsidRPr="00A619A0" w14:paraId="6B66193A" w14:textId="77777777">
        <w:tc>
          <w:tcPr>
            <w:tcW w:w="1498" w:type="dxa"/>
            <w:tcBorders>
              <w:top w:val="single" w:sz="6" w:space="0" w:color="auto"/>
              <w:left w:val="single" w:sz="6" w:space="0" w:color="auto"/>
              <w:bottom w:val="single" w:sz="6" w:space="0" w:color="auto"/>
              <w:right w:val="single" w:sz="6" w:space="0" w:color="auto"/>
            </w:tcBorders>
          </w:tcPr>
          <w:p w14:paraId="26F9533D" w14:textId="77777777" w:rsidR="00174C3B" w:rsidRPr="006C74B2" w:rsidRDefault="00174C3B" w:rsidP="00174C3B">
            <w:pPr>
              <w:jc w:val="center"/>
              <w:rPr>
                <w:rFonts w:ascii="Arial" w:hAnsi="Arial"/>
                <w:sz w:val="20"/>
                <w:szCs w:val="20"/>
                <w:lang w:val="fr-FR"/>
              </w:rPr>
            </w:pPr>
            <w:r w:rsidRPr="006C74B2">
              <w:rPr>
                <w:rFonts w:ascii="Arial" w:hAnsi="Arial"/>
                <w:sz w:val="20"/>
                <w:szCs w:val="20"/>
                <w:lang w:val="fr-FR"/>
              </w:rPr>
              <w:t>686</w:t>
            </w:r>
          </w:p>
          <w:p w14:paraId="45FB0AD9" w14:textId="29E05682" w:rsidR="00174C3B" w:rsidRPr="006C74B2" w:rsidRDefault="00EA7D4E">
            <w:pPr>
              <w:jc w:val="center"/>
              <w:rPr>
                <w:rFonts w:ascii="Arial" w:hAnsi="Arial"/>
                <w:sz w:val="20"/>
                <w:szCs w:val="20"/>
                <w:lang w:val="fr-FR"/>
              </w:rPr>
            </w:pPr>
            <w:r w:rsidRPr="006C74B2">
              <w:rPr>
                <w:rFonts w:ascii="Arial" w:hAnsi="Arial"/>
                <w:sz w:val="20"/>
                <w:szCs w:val="20"/>
                <w:lang w:val="fr-FR"/>
              </w:rPr>
              <w:t>4</w:t>
            </w:r>
            <w:r w:rsidR="00174C3B" w:rsidRPr="006C74B2">
              <w:rPr>
                <w:rFonts w:ascii="Arial" w:hAnsi="Arial"/>
                <w:sz w:val="20"/>
                <w:szCs w:val="20"/>
                <w:lang w:val="fr-FR"/>
              </w:rPr>
              <w:t>81</w:t>
            </w:r>
          </w:p>
        </w:tc>
        <w:tc>
          <w:tcPr>
            <w:tcW w:w="3969" w:type="dxa"/>
            <w:tcBorders>
              <w:top w:val="single" w:sz="6" w:space="0" w:color="auto"/>
              <w:left w:val="single" w:sz="6" w:space="0" w:color="auto"/>
              <w:bottom w:val="single" w:sz="6" w:space="0" w:color="auto"/>
              <w:right w:val="single" w:sz="6" w:space="0" w:color="auto"/>
            </w:tcBorders>
          </w:tcPr>
          <w:p w14:paraId="4ADC0FCE" w14:textId="77777777" w:rsidR="00174C3B" w:rsidRPr="006C74B2" w:rsidRDefault="00174C3B">
            <w:pPr>
              <w:jc w:val="both"/>
              <w:rPr>
                <w:rFonts w:ascii="Arial" w:hAnsi="Arial"/>
                <w:sz w:val="20"/>
                <w:szCs w:val="20"/>
                <w:lang w:val="fr-FR"/>
              </w:rPr>
            </w:pPr>
            <w:proofErr w:type="gramStart"/>
            <w:r w:rsidRPr="006C74B2">
              <w:rPr>
                <w:rFonts w:ascii="Arial" w:hAnsi="Arial"/>
                <w:sz w:val="20"/>
                <w:szCs w:val="20"/>
                <w:lang w:val="fr-FR"/>
              </w:rPr>
              <w:t>dotations</w:t>
            </w:r>
            <w:proofErr w:type="gramEnd"/>
            <w:r w:rsidRPr="006C74B2">
              <w:rPr>
                <w:rFonts w:ascii="Arial" w:hAnsi="Arial"/>
                <w:sz w:val="20"/>
                <w:szCs w:val="20"/>
                <w:lang w:val="fr-FR"/>
              </w:rPr>
              <w:t xml:space="preserve"> aux amortissements</w:t>
            </w:r>
          </w:p>
          <w:p w14:paraId="77573E08" w14:textId="77777777" w:rsidR="00174C3B" w:rsidRPr="006C74B2" w:rsidRDefault="00174C3B">
            <w:pPr>
              <w:jc w:val="both"/>
              <w:rPr>
                <w:rFonts w:ascii="Arial" w:hAnsi="Arial"/>
                <w:sz w:val="20"/>
                <w:szCs w:val="20"/>
                <w:lang w:val="fr-FR"/>
              </w:rPr>
            </w:pPr>
            <w:proofErr w:type="gramStart"/>
            <w:r w:rsidRPr="006C74B2">
              <w:rPr>
                <w:rFonts w:ascii="Arial" w:hAnsi="Arial"/>
                <w:sz w:val="20"/>
                <w:szCs w:val="20"/>
                <w:lang w:val="fr-FR"/>
              </w:rPr>
              <w:t>charges</w:t>
            </w:r>
            <w:proofErr w:type="gramEnd"/>
            <w:r w:rsidRPr="006C74B2">
              <w:rPr>
                <w:rFonts w:ascii="Arial" w:hAnsi="Arial"/>
                <w:sz w:val="20"/>
                <w:szCs w:val="20"/>
                <w:lang w:val="fr-FR"/>
              </w:rPr>
              <w:t xml:space="preserve"> à répartir</w:t>
            </w:r>
          </w:p>
        </w:tc>
        <w:tc>
          <w:tcPr>
            <w:tcW w:w="2126" w:type="dxa"/>
            <w:tcBorders>
              <w:top w:val="single" w:sz="6" w:space="0" w:color="auto"/>
              <w:left w:val="single" w:sz="6" w:space="0" w:color="auto"/>
              <w:bottom w:val="single" w:sz="6" w:space="0" w:color="auto"/>
              <w:right w:val="single" w:sz="6" w:space="0" w:color="auto"/>
            </w:tcBorders>
          </w:tcPr>
          <w:p w14:paraId="68F39DD5" w14:textId="701EF004" w:rsidR="00174C3B" w:rsidRPr="006C74B2" w:rsidRDefault="00E3200F">
            <w:pPr>
              <w:jc w:val="center"/>
              <w:rPr>
                <w:rFonts w:ascii="Arial" w:hAnsi="Arial"/>
                <w:sz w:val="20"/>
                <w:szCs w:val="20"/>
                <w:lang w:val="fr-FR"/>
              </w:rPr>
            </w:pPr>
            <w:r w:rsidRPr="006C74B2">
              <w:rPr>
                <w:rFonts w:ascii="Arial" w:hAnsi="Arial"/>
                <w:sz w:val="20"/>
                <w:szCs w:val="20"/>
                <w:lang w:val="fr-FR"/>
              </w:rPr>
              <w:t>Y= X/n</w:t>
            </w:r>
          </w:p>
        </w:tc>
        <w:tc>
          <w:tcPr>
            <w:tcW w:w="2019" w:type="dxa"/>
            <w:tcBorders>
              <w:top w:val="single" w:sz="6" w:space="0" w:color="auto"/>
              <w:left w:val="single" w:sz="6" w:space="0" w:color="auto"/>
              <w:bottom w:val="single" w:sz="6" w:space="0" w:color="auto"/>
              <w:right w:val="single" w:sz="6" w:space="0" w:color="auto"/>
            </w:tcBorders>
          </w:tcPr>
          <w:p w14:paraId="64FAE7FE" w14:textId="77777777" w:rsidR="00174C3B" w:rsidRPr="006C74B2" w:rsidRDefault="00174C3B" w:rsidP="00174C3B">
            <w:pPr>
              <w:rPr>
                <w:rFonts w:ascii="Arial" w:hAnsi="Arial"/>
                <w:sz w:val="20"/>
                <w:szCs w:val="20"/>
                <w:lang w:val="fr-FR"/>
              </w:rPr>
            </w:pPr>
          </w:p>
          <w:p w14:paraId="08A2DF88" w14:textId="60DA1FB6" w:rsidR="00174C3B" w:rsidRPr="006C74B2" w:rsidRDefault="00E3200F">
            <w:pPr>
              <w:jc w:val="center"/>
              <w:rPr>
                <w:rFonts w:ascii="Arial" w:hAnsi="Arial"/>
                <w:sz w:val="20"/>
                <w:szCs w:val="20"/>
                <w:lang w:val="fr-FR"/>
              </w:rPr>
            </w:pPr>
            <w:r w:rsidRPr="006C74B2">
              <w:rPr>
                <w:rFonts w:ascii="Arial" w:hAnsi="Arial"/>
                <w:sz w:val="20"/>
                <w:szCs w:val="20"/>
                <w:lang w:val="fr-FR"/>
              </w:rPr>
              <w:t>Y = X/n</w:t>
            </w:r>
          </w:p>
        </w:tc>
      </w:tr>
    </w:tbl>
    <w:p w14:paraId="46E2C872" w14:textId="77777777" w:rsidR="00174C3B" w:rsidRPr="00A619A0" w:rsidRDefault="00174C3B">
      <w:pPr>
        <w:jc w:val="both"/>
        <w:rPr>
          <w:rFonts w:ascii="Arial" w:hAnsi="Arial"/>
          <w:sz w:val="22"/>
          <w:lang w:val="fr-FR"/>
        </w:rPr>
      </w:pPr>
    </w:p>
    <w:p w14:paraId="0DBBC309" w14:textId="77777777" w:rsidR="002A59EF" w:rsidRPr="00A619A0" w:rsidRDefault="002A59EF">
      <w:pPr>
        <w:jc w:val="both"/>
        <w:rPr>
          <w:rFonts w:ascii="Arial" w:hAnsi="Arial"/>
          <w:sz w:val="22"/>
          <w:lang w:val="fr-FR"/>
        </w:rPr>
      </w:pPr>
    </w:p>
    <w:p w14:paraId="7735D92D" w14:textId="77777777" w:rsidR="002A59EF" w:rsidRPr="00A619A0" w:rsidRDefault="002A59EF">
      <w:pPr>
        <w:jc w:val="both"/>
        <w:rPr>
          <w:rFonts w:ascii="Arial" w:hAnsi="Arial"/>
          <w:sz w:val="22"/>
          <w:lang w:val="fr-FR"/>
        </w:rPr>
      </w:pPr>
    </w:p>
    <w:p w14:paraId="2904E17F" w14:textId="77777777" w:rsidR="002A59EF" w:rsidRPr="00E5018A" w:rsidRDefault="002A59EF">
      <w:pPr>
        <w:jc w:val="both"/>
        <w:rPr>
          <w:rFonts w:ascii="Arial" w:hAnsi="Arial"/>
          <w:b/>
          <w:color w:val="000000" w:themeColor="text1"/>
          <w:sz w:val="22"/>
          <w:lang w:val="fr-FR"/>
        </w:rPr>
      </w:pPr>
      <w:r w:rsidRPr="00E5018A">
        <w:rPr>
          <w:rFonts w:ascii="Arial" w:hAnsi="Arial"/>
          <w:b/>
          <w:color w:val="000000" w:themeColor="text1"/>
          <w:sz w:val="22"/>
          <w:lang w:val="fr-FR"/>
        </w:rPr>
        <w:t>B) Service de l’emprunt</w:t>
      </w:r>
    </w:p>
    <w:p w14:paraId="0530995B" w14:textId="43542D41" w:rsidR="00885B3B" w:rsidRPr="00E5018A" w:rsidRDefault="008624C9">
      <w:pPr>
        <w:jc w:val="both"/>
        <w:rPr>
          <w:rFonts w:ascii="Arial" w:hAnsi="Arial"/>
          <w:color w:val="000000" w:themeColor="text1"/>
          <w:sz w:val="22"/>
          <w:lang w:val="fr-FR"/>
        </w:rPr>
      </w:pPr>
      <w:r w:rsidRPr="00E5018A">
        <w:rPr>
          <w:rFonts w:ascii="Arial" w:hAnsi="Arial"/>
          <w:color w:val="000000" w:themeColor="text1"/>
          <w:sz w:val="22"/>
          <w:lang w:val="fr-FR"/>
        </w:rPr>
        <w:t>Pour la suite, il convient</w:t>
      </w:r>
      <w:r w:rsidR="00174C3B" w:rsidRPr="00E5018A">
        <w:rPr>
          <w:rFonts w:ascii="Arial" w:hAnsi="Arial"/>
          <w:color w:val="000000" w:themeColor="text1"/>
          <w:sz w:val="22"/>
          <w:lang w:val="fr-FR"/>
        </w:rPr>
        <w:t xml:space="preserve"> </w:t>
      </w:r>
      <w:r w:rsidR="00885B3B" w:rsidRPr="00E5018A">
        <w:rPr>
          <w:rFonts w:ascii="Arial" w:hAnsi="Arial"/>
          <w:color w:val="000000" w:themeColor="text1"/>
          <w:sz w:val="22"/>
          <w:lang w:val="fr-FR"/>
        </w:rPr>
        <w:t>d’établir le tableau d’amorti</w:t>
      </w:r>
      <w:r w:rsidR="006B44C8" w:rsidRPr="00E5018A">
        <w:rPr>
          <w:rFonts w:ascii="Arial" w:hAnsi="Arial"/>
          <w:color w:val="000000" w:themeColor="text1"/>
          <w:sz w:val="22"/>
          <w:lang w:val="fr-FR"/>
        </w:rPr>
        <w:t>sse</w:t>
      </w:r>
      <w:r w:rsidR="002A59EF" w:rsidRPr="00E5018A">
        <w:rPr>
          <w:rFonts w:ascii="Arial" w:hAnsi="Arial"/>
          <w:color w:val="000000" w:themeColor="text1"/>
          <w:sz w:val="22"/>
          <w:lang w:val="fr-FR"/>
        </w:rPr>
        <w:t>ment de l’emprunt</w:t>
      </w:r>
      <w:r w:rsidR="00885B3B" w:rsidRPr="00E5018A">
        <w:rPr>
          <w:rFonts w:ascii="Arial" w:hAnsi="Arial"/>
          <w:color w:val="000000" w:themeColor="text1"/>
          <w:sz w:val="22"/>
          <w:lang w:val="fr-FR"/>
        </w:rPr>
        <w:t> :</w:t>
      </w:r>
    </w:p>
    <w:p w14:paraId="29E7D1D3" w14:textId="47BE06BC" w:rsidR="002A59EF" w:rsidRPr="00E5018A" w:rsidRDefault="004C6D31">
      <w:pPr>
        <w:jc w:val="both"/>
        <w:rPr>
          <w:rFonts w:ascii="Arial" w:hAnsi="Arial"/>
          <w:color w:val="000000" w:themeColor="text1"/>
          <w:sz w:val="22"/>
          <w:lang w:val="fr-FR"/>
        </w:rPr>
      </w:pPr>
      <w:r w:rsidRPr="00E5018A">
        <w:rPr>
          <w:rFonts w:ascii="Arial" w:hAnsi="Arial"/>
          <w:color w:val="000000" w:themeColor="text1"/>
          <w:sz w:val="22"/>
          <w:lang w:val="fr-FR"/>
        </w:rPr>
        <w:t>Soit un emprunt de 40 000 obligations, nominal 1 000 € :</w:t>
      </w:r>
    </w:p>
    <w:p w14:paraId="3477E6AA" w14:textId="77777777" w:rsidR="00885B3B" w:rsidRPr="00E5018A" w:rsidRDefault="00885B3B">
      <w:pPr>
        <w:jc w:val="both"/>
        <w:rPr>
          <w:rFonts w:ascii="Arial" w:hAnsi="Arial"/>
          <w:color w:val="000000" w:themeColor="text1"/>
          <w:sz w:val="22"/>
          <w:lang w:val="fr-FR"/>
        </w:rPr>
      </w:pPr>
    </w:p>
    <w:tbl>
      <w:tblPr>
        <w:tblW w:w="0" w:type="auto"/>
        <w:tblLook w:val="04A0" w:firstRow="1" w:lastRow="0" w:firstColumn="1" w:lastColumn="0" w:noHBand="0" w:noVBand="1"/>
      </w:tblPr>
      <w:tblGrid>
        <w:gridCol w:w="1534"/>
        <w:gridCol w:w="1534"/>
        <w:gridCol w:w="3069"/>
      </w:tblGrid>
      <w:tr w:rsidR="00166ACD" w:rsidRPr="00E5018A" w14:paraId="14C909A3" w14:textId="77777777" w:rsidTr="00CD484C">
        <w:tc>
          <w:tcPr>
            <w:tcW w:w="1534" w:type="dxa"/>
            <w:tcBorders>
              <w:right w:val="single" w:sz="4" w:space="0" w:color="auto"/>
            </w:tcBorders>
            <w:shd w:val="clear" w:color="auto" w:fill="auto"/>
            <w:vAlign w:val="bottom"/>
          </w:tcPr>
          <w:p w14:paraId="76D8E0D8" w14:textId="77777777" w:rsidR="00982591" w:rsidRPr="00E5018A" w:rsidRDefault="00982591" w:rsidP="00CD484C">
            <w:pPr>
              <w:jc w:val="right"/>
              <w:rPr>
                <w:rFonts w:ascii="Arial" w:hAnsi="Arial" w:cs="Arial"/>
                <w:color w:val="000000" w:themeColor="text1"/>
                <w:sz w:val="22"/>
                <w:szCs w:val="22"/>
                <w:lang w:val="fr-FR"/>
              </w:rPr>
            </w:pPr>
          </w:p>
        </w:tc>
        <w:tc>
          <w:tcPr>
            <w:tcW w:w="1534" w:type="dxa"/>
            <w:tcBorders>
              <w:top w:val="single" w:sz="4" w:space="0" w:color="auto"/>
              <w:left w:val="single" w:sz="4" w:space="0" w:color="auto"/>
            </w:tcBorders>
            <w:shd w:val="clear" w:color="auto" w:fill="auto"/>
            <w:vAlign w:val="bottom"/>
          </w:tcPr>
          <w:p w14:paraId="7936BD8B" w14:textId="77777777" w:rsidR="00982591" w:rsidRPr="006C74B2" w:rsidRDefault="00982591" w:rsidP="00CD484C">
            <w:pPr>
              <w:jc w:val="right"/>
              <w:rPr>
                <w:rFonts w:ascii="Arial" w:hAnsi="Arial" w:cs="Arial"/>
                <w:color w:val="000000" w:themeColor="text1"/>
                <w:sz w:val="20"/>
                <w:szCs w:val="20"/>
                <w:lang w:val="fr-FR"/>
              </w:rPr>
            </w:pPr>
            <w:proofErr w:type="gramStart"/>
            <w:r w:rsidRPr="006C74B2">
              <w:rPr>
                <w:rFonts w:ascii="Arial" w:hAnsi="Arial" w:cs="Arial"/>
                <w:bCs/>
                <w:color w:val="000000" w:themeColor="text1"/>
                <w:sz w:val="20"/>
                <w:szCs w:val="20"/>
                <w:lang w:val="fr-FR"/>
              </w:rPr>
              <w:t>i</w:t>
            </w:r>
            <w:proofErr w:type="gramEnd"/>
            <w:r w:rsidRPr="006C74B2">
              <w:rPr>
                <w:rFonts w:ascii="Arial" w:hAnsi="Arial" w:cs="Arial"/>
                <w:bCs/>
                <w:color w:val="000000" w:themeColor="text1"/>
                <w:sz w:val="20"/>
                <w:szCs w:val="20"/>
                <w:lang w:val="fr-FR"/>
              </w:rPr>
              <w:t xml:space="preserve"> =</w:t>
            </w:r>
          </w:p>
        </w:tc>
        <w:tc>
          <w:tcPr>
            <w:tcW w:w="3069" w:type="dxa"/>
            <w:tcBorders>
              <w:top w:val="single" w:sz="4" w:space="0" w:color="auto"/>
              <w:right w:val="single" w:sz="4" w:space="0" w:color="auto"/>
            </w:tcBorders>
            <w:shd w:val="clear" w:color="auto" w:fill="auto"/>
            <w:vAlign w:val="bottom"/>
          </w:tcPr>
          <w:p w14:paraId="44128019" w14:textId="77777777" w:rsidR="00982591" w:rsidRPr="006C74B2" w:rsidRDefault="00982591" w:rsidP="00CD484C">
            <w:pPr>
              <w:jc w:val="center"/>
              <w:rPr>
                <w:rFonts w:ascii="Arial" w:hAnsi="Arial" w:cs="Arial"/>
                <w:bCs/>
                <w:color w:val="000000" w:themeColor="text1"/>
                <w:sz w:val="20"/>
                <w:szCs w:val="20"/>
                <w:lang w:val="fr-FR"/>
              </w:rPr>
            </w:pPr>
            <w:r w:rsidRPr="006C74B2">
              <w:rPr>
                <w:rFonts w:ascii="Arial" w:hAnsi="Arial" w:cs="Arial"/>
                <w:bCs/>
                <w:color w:val="000000" w:themeColor="text1"/>
                <w:sz w:val="20"/>
                <w:szCs w:val="20"/>
                <w:lang w:val="fr-FR"/>
              </w:rPr>
              <w:t>5,35%</w:t>
            </w:r>
          </w:p>
        </w:tc>
      </w:tr>
      <w:tr w:rsidR="00166ACD" w:rsidRPr="00E5018A" w14:paraId="6CDFDC0A" w14:textId="77777777" w:rsidTr="00CD484C">
        <w:tc>
          <w:tcPr>
            <w:tcW w:w="1534" w:type="dxa"/>
            <w:tcBorders>
              <w:right w:val="single" w:sz="4" w:space="0" w:color="auto"/>
            </w:tcBorders>
            <w:shd w:val="clear" w:color="auto" w:fill="auto"/>
            <w:vAlign w:val="bottom"/>
          </w:tcPr>
          <w:p w14:paraId="7F8381C9" w14:textId="77777777" w:rsidR="00982591" w:rsidRPr="00E5018A" w:rsidRDefault="00982591" w:rsidP="00CD484C">
            <w:pPr>
              <w:jc w:val="right"/>
              <w:rPr>
                <w:rFonts w:ascii="Arial" w:hAnsi="Arial" w:cs="Arial"/>
                <w:color w:val="000000" w:themeColor="text1"/>
                <w:sz w:val="22"/>
                <w:szCs w:val="22"/>
                <w:lang w:val="fr-FR"/>
              </w:rPr>
            </w:pPr>
          </w:p>
        </w:tc>
        <w:tc>
          <w:tcPr>
            <w:tcW w:w="1534" w:type="dxa"/>
            <w:tcBorders>
              <w:left w:val="single" w:sz="4" w:space="0" w:color="auto"/>
            </w:tcBorders>
            <w:shd w:val="clear" w:color="auto" w:fill="auto"/>
            <w:vAlign w:val="bottom"/>
          </w:tcPr>
          <w:p w14:paraId="7316F879"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C =</w:t>
            </w:r>
          </w:p>
        </w:tc>
        <w:tc>
          <w:tcPr>
            <w:tcW w:w="3069" w:type="dxa"/>
            <w:tcBorders>
              <w:right w:val="single" w:sz="4" w:space="0" w:color="auto"/>
            </w:tcBorders>
            <w:shd w:val="clear" w:color="auto" w:fill="auto"/>
            <w:vAlign w:val="bottom"/>
          </w:tcPr>
          <w:p w14:paraId="53472EEB" w14:textId="77777777" w:rsidR="00982591" w:rsidRPr="006C74B2" w:rsidRDefault="00982591" w:rsidP="00CD484C">
            <w:pPr>
              <w:jc w:val="center"/>
              <w:rPr>
                <w:rFonts w:ascii="Arial" w:hAnsi="Arial" w:cs="Arial"/>
                <w:bCs/>
                <w:color w:val="000000" w:themeColor="text1"/>
                <w:sz w:val="20"/>
                <w:szCs w:val="20"/>
                <w:lang w:val="fr-FR"/>
              </w:rPr>
            </w:pPr>
            <w:r w:rsidRPr="006C74B2">
              <w:rPr>
                <w:rFonts w:ascii="Arial" w:hAnsi="Arial" w:cs="Arial"/>
                <w:bCs/>
                <w:color w:val="000000" w:themeColor="text1"/>
                <w:sz w:val="20"/>
                <w:szCs w:val="20"/>
                <w:lang w:val="fr-FR"/>
              </w:rPr>
              <w:t>1 000</w:t>
            </w:r>
          </w:p>
        </w:tc>
      </w:tr>
      <w:tr w:rsidR="00166ACD" w:rsidRPr="00E5018A" w14:paraId="50968C84" w14:textId="77777777" w:rsidTr="00CD484C">
        <w:tc>
          <w:tcPr>
            <w:tcW w:w="1534" w:type="dxa"/>
            <w:tcBorders>
              <w:right w:val="single" w:sz="4" w:space="0" w:color="auto"/>
            </w:tcBorders>
            <w:shd w:val="clear" w:color="auto" w:fill="auto"/>
            <w:vAlign w:val="bottom"/>
          </w:tcPr>
          <w:p w14:paraId="63095056" w14:textId="77777777" w:rsidR="00982591" w:rsidRPr="00E5018A" w:rsidRDefault="00982591" w:rsidP="00CD484C">
            <w:pPr>
              <w:jc w:val="right"/>
              <w:rPr>
                <w:rFonts w:ascii="Arial" w:hAnsi="Arial" w:cs="Arial"/>
                <w:color w:val="000000" w:themeColor="text1"/>
                <w:sz w:val="22"/>
                <w:szCs w:val="22"/>
                <w:lang w:val="fr-FR"/>
              </w:rPr>
            </w:pPr>
          </w:p>
        </w:tc>
        <w:tc>
          <w:tcPr>
            <w:tcW w:w="1534" w:type="dxa"/>
            <w:tcBorders>
              <w:left w:val="single" w:sz="4" w:space="0" w:color="auto"/>
            </w:tcBorders>
            <w:shd w:val="clear" w:color="auto" w:fill="auto"/>
            <w:vAlign w:val="bottom"/>
          </w:tcPr>
          <w:p w14:paraId="775BD1E0"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R =</w:t>
            </w:r>
          </w:p>
        </w:tc>
        <w:tc>
          <w:tcPr>
            <w:tcW w:w="3069" w:type="dxa"/>
            <w:tcBorders>
              <w:right w:val="single" w:sz="4" w:space="0" w:color="auto"/>
            </w:tcBorders>
            <w:shd w:val="clear" w:color="auto" w:fill="auto"/>
            <w:vAlign w:val="bottom"/>
          </w:tcPr>
          <w:p w14:paraId="188F6807" w14:textId="77777777" w:rsidR="00982591" w:rsidRPr="006C74B2" w:rsidRDefault="00982591" w:rsidP="00CD484C">
            <w:pPr>
              <w:jc w:val="center"/>
              <w:rPr>
                <w:rFonts w:ascii="Arial" w:hAnsi="Arial" w:cs="Arial"/>
                <w:bCs/>
                <w:color w:val="000000" w:themeColor="text1"/>
                <w:sz w:val="20"/>
                <w:szCs w:val="20"/>
                <w:lang w:val="fr-FR"/>
              </w:rPr>
            </w:pPr>
            <w:r w:rsidRPr="006C74B2">
              <w:rPr>
                <w:rFonts w:ascii="Arial" w:hAnsi="Arial" w:cs="Arial"/>
                <w:bCs/>
                <w:color w:val="000000" w:themeColor="text1"/>
                <w:sz w:val="20"/>
                <w:szCs w:val="20"/>
                <w:lang w:val="fr-FR"/>
              </w:rPr>
              <w:t>1 002</w:t>
            </w:r>
          </w:p>
        </w:tc>
      </w:tr>
      <w:tr w:rsidR="00166ACD" w:rsidRPr="00E5018A" w14:paraId="04C5D7EC" w14:textId="77777777" w:rsidTr="00CD484C">
        <w:tc>
          <w:tcPr>
            <w:tcW w:w="1534" w:type="dxa"/>
            <w:tcBorders>
              <w:right w:val="single" w:sz="4" w:space="0" w:color="auto"/>
            </w:tcBorders>
            <w:shd w:val="clear" w:color="auto" w:fill="auto"/>
            <w:vAlign w:val="bottom"/>
          </w:tcPr>
          <w:p w14:paraId="3A9971BB" w14:textId="77777777" w:rsidR="00982591" w:rsidRPr="00E5018A" w:rsidRDefault="00982591" w:rsidP="00CD484C">
            <w:pPr>
              <w:jc w:val="right"/>
              <w:rPr>
                <w:rFonts w:ascii="Arial" w:hAnsi="Arial" w:cs="Arial"/>
                <w:bCs/>
                <w:color w:val="000000" w:themeColor="text1"/>
                <w:sz w:val="22"/>
                <w:szCs w:val="22"/>
                <w:lang w:val="fr-FR"/>
              </w:rPr>
            </w:pPr>
          </w:p>
        </w:tc>
        <w:tc>
          <w:tcPr>
            <w:tcW w:w="1534" w:type="dxa"/>
            <w:tcBorders>
              <w:left w:val="single" w:sz="4" w:space="0" w:color="auto"/>
            </w:tcBorders>
            <w:shd w:val="clear" w:color="auto" w:fill="auto"/>
            <w:vAlign w:val="bottom"/>
          </w:tcPr>
          <w:p w14:paraId="2BACDB3E" w14:textId="65603A58" w:rsidR="00982591" w:rsidRPr="006C74B2" w:rsidRDefault="00982591" w:rsidP="004C6D31">
            <w:pPr>
              <w:jc w:val="right"/>
              <w:rPr>
                <w:rFonts w:ascii="Arial" w:hAnsi="Arial" w:cs="Arial"/>
                <w:bCs/>
                <w:color w:val="000000" w:themeColor="text1"/>
                <w:sz w:val="20"/>
                <w:szCs w:val="20"/>
                <w:lang w:val="fr-FR"/>
              </w:rPr>
            </w:pPr>
            <w:proofErr w:type="gramStart"/>
            <w:r w:rsidRPr="006C74B2">
              <w:rPr>
                <w:rFonts w:ascii="Arial" w:hAnsi="Arial" w:cs="Arial"/>
                <w:bCs/>
                <w:color w:val="000000" w:themeColor="text1"/>
                <w:sz w:val="20"/>
                <w:szCs w:val="20"/>
                <w:lang w:val="fr-FR"/>
              </w:rPr>
              <w:t>r</w:t>
            </w:r>
            <w:proofErr w:type="gramEnd"/>
            <w:r w:rsidRPr="006C74B2">
              <w:rPr>
                <w:rFonts w:ascii="Arial" w:hAnsi="Arial" w:cs="Arial"/>
                <w:bCs/>
                <w:color w:val="000000" w:themeColor="text1"/>
                <w:sz w:val="20"/>
                <w:szCs w:val="20"/>
                <w:lang w:val="fr-FR"/>
              </w:rPr>
              <w:t xml:space="preserve"> =</w:t>
            </w:r>
          </w:p>
        </w:tc>
        <w:tc>
          <w:tcPr>
            <w:tcW w:w="3069" w:type="dxa"/>
            <w:tcBorders>
              <w:right w:val="single" w:sz="4" w:space="0" w:color="auto"/>
            </w:tcBorders>
            <w:shd w:val="clear" w:color="auto" w:fill="auto"/>
            <w:vAlign w:val="bottom"/>
          </w:tcPr>
          <w:p w14:paraId="216397DE" w14:textId="77777777" w:rsidR="00982591" w:rsidRPr="006C74B2" w:rsidRDefault="00982591" w:rsidP="00CD484C">
            <w:pPr>
              <w:jc w:val="center"/>
              <w:rPr>
                <w:rFonts w:ascii="Arial" w:hAnsi="Arial" w:cs="Arial"/>
                <w:bCs/>
                <w:color w:val="000000" w:themeColor="text1"/>
                <w:sz w:val="20"/>
                <w:szCs w:val="20"/>
                <w:lang w:val="fr-FR"/>
              </w:rPr>
            </w:pPr>
            <w:r w:rsidRPr="006C74B2">
              <w:rPr>
                <w:rFonts w:ascii="Arial" w:hAnsi="Arial" w:cs="Arial"/>
                <w:bCs/>
                <w:color w:val="000000" w:themeColor="text1"/>
                <w:sz w:val="20"/>
                <w:szCs w:val="20"/>
                <w:lang w:val="fr-FR"/>
              </w:rPr>
              <w:t>0,053393214</w:t>
            </w:r>
          </w:p>
        </w:tc>
      </w:tr>
      <w:tr w:rsidR="00166ACD" w:rsidRPr="00E5018A" w14:paraId="39FD6370" w14:textId="77777777" w:rsidTr="00CD484C">
        <w:tc>
          <w:tcPr>
            <w:tcW w:w="1534" w:type="dxa"/>
            <w:tcBorders>
              <w:right w:val="single" w:sz="4" w:space="0" w:color="auto"/>
            </w:tcBorders>
            <w:shd w:val="clear" w:color="auto" w:fill="auto"/>
            <w:vAlign w:val="bottom"/>
          </w:tcPr>
          <w:p w14:paraId="34F93C05" w14:textId="77777777" w:rsidR="00982591" w:rsidRPr="00E5018A" w:rsidRDefault="00982591" w:rsidP="00CD484C">
            <w:pPr>
              <w:jc w:val="right"/>
              <w:rPr>
                <w:rFonts w:ascii="Arial" w:hAnsi="Arial" w:cs="Arial"/>
                <w:color w:val="000000" w:themeColor="text1"/>
                <w:sz w:val="22"/>
                <w:szCs w:val="22"/>
                <w:lang w:val="fr-FR"/>
              </w:rPr>
            </w:pPr>
          </w:p>
        </w:tc>
        <w:tc>
          <w:tcPr>
            <w:tcW w:w="1534" w:type="dxa"/>
            <w:tcBorders>
              <w:left w:val="single" w:sz="4" w:space="0" w:color="auto"/>
            </w:tcBorders>
            <w:shd w:val="clear" w:color="auto" w:fill="auto"/>
            <w:vAlign w:val="bottom"/>
          </w:tcPr>
          <w:p w14:paraId="58806A00"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E =</w:t>
            </w:r>
          </w:p>
        </w:tc>
        <w:tc>
          <w:tcPr>
            <w:tcW w:w="3069" w:type="dxa"/>
            <w:tcBorders>
              <w:right w:val="single" w:sz="4" w:space="0" w:color="auto"/>
            </w:tcBorders>
            <w:shd w:val="clear" w:color="auto" w:fill="auto"/>
            <w:vAlign w:val="bottom"/>
          </w:tcPr>
          <w:p w14:paraId="516F6834" w14:textId="77777777" w:rsidR="00982591" w:rsidRPr="006C74B2" w:rsidRDefault="00982591" w:rsidP="00CD484C">
            <w:pPr>
              <w:jc w:val="center"/>
              <w:rPr>
                <w:rFonts w:ascii="Arial" w:hAnsi="Arial" w:cs="Arial"/>
                <w:bCs/>
                <w:color w:val="000000" w:themeColor="text1"/>
                <w:sz w:val="20"/>
                <w:szCs w:val="20"/>
                <w:lang w:val="fr-FR"/>
              </w:rPr>
            </w:pPr>
            <w:r w:rsidRPr="006C74B2">
              <w:rPr>
                <w:rFonts w:ascii="Arial" w:hAnsi="Arial" w:cs="Arial"/>
                <w:bCs/>
                <w:color w:val="000000" w:themeColor="text1"/>
                <w:sz w:val="20"/>
                <w:szCs w:val="20"/>
                <w:lang w:val="fr-FR"/>
              </w:rPr>
              <w:t>998</w:t>
            </w:r>
          </w:p>
        </w:tc>
      </w:tr>
      <w:tr w:rsidR="00982591" w:rsidRPr="00E5018A" w14:paraId="35F0FE9C" w14:textId="77777777" w:rsidTr="00CD484C">
        <w:tc>
          <w:tcPr>
            <w:tcW w:w="1534" w:type="dxa"/>
            <w:tcBorders>
              <w:right w:val="single" w:sz="4" w:space="0" w:color="auto"/>
            </w:tcBorders>
            <w:shd w:val="clear" w:color="auto" w:fill="auto"/>
            <w:vAlign w:val="bottom"/>
          </w:tcPr>
          <w:p w14:paraId="48DCA3A4" w14:textId="77777777" w:rsidR="00982591" w:rsidRPr="00E5018A" w:rsidRDefault="00982591" w:rsidP="00CD484C">
            <w:pPr>
              <w:jc w:val="right"/>
              <w:rPr>
                <w:rFonts w:ascii="Arial" w:hAnsi="Arial" w:cs="Arial"/>
                <w:bCs/>
                <w:color w:val="000000" w:themeColor="text1"/>
                <w:sz w:val="22"/>
                <w:szCs w:val="22"/>
                <w:lang w:val="fr-FR"/>
              </w:rPr>
            </w:pPr>
          </w:p>
        </w:tc>
        <w:tc>
          <w:tcPr>
            <w:tcW w:w="1534" w:type="dxa"/>
            <w:tcBorders>
              <w:left w:val="single" w:sz="4" w:space="0" w:color="auto"/>
              <w:bottom w:val="single" w:sz="4" w:space="0" w:color="auto"/>
            </w:tcBorders>
            <w:shd w:val="clear" w:color="auto" w:fill="auto"/>
            <w:vAlign w:val="bottom"/>
          </w:tcPr>
          <w:p w14:paraId="537EB041" w14:textId="77777777" w:rsidR="00982591" w:rsidRPr="006C74B2" w:rsidRDefault="00982591" w:rsidP="00CD484C">
            <w:pPr>
              <w:jc w:val="right"/>
              <w:rPr>
                <w:rFonts w:ascii="Arial" w:hAnsi="Arial" w:cs="Arial"/>
                <w:bCs/>
                <w:color w:val="000000" w:themeColor="text1"/>
                <w:sz w:val="20"/>
                <w:szCs w:val="20"/>
                <w:lang w:val="fr-FR"/>
              </w:rPr>
            </w:pPr>
            <w:proofErr w:type="gramStart"/>
            <w:r w:rsidRPr="006C74B2">
              <w:rPr>
                <w:rFonts w:ascii="Arial" w:hAnsi="Arial" w:cs="Arial"/>
                <w:bCs/>
                <w:color w:val="000000" w:themeColor="text1"/>
                <w:sz w:val="20"/>
                <w:szCs w:val="20"/>
                <w:lang w:val="fr-FR"/>
              </w:rPr>
              <w:t>d</w:t>
            </w:r>
            <w:proofErr w:type="gramEnd"/>
            <w:r w:rsidRPr="006C74B2">
              <w:rPr>
                <w:rFonts w:ascii="Arial" w:hAnsi="Arial" w:cs="Arial"/>
                <w:bCs/>
                <w:color w:val="000000" w:themeColor="text1"/>
                <w:sz w:val="20"/>
                <w:szCs w:val="20"/>
                <w:lang w:val="fr-FR"/>
              </w:rPr>
              <w:t>1 =</w:t>
            </w:r>
          </w:p>
        </w:tc>
        <w:tc>
          <w:tcPr>
            <w:tcW w:w="3069" w:type="dxa"/>
            <w:tcBorders>
              <w:bottom w:val="single" w:sz="4" w:space="0" w:color="auto"/>
              <w:right w:val="single" w:sz="4" w:space="0" w:color="auto"/>
            </w:tcBorders>
            <w:shd w:val="clear" w:color="auto" w:fill="auto"/>
            <w:vAlign w:val="bottom"/>
          </w:tcPr>
          <w:p w14:paraId="3E3C9A1C" w14:textId="77777777" w:rsidR="00982591" w:rsidRPr="006C74B2" w:rsidRDefault="00982591" w:rsidP="00CD484C">
            <w:pPr>
              <w:jc w:val="center"/>
              <w:rPr>
                <w:rFonts w:ascii="Arial" w:hAnsi="Arial" w:cs="Arial"/>
                <w:bCs/>
                <w:color w:val="000000" w:themeColor="text1"/>
                <w:sz w:val="20"/>
                <w:szCs w:val="20"/>
                <w:lang w:val="fr-FR"/>
              </w:rPr>
            </w:pPr>
            <w:r w:rsidRPr="006C74B2">
              <w:rPr>
                <w:rFonts w:ascii="Arial" w:hAnsi="Arial" w:cs="Arial"/>
                <w:bCs/>
                <w:color w:val="000000" w:themeColor="text1"/>
                <w:sz w:val="20"/>
                <w:szCs w:val="20"/>
                <w:lang w:val="fr-FR"/>
              </w:rPr>
              <w:t>5830,693566</w:t>
            </w:r>
          </w:p>
        </w:tc>
      </w:tr>
    </w:tbl>
    <w:p w14:paraId="2104835B" w14:textId="77777777" w:rsidR="00982591" w:rsidRPr="00E5018A" w:rsidRDefault="00982591">
      <w:pPr>
        <w:jc w:val="both"/>
        <w:rPr>
          <w:rFonts w:ascii="Arial" w:hAnsi="Arial"/>
          <w:color w:val="000000" w:themeColor="text1"/>
          <w:sz w:val="22"/>
          <w:lang w:val="fr-FR"/>
        </w:rPr>
      </w:pPr>
    </w:p>
    <w:p w14:paraId="45300B5B" w14:textId="77777777" w:rsidR="00982591" w:rsidRPr="00E5018A" w:rsidRDefault="00982591">
      <w:pPr>
        <w:jc w:val="both"/>
        <w:rPr>
          <w:rFonts w:ascii="Arial" w:hAnsi="Arial"/>
          <w:color w:val="000000" w:themeColor="text1"/>
          <w:sz w:val="22"/>
          <w:lang w:val="fr-FR"/>
        </w:rPr>
      </w:pPr>
    </w:p>
    <w:p w14:paraId="5F307EF8" w14:textId="77777777" w:rsidR="00982591" w:rsidRPr="00E5018A" w:rsidRDefault="00982591">
      <w:pPr>
        <w:jc w:val="both"/>
        <w:rPr>
          <w:rFonts w:ascii="Arial" w:hAnsi="Arial"/>
          <w:color w:val="000000" w:themeColor="text1"/>
          <w:sz w:val="22"/>
          <w:lang w:val="fr-FR"/>
        </w:rPr>
      </w:pPr>
      <w:r w:rsidRPr="00E5018A">
        <w:rPr>
          <w:rFonts w:ascii="Arial" w:hAnsi="Arial"/>
          <w:color w:val="000000" w:themeColor="text1"/>
          <w:sz w:val="22"/>
          <w:lang w:val="fr-FR"/>
        </w:rPr>
        <w:t>On peut alors en déduire le tableau des obligations amorties :</w:t>
      </w:r>
    </w:p>
    <w:p w14:paraId="5E88631A" w14:textId="505A65A6" w:rsidR="00982591" w:rsidRPr="00E5018A" w:rsidRDefault="00982591" w:rsidP="00C01A89">
      <w:pPr>
        <w:rPr>
          <w:rFonts w:ascii="Arial" w:hAnsi="Arial"/>
          <w:color w:val="000000" w:themeColor="text1"/>
          <w:sz w:val="22"/>
          <w:lang w:val="fr-FR"/>
        </w:rPr>
      </w:pPr>
    </w:p>
    <w:tbl>
      <w:tblPr>
        <w:tblW w:w="0" w:type="auto"/>
        <w:tblLook w:val="04A0" w:firstRow="1" w:lastRow="0" w:firstColumn="1" w:lastColumn="0" w:noHBand="0" w:noVBand="1"/>
      </w:tblPr>
      <w:tblGrid>
        <w:gridCol w:w="1797"/>
        <w:gridCol w:w="1238"/>
        <w:gridCol w:w="2415"/>
        <w:gridCol w:w="1819"/>
        <w:gridCol w:w="1797"/>
      </w:tblGrid>
      <w:tr w:rsidR="00166ACD" w:rsidRPr="00E5018A" w14:paraId="72AD1F89" w14:textId="77777777" w:rsidTr="00CD484C">
        <w:tc>
          <w:tcPr>
            <w:tcW w:w="1841" w:type="dxa"/>
            <w:tcBorders>
              <w:right w:val="single" w:sz="4" w:space="0" w:color="auto"/>
            </w:tcBorders>
            <w:shd w:val="clear" w:color="auto" w:fill="auto"/>
          </w:tcPr>
          <w:p w14:paraId="763F97F9" w14:textId="77777777" w:rsidR="00982591" w:rsidRPr="00E5018A" w:rsidRDefault="00982591" w:rsidP="00CD484C">
            <w:pPr>
              <w:jc w:val="both"/>
              <w:rPr>
                <w:rFonts w:ascii="Arial" w:hAnsi="Arial"/>
                <w:b/>
                <w:color w:val="000000" w:themeColor="text1"/>
                <w:sz w:val="22"/>
                <w:lang w:val="fr-FR"/>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00B62F69" w14:textId="007DBBFD" w:rsidR="00982591" w:rsidRPr="00E5018A" w:rsidRDefault="00C4405F" w:rsidP="00CD484C">
            <w:pPr>
              <w:jc w:val="center"/>
              <w:rPr>
                <w:rFonts w:ascii="Arial" w:hAnsi="Arial"/>
                <w:b/>
                <w:color w:val="000000" w:themeColor="text1"/>
                <w:sz w:val="22"/>
                <w:lang w:val="fr-FR"/>
              </w:rPr>
            </w:pPr>
            <w:r w:rsidRPr="00E5018A">
              <w:rPr>
                <w:rFonts w:ascii="Arial" w:hAnsi="Arial"/>
                <w:b/>
                <w:color w:val="000000" w:themeColor="text1"/>
                <w:sz w:val="22"/>
                <w:lang w:val="fr-FR"/>
              </w:rPr>
              <w:t>Annuité</w:t>
            </w:r>
          </w:p>
        </w:tc>
        <w:tc>
          <w:tcPr>
            <w:tcW w:w="2438" w:type="dxa"/>
            <w:tcBorders>
              <w:top w:val="single" w:sz="4" w:space="0" w:color="auto"/>
              <w:left w:val="single" w:sz="4" w:space="0" w:color="auto"/>
              <w:bottom w:val="single" w:sz="4" w:space="0" w:color="auto"/>
              <w:right w:val="single" w:sz="4" w:space="0" w:color="auto"/>
            </w:tcBorders>
            <w:shd w:val="clear" w:color="auto" w:fill="auto"/>
          </w:tcPr>
          <w:p w14:paraId="68457DAC" w14:textId="77777777" w:rsidR="00982591" w:rsidRPr="00E5018A" w:rsidRDefault="00982591" w:rsidP="00CD484C">
            <w:pPr>
              <w:jc w:val="center"/>
              <w:rPr>
                <w:rFonts w:ascii="Arial" w:hAnsi="Arial"/>
                <w:b/>
                <w:color w:val="000000" w:themeColor="text1"/>
                <w:sz w:val="22"/>
                <w:lang w:val="fr-FR"/>
              </w:rPr>
            </w:pPr>
            <w:r w:rsidRPr="00E5018A">
              <w:rPr>
                <w:rFonts w:ascii="Arial" w:hAnsi="Arial"/>
                <w:b/>
                <w:color w:val="000000" w:themeColor="text1"/>
                <w:sz w:val="22"/>
                <w:lang w:val="fr-FR"/>
              </w:rPr>
              <w:t>Nombre théorique d’obligations amorties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CF327F8" w14:textId="77777777" w:rsidR="00982591" w:rsidRPr="00E5018A" w:rsidRDefault="00982591" w:rsidP="00CD484C">
            <w:pPr>
              <w:jc w:val="center"/>
              <w:rPr>
                <w:rFonts w:ascii="Arial" w:hAnsi="Arial"/>
                <w:b/>
                <w:color w:val="000000" w:themeColor="text1"/>
                <w:sz w:val="22"/>
                <w:lang w:val="fr-FR"/>
              </w:rPr>
            </w:pPr>
            <w:r w:rsidRPr="00E5018A">
              <w:rPr>
                <w:rFonts w:ascii="Arial" w:hAnsi="Arial"/>
                <w:b/>
                <w:color w:val="000000" w:themeColor="text1"/>
                <w:sz w:val="22"/>
                <w:lang w:val="fr-FR"/>
              </w:rPr>
              <w:t>Nombre arrondi (entier le + proche)</w:t>
            </w:r>
          </w:p>
        </w:tc>
        <w:tc>
          <w:tcPr>
            <w:tcW w:w="1842" w:type="dxa"/>
            <w:tcBorders>
              <w:left w:val="single" w:sz="4" w:space="0" w:color="auto"/>
            </w:tcBorders>
            <w:shd w:val="clear" w:color="auto" w:fill="auto"/>
          </w:tcPr>
          <w:p w14:paraId="27513D65" w14:textId="77777777" w:rsidR="00982591" w:rsidRPr="00E5018A" w:rsidRDefault="00982591" w:rsidP="00CD484C">
            <w:pPr>
              <w:jc w:val="both"/>
              <w:rPr>
                <w:rFonts w:ascii="Arial" w:hAnsi="Arial"/>
                <w:b/>
                <w:color w:val="000000" w:themeColor="text1"/>
                <w:sz w:val="22"/>
                <w:lang w:val="fr-FR"/>
              </w:rPr>
            </w:pPr>
          </w:p>
        </w:tc>
      </w:tr>
      <w:tr w:rsidR="00166ACD" w:rsidRPr="00E5018A" w14:paraId="06F4251D" w14:textId="77777777" w:rsidTr="00CD484C">
        <w:tc>
          <w:tcPr>
            <w:tcW w:w="1841" w:type="dxa"/>
            <w:tcBorders>
              <w:right w:val="single" w:sz="4" w:space="0" w:color="auto"/>
            </w:tcBorders>
            <w:shd w:val="clear" w:color="auto" w:fill="auto"/>
          </w:tcPr>
          <w:p w14:paraId="769FAE6C" w14:textId="77777777" w:rsidR="00982591" w:rsidRPr="00E5018A" w:rsidRDefault="00982591" w:rsidP="00CD484C">
            <w:pPr>
              <w:jc w:val="both"/>
              <w:rPr>
                <w:rFonts w:ascii="Arial" w:hAnsi="Arial"/>
                <w:color w:val="000000" w:themeColor="text1"/>
                <w:sz w:val="22"/>
                <w:lang w:val="fr-FR"/>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14:paraId="66F3558D"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1</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bottom"/>
          </w:tcPr>
          <w:p w14:paraId="2025E6DB"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5830,693566</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bottom"/>
          </w:tcPr>
          <w:p w14:paraId="691610DC"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5 831</w:t>
            </w:r>
          </w:p>
        </w:tc>
        <w:tc>
          <w:tcPr>
            <w:tcW w:w="1842" w:type="dxa"/>
            <w:tcBorders>
              <w:left w:val="single" w:sz="4" w:space="0" w:color="auto"/>
            </w:tcBorders>
            <w:shd w:val="clear" w:color="auto" w:fill="auto"/>
          </w:tcPr>
          <w:p w14:paraId="0E91B5B2" w14:textId="77777777" w:rsidR="00982591" w:rsidRPr="00E5018A" w:rsidRDefault="00982591" w:rsidP="00CD484C">
            <w:pPr>
              <w:jc w:val="both"/>
              <w:rPr>
                <w:rFonts w:ascii="Arial" w:hAnsi="Arial"/>
                <w:color w:val="000000" w:themeColor="text1"/>
                <w:sz w:val="22"/>
                <w:lang w:val="fr-FR"/>
              </w:rPr>
            </w:pPr>
          </w:p>
        </w:tc>
      </w:tr>
      <w:tr w:rsidR="00166ACD" w:rsidRPr="00E5018A" w14:paraId="17974D06" w14:textId="77777777" w:rsidTr="00CD484C">
        <w:tc>
          <w:tcPr>
            <w:tcW w:w="1841" w:type="dxa"/>
            <w:tcBorders>
              <w:right w:val="single" w:sz="4" w:space="0" w:color="auto"/>
            </w:tcBorders>
            <w:shd w:val="clear" w:color="auto" w:fill="auto"/>
          </w:tcPr>
          <w:p w14:paraId="5F408CE5" w14:textId="77777777" w:rsidR="00982591" w:rsidRPr="00E5018A" w:rsidRDefault="00982591" w:rsidP="00CD484C">
            <w:pPr>
              <w:jc w:val="both"/>
              <w:rPr>
                <w:rFonts w:ascii="Arial" w:hAnsi="Arial"/>
                <w:color w:val="000000" w:themeColor="text1"/>
                <w:sz w:val="22"/>
                <w:lang w:val="fr-FR"/>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14:paraId="4A6A1258"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2</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bottom"/>
          </w:tcPr>
          <w:p w14:paraId="624E9C0C"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6142,013033</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bottom"/>
          </w:tcPr>
          <w:p w14:paraId="7CC56FA4"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6 142</w:t>
            </w:r>
          </w:p>
        </w:tc>
        <w:tc>
          <w:tcPr>
            <w:tcW w:w="1842" w:type="dxa"/>
            <w:tcBorders>
              <w:left w:val="single" w:sz="4" w:space="0" w:color="auto"/>
            </w:tcBorders>
            <w:shd w:val="clear" w:color="auto" w:fill="auto"/>
          </w:tcPr>
          <w:p w14:paraId="3D58ED60" w14:textId="77777777" w:rsidR="00982591" w:rsidRPr="00E5018A" w:rsidRDefault="00982591" w:rsidP="00CD484C">
            <w:pPr>
              <w:jc w:val="both"/>
              <w:rPr>
                <w:rFonts w:ascii="Arial" w:hAnsi="Arial"/>
                <w:color w:val="000000" w:themeColor="text1"/>
                <w:sz w:val="22"/>
                <w:lang w:val="fr-FR"/>
              </w:rPr>
            </w:pPr>
          </w:p>
        </w:tc>
      </w:tr>
      <w:tr w:rsidR="00166ACD" w:rsidRPr="00E5018A" w14:paraId="05EB055A" w14:textId="77777777" w:rsidTr="00CD484C">
        <w:tc>
          <w:tcPr>
            <w:tcW w:w="1841" w:type="dxa"/>
            <w:tcBorders>
              <w:right w:val="single" w:sz="4" w:space="0" w:color="auto"/>
            </w:tcBorders>
            <w:shd w:val="clear" w:color="auto" w:fill="auto"/>
          </w:tcPr>
          <w:p w14:paraId="2272AE28" w14:textId="77777777" w:rsidR="00982591" w:rsidRPr="00E5018A" w:rsidRDefault="00982591" w:rsidP="00CD484C">
            <w:pPr>
              <w:jc w:val="both"/>
              <w:rPr>
                <w:rFonts w:ascii="Arial" w:hAnsi="Arial"/>
                <w:color w:val="000000" w:themeColor="text1"/>
                <w:sz w:val="22"/>
                <w:lang w:val="fr-FR"/>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14:paraId="248FF93E"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3</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bottom"/>
          </w:tcPr>
          <w:p w14:paraId="425988A7"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6469,954847</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bottom"/>
          </w:tcPr>
          <w:p w14:paraId="7FDC534B"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6 470</w:t>
            </w:r>
          </w:p>
        </w:tc>
        <w:tc>
          <w:tcPr>
            <w:tcW w:w="1842" w:type="dxa"/>
            <w:tcBorders>
              <w:left w:val="single" w:sz="4" w:space="0" w:color="auto"/>
            </w:tcBorders>
            <w:shd w:val="clear" w:color="auto" w:fill="auto"/>
          </w:tcPr>
          <w:p w14:paraId="42746247" w14:textId="77777777" w:rsidR="00982591" w:rsidRPr="00E5018A" w:rsidRDefault="00982591" w:rsidP="00CD484C">
            <w:pPr>
              <w:jc w:val="both"/>
              <w:rPr>
                <w:rFonts w:ascii="Arial" w:hAnsi="Arial"/>
                <w:color w:val="000000" w:themeColor="text1"/>
                <w:sz w:val="22"/>
                <w:lang w:val="fr-FR"/>
              </w:rPr>
            </w:pPr>
          </w:p>
        </w:tc>
      </w:tr>
      <w:tr w:rsidR="00166ACD" w:rsidRPr="00E5018A" w14:paraId="525ED161" w14:textId="77777777" w:rsidTr="00CD484C">
        <w:tc>
          <w:tcPr>
            <w:tcW w:w="1841" w:type="dxa"/>
            <w:tcBorders>
              <w:right w:val="single" w:sz="4" w:space="0" w:color="auto"/>
            </w:tcBorders>
            <w:shd w:val="clear" w:color="auto" w:fill="auto"/>
          </w:tcPr>
          <w:p w14:paraId="24391315" w14:textId="77777777" w:rsidR="00982591" w:rsidRPr="00E5018A" w:rsidRDefault="00982591" w:rsidP="00CD484C">
            <w:pPr>
              <w:jc w:val="both"/>
              <w:rPr>
                <w:rFonts w:ascii="Arial" w:hAnsi="Arial"/>
                <w:color w:val="000000" w:themeColor="text1"/>
                <w:sz w:val="22"/>
                <w:lang w:val="fr-FR"/>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14:paraId="3C9DC7BF"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4</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bottom"/>
          </w:tcPr>
          <w:p w14:paraId="0C04D04B"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6815,406528</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bottom"/>
          </w:tcPr>
          <w:p w14:paraId="2FB781EC"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6 815</w:t>
            </w:r>
          </w:p>
        </w:tc>
        <w:tc>
          <w:tcPr>
            <w:tcW w:w="1842" w:type="dxa"/>
            <w:tcBorders>
              <w:left w:val="single" w:sz="4" w:space="0" w:color="auto"/>
            </w:tcBorders>
            <w:shd w:val="clear" w:color="auto" w:fill="auto"/>
          </w:tcPr>
          <w:p w14:paraId="2E0008D0" w14:textId="77777777" w:rsidR="00982591" w:rsidRPr="00E5018A" w:rsidRDefault="00982591" w:rsidP="00CD484C">
            <w:pPr>
              <w:jc w:val="both"/>
              <w:rPr>
                <w:rFonts w:ascii="Arial" w:hAnsi="Arial"/>
                <w:color w:val="000000" w:themeColor="text1"/>
                <w:sz w:val="22"/>
                <w:lang w:val="fr-FR"/>
              </w:rPr>
            </w:pPr>
          </w:p>
        </w:tc>
      </w:tr>
      <w:tr w:rsidR="00166ACD" w:rsidRPr="00E5018A" w14:paraId="722E2D89" w14:textId="77777777" w:rsidTr="00CD484C">
        <w:tc>
          <w:tcPr>
            <w:tcW w:w="1841" w:type="dxa"/>
            <w:tcBorders>
              <w:right w:val="single" w:sz="4" w:space="0" w:color="auto"/>
            </w:tcBorders>
            <w:shd w:val="clear" w:color="auto" w:fill="auto"/>
          </w:tcPr>
          <w:p w14:paraId="1A934A76" w14:textId="77777777" w:rsidR="00982591" w:rsidRPr="00E5018A" w:rsidRDefault="00982591" w:rsidP="00CD484C">
            <w:pPr>
              <w:jc w:val="both"/>
              <w:rPr>
                <w:rFonts w:ascii="Arial" w:hAnsi="Arial"/>
                <w:color w:val="000000" w:themeColor="text1"/>
                <w:sz w:val="22"/>
                <w:lang w:val="fr-FR"/>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14:paraId="1F9C4AA4"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5</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bottom"/>
          </w:tcPr>
          <w:p w14:paraId="49E82AC7"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7179,302984</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bottom"/>
          </w:tcPr>
          <w:p w14:paraId="6ABDECC8"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7 179</w:t>
            </w:r>
          </w:p>
        </w:tc>
        <w:tc>
          <w:tcPr>
            <w:tcW w:w="1842" w:type="dxa"/>
            <w:tcBorders>
              <w:left w:val="single" w:sz="4" w:space="0" w:color="auto"/>
            </w:tcBorders>
            <w:shd w:val="clear" w:color="auto" w:fill="auto"/>
          </w:tcPr>
          <w:p w14:paraId="1331A25B" w14:textId="77777777" w:rsidR="00982591" w:rsidRPr="00E5018A" w:rsidRDefault="00982591" w:rsidP="00CD484C">
            <w:pPr>
              <w:jc w:val="both"/>
              <w:rPr>
                <w:rFonts w:ascii="Arial" w:hAnsi="Arial"/>
                <w:color w:val="000000" w:themeColor="text1"/>
                <w:sz w:val="22"/>
                <w:lang w:val="fr-FR"/>
              </w:rPr>
            </w:pPr>
          </w:p>
        </w:tc>
      </w:tr>
      <w:tr w:rsidR="00166ACD" w:rsidRPr="00E5018A" w14:paraId="12420E77" w14:textId="77777777" w:rsidTr="00CD484C">
        <w:tc>
          <w:tcPr>
            <w:tcW w:w="1841" w:type="dxa"/>
            <w:tcBorders>
              <w:right w:val="single" w:sz="4" w:space="0" w:color="auto"/>
            </w:tcBorders>
            <w:shd w:val="clear" w:color="auto" w:fill="auto"/>
          </w:tcPr>
          <w:p w14:paraId="7095CE9D" w14:textId="77777777" w:rsidR="00982591" w:rsidRPr="00E5018A" w:rsidRDefault="00982591" w:rsidP="00CD484C">
            <w:pPr>
              <w:jc w:val="both"/>
              <w:rPr>
                <w:rFonts w:ascii="Arial" w:hAnsi="Arial"/>
                <w:color w:val="000000" w:themeColor="text1"/>
                <w:sz w:val="22"/>
                <w:lang w:val="fr-FR"/>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14:paraId="3E2441F7"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6</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bottom"/>
          </w:tcPr>
          <w:p w14:paraId="10036DFC"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7562,629042</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bottom"/>
          </w:tcPr>
          <w:p w14:paraId="6E9F1A6F"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7 563</w:t>
            </w:r>
          </w:p>
        </w:tc>
        <w:tc>
          <w:tcPr>
            <w:tcW w:w="1842" w:type="dxa"/>
            <w:tcBorders>
              <w:left w:val="single" w:sz="4" w:space="0" w:color="auto"/>
            </w:tcBorders>
            <w:shd w:val="clear" w:color="auto" w:fill="auto"/>
          </w:tcPr>
          <w:p w14:paraId="68C615E0" w14:textId="77777777" w:rsidR="00982591" w:rsidRPr="00E5018A" w:rsidRDefault="00982591" w:rsidP="00CD484C">
            <w:pPr>
              <w:jc w:val="both"/>
              <w:rPr>
                <w:rFonts w:ascii="Arial" w:hAnsi="Arial"/>
                <w:color w:val="000000" w:themeColor="text1"/>
                <w:sz w:val="22"/>
                <w:lang w:val="fr-FR"/>
              </w:rPr>
            </w:pPr>
          </w:p>
        </w:tc>
      </w:tr>
      <w:tr w:rsidR="00982591" w:rsidRPr="00E5018A" w14:paraId="37346E40" w14:textId="77777777" w:rsidTr="00CD484C">
        <w:tc>
          <w:tcPr>
            <w:tcW w:w="1841" w:type="dxa"/>
            <w:tcBorders>
              <w:right w:val="single" w:sz="4" w:space="0" w:color="auto"/>
            </w:tcBorders>
            <w:shd w:val="clear" w:color="auto" w:fill="auto"/>
          </w:tcPr>
          <w:p w14:paraId="0B31A7C7" w14:textId="77777777" w:rsidR="00982591" w:rsidRPr="00E5018A" w:rsidRDefault="00982591" w:rsidP="00CD484C">
            <w:pPr>
              <w:jc w:val="both"/>
              <w:rPr>
                <w:rFonts w:ascii="Arial" w:hAnsi="Arial"/>
                <w:color w:val="000000" w:themeColor="text1"/>
                <w:sz w:val="22"/>
                <w:lang w:val="fr-FR"/>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14:paraId="0AFE27C8"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TOTAL</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bottom"/>
          </w:tcPr>
          <w:p w14:paraId="5348D6C2" w14:textId="6B8FCF86" w:rsidR="00982591" w:rsidRPr="006C74B2" w:rsidRDefault="00893182"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40 000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bottom"/>
          </w:tcPr>
          <w:p w14:paraId="2C63A5AC" w14:textId="77777777" w:rsidR="00982591" w:rsidRPr="006C74B2" w:rsidRDefault="00982591" w:rsidP="00CD484C">
            <w:pPr>
              <w:jc w:val="right"/>
              <w:rPr>
                <w:rFonts w:ascii="Arial" w:hAnsi="Arial" w:cs="Arial"/>
                <w:color w:val="000000" w:themeColor="text1"/>
                <w:sz w:val="20"/>
                <w:szCs w:val="20"/>
                <w:lang w:val="fr-FR"/>
              </w:rPr>
            </w:pPr>
            <w:r w:rsidRPr="006C74B2">
              <w:rPr>
                <w:rFonts w:ascii="Arial" w:hAnsi="Arial" w:cs="Arial"/>
                <w:color w:val="000000" w:themeColor="text1"/>
                <w:sz w:val="20"/>
                <w:szCs w:val="20"/>
                <w:lang w:val="fr-FR"/>
              </w:rPr>
              <w:t>40 000</w:t>
            </w:r>
          </w:p>
        </w:tc>
        <w:tc>
          <w:tcPr>
            <w:tcW w:w="1842" w:type="dxa"/>
            <w:tcBorders>
              <w:left w:val="single" w:sz="4" w:space="0" w:color="auto"/>
            </w:tcBorders>
            <w:shd w:val="clear" w:color="auto" w:fill="auto"/>
          </w:tcPr>
          <w:p w14:paraId="05D77F1F" w14:textId="77777777" w:rsidR="00982591" w:rsidRPr="00E5018A" w:rsidRDefault="00982591" w:rsidP="00CD484C">
            <w:pPr>
              <w:jc w:val="both"/>
              <w:rPr>
                <w:rFonts w:ascii="Arial" w:hAnsi="Arial"/>
                <w:color w:val="000000" w:themeColor="text1"/>
                <w:sz w:val="22"/>
                <w:lang w:val="fr-FR"/>
              </w:rPr>
            </w:pPr>
          </w:p>
        </w:tc>
      </w:tr>
    </w:tbl>
    <w:p w14:paraId="71766A9C" w14:textId="77777777" w:rsidR="00982591" w:rsidRPr="00E5018A" w:rsidRDefault="00982591">
      <w:pPr>
        <w:jc w:val="both"/>
        <w:rPr>
          <w:rFonts w:ascii="Arial" w:hAnsi="Arial"/>
          <w:color w:val="000000" w:themeColor="text1"/>
          <w:sz w:val="22"/>
          <w:lang w:val="fr-FR"/>
        </w:rPr>
      </w:pPr>
    </w:p>
    <w:p w14:paraId="66E4C8F2" w14:textId="19070FDC" w:rsidR="007331BF" w:rsidRPr="00E5018A" w:rsidRDefault="00895012">
      <w:pPr>
        <w:jc w:val="both"/>
        <w:rPr>
          <w:rFonts w:ascii="Arial" w:hAnsi="Arial"/>
          <w:color w:val="000000" w:themeColor="text1"/>
          <w:sz w:val="22"/>
          <w:lang w:val="fr-FR"/>
        </w:rPr>
      </w:pPr>
      <w:r w:rsidRPr="00E5018A">
        <w:rPr>
          <w:rFonts w:ascii="Arial" w:hAnsi="Arial"/>
          <w:color w:val="000000" w:themeColor="text1"/>
          <w:sz w:val="22"/>
          <w:lang w:val="fr-FR"/>
        </w:rPr>
        <w:t>Il faut insister ici sur le fait qu’on gère des nombres d’obligations, qui sont des nombres entiers. Il y a donc des problèmes d’arrondis, car les expressions mathématiques ne fournissent pas nécessairement des valeurs entières.</w:t>
      </w:r>
    </w:p>
    <w:p w14:paraId="4DD5AAD2" w14:textId="77777777" w:rsidR="00895012" w:rsidRPr="00E5018A" w:rsidRDefault="00895012">
      <w:pPr>
        <w:jc w:val="both"/>
        <w:rPr>
          <w:rFonts w:ascii="Arial" w:hAnsi="Arial"/>
          <w:color w:val="000000" w:themeColor="text1"/>
          <w:sz w:val="22"/>
          <w:lang w:val="fr-FR"/>
        </w:rPr>
      </w:pPr>
    </w:p>
    <w:p w14:paraId="71FDE9DE" w14:textId="6F03C609" w:rsidR="007331BF" w:rsidRPr="00E5018A" w:rsidRDefault="007331BF">
      <w:pPr>
        <w:jc w:val="both"/>
        <w:rPr>
          <w:rFonts w:ascii="Arial" w:hAnsi="Arial"/>
          <w:color w:val="000000" w:themeColor="text1"/>
          <w:sz w:val="22"/>
          <w:lang w:val="fr-FR"/>
        </w:rPr>
      </w:pPr>
      <w:r w:rsidRPr="00E5018A">
        <w:rPr>
          <w:rFonts w:ascii="Arial" w:hAnsi="Arial"/>
          <w:color w:val="000000" w:themeColor="text1"/>
          <w:sz w:val="22"/>
          <w:lang w:val="fr-FR"/>
        </w:rPr>
        <w:t>On peut alors présenter le tableau d’amortissement de l’emprunt</w:t>
      </w:r>
      <w:r w:rsidR="00016D8C" w:rsidRPr="00E5018A">
        <w:rPr>
          <w:rFonts w:ascii="Arial" w:hAnsi="Arial"/>
          <w:color w:val="000000" w:themeColor="text1"/>
          <w:sz w:val="22"/>
          <w:lang w:val="fr-FR"/>
        </w:rPr>
        <w:t xml:space="preserve"> par annuités constantes</w:t>
      </w:r>
      <w:r w:rsidRPr="00E5018A">
        <w:rPr>
          <w:rFonts w:ascii="Arial" w:hAnsi="Arial"/>
          <w:color w:val="000000" w:themeColor="text1"/>
          <w:sz w:val="22"/>
          <w:lang w:val="fr-FR"/>
        </w:rPr>
        <w:t> :</w:t>
      </w:r>
    </w:p>
    <w:p w14:paraId="3501D073" w14:textId="77777777" w:rsidR="007331BF" w:rsidRPr="00E5018A" w:rsidRDefault="007331BF">
      <w:pPr>
        <w:jc w:val="both"/>
        <w:rPr>
          <w:rFonts w:ascii="Arial" w:hAnsi="Arial"/>
          <w:color w:val="000000" w:themeColor="text1"/>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262"/>
        <w:gridCol w:w="1261"/>
        <w:gridCol w:w="1302"/>
        <w:gridCol w:w="1261"/>
        <w:gridCol w:w="1417"/>
        <w:gridCol w:w="1368"/>
      </w:tblGrid>
      <w:tr w:rsidR="00166ACD" w:rsidRPr="00E5018A" w14:paraId="3F9AE2F4" w14:textId="77777777" w:rsidTr="00CD484C">
        <w:tc>
          <w:tcPr>
            <w:tcW w:w="1282" w:type="dxa"/>
            <w:shd w:val="clear" w:color="auto" w:fill="auto"/>
          </w:tcPr>
          <w:p w14:paraId="21A6ADB6" w14:textId="77777777" w:rsidR="007331BF" w:rsidRPr="00E5018A" w:rsidRDefault="007331BF" w:rsidP="00CD484C">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Annuité</w:t>
            </w:r>
          </w:p>
        </w:tc>
        <w:tc>
          <w:tcPr>
            <w:tcW w:w="1301" w:type="dxa"/>
            <w:shd w:val="clear" w:color="auto" w:fill="auto"/>
          </w:tcPr>
          <w:p w14:paraId="1262E21B" w14:textId="77777777" w:rsidR="007331BF" w:rsidRPr="00E5018A" w:rsidRDefault="007331BF" w:rsidP="00CD484C">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Obligations vivantes début</w:t>
            </w:r>
          </w:p>
        </w:tc>
        <w:tc>
          <w:tcPr>
            <w:tcW w:w="1301" w:type="dxa"/>
            <w:shd w:val="clear" w:color="auto" w:fill="auto"/>
          </w:tcPr>
          <w:p w14:paraId="7688E81E" w14:textId="77777777" w:rsidR="007331BF" w:rsidRPr="00E5018A" w:rsidRDefault="007331BF" w:rsidP="00CD484C">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Capital restant du</w:t>
            </w:r>
          </w:p>
        </w:tc>
        <w:tc>
          <w:tcPr>
            <w:tcW w:w="1312" w:type="dxa"/>
            <w:shd w:val="clear" w:color="auto" w:fill="auto"/>
          </w:tcPr>
          <w:p w14:paraId="7D3DBD95" w14:textId="77777777" w:rsidR="007331BF" w:rsidRPr="00E5018A" w:rsidRDefault="007331BF" w:rsidP="00CD484C">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Intérêt</w:t>
            </w:r>
          </w:p>
        </w:tc>
        <w:tc>
          <w:tcPr>
            <w:tcW w:w="1301" w:type="dxa"/>
            <w:shd w:val="clear" w:color="auto" w:fill="auto"/>
          </w:tcPr>
          <w:p w14:paraId="449EF28B" w14:textId="77777777" w:rsidR="007331BF" w:rsidRPr="00E5018A" w:rsidRDefault="007331BF" w:rsidP="00CD484C">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Obligations amorties</w:t>
            </w:r>
          </w:p>
        </w:tc>
        <w:tc>
          <w:tcPr>
            <w:tcW w:w="1417" w:type="dxa"/>
            <w:shd w:val="clear" w:color="auto" w:fill="auto"/>
          </w:tcPr>
          <w:p w14:paraId="20CB8A40" w14:textId="77777777" w:rsidR="007331BF" w:rsidRPr="00E5018A" w:rsidRDefault="007331BF" w:rsidP="00CD484C">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Amortissement avec prime</w:t>
            </w:r>
          </w:p>
        </w:tc>
        <w:tc>
          <w:tcPr>
            <w:tcW w:w="1368" w:type="dxa"/>
            <w:shd w:val="clear" w:color="auto" w:fill="auto"/>
          </w:tcPr>
          <w:p w14:paraId="6AAC55A9" w14:textId="77777777" w:rsidR="007331BF" w:rsidRPr="00E5018A" w:rsidRDefault="007331BF" w:rsidP="00CD484C">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Annuité</w:t>
            </w:r>
          </w:p>
          <w:p w14:paraId="705F192C" w14:textId="77777777" w:rsidR="00B91CBE" w:rsidRPr="00E5018A" w:rsidRDefault="00B91CBE" w:rsidP="00CD484C">
            <w:pPr>
              <w:jc w:val="center"/>
              <w:rPr>
                <w:rFonts w:ascii="Arial" w:hAnsi="Arial"/>
                <w:color w:val="000000" w:themeColor="text1"/>
                <w:sz w:val="18"/>
                <w:szCs w:val="18"/>
                <w:lang w:val="fr-FR"/>
              </w:rPr>
            </w:pPr>
          </w:p>
          <w:p w14:paraId="3B83853A" w14:textId="0B559297" w:rsidR="00B91CBE" w:rsidRPr="00E5018A" w:rsidRDefault="00B91CBE" w:rsidP="00CD484C">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-39 920 000</w:t>
            </w:r>
          </w:p>
        </w:tc>
      </w:tr>
      <w:tr w:rsidR="00166ACD" w:rsidRPr="00E5018A" w14:paraId="38655B29" w14:textId="77777777" w:rsidTr="00CD484C">
        <w:tc>
          <w:tcPr>
            <w:tcW w:w="1282" w:type="dxa"/>
            <w:shd w:val="clear" w:color="auto" w:fill="auto"/>
            <w:vAlign w:val="bottom"/>
          </w:tcPr>
          <w:p w14:paraId="34017F29" w14:textId="77777777" w:rsidR="007331BF" w:rsidRPr="00E5018A" w:rsidRDefault="007331BF" w:rsidP="00CD484C">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1</w:t>
            </w:r>
          </w:p>
        </w:tc>
        <w:tc>
          <w:tcPr>
            <w:tcW w:w="1301" w:type="dxa"/>
            <w:shd w:val="clear" w:color="auto" w:fill="auto"/>
            <w:vAlign w:val="bottom"/>
          </w:tcPr>
          <w:p w14:paraId="38781D8A"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40 000</w:t>
            </w:r>
          </w:p>
        </w:tc>
        <w:tc>
          <w:tcPr>
            <w:tcW w:w="1301" w:type="dxa"/>
            <w:shd w:val="clear" w:color="auto" w:fill="auto"/>
            <w:vAlign w:val="bottom"/>
          </w:tcPr>
          <w:p w14:paraId="73120235"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40 000 000</w:t>
            </w:r>
          </w:p>
        </w:tc>
        <w:tc>
          <w:tcPr>
            <w:tcW w:w="1312" w:type="dxa"/>
            <w:shd w:val="clear" w:color="auto" w:fill="auto"/>
            <w:vAlign w:val="bottom"/>
          </w:tcPr>
          <w:p w14:paraId="14EBAB9C"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2 140 000,00</w:t>
            </w:r>
          </w:p>
        </w:tc>
        <w:tc>
          <w:tcPr>
            <w:tcW w:w="1301" w:type="dxa"/>
            <w:shd w:val="clear" w:color="auto" w:fill="auto"/>
            <w:vAlign w:val="bottom"/>
          </w:tcPr>
          <w:p w14:paraId="302338FE"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5 831</w:t>
            </w:r>
          </w:p>
        </w:tc>
        <w:tc>
          <w:tcPr>
            <w:tcW w:w="1417" w:type="dxa"/>
            <w:shd w:val="clear" w:color="auto" w:fill="auto"/>
            <w:vAlign w:val="bottom"/>
          </w:tcPr>
          <w:p w14:paraId="524E4063"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5 842 662</w:t>
            </w:r>
          </w:p>
        </w:tc>
        <w:tc>
          <w:tcPr>
            <w:tcW w:w="1368" w:type="dxa"/>
            <w:shd w:val="clear" w:color="auto" w:fill="auto"/>
            <w:vAlign w:val="bottom"/>
          </w:tcPr>
          <w:p w14:paraId="1F09072F"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7 982 662,00</w:t>
            </w:r>
          </w:p>
        </w:tc>
      </w:tr>
      <w:tr w:rsidR="00166ACD" w:rsidRPr="00E5018A" w14:paraId="5E18F097" w14:textId="77777777" w:rsidTr="00CD484C">
        <w:tc>
          <w:tcPr>
            <w:tcW w:w="1282" w:type="dxa"/>
            <w:shd w:val="clear" w:color="auto" w:fill="auto"/>
            <w:vAlign w:val="bottom"/>
          </w:tcPr>
          <w:p w14:paraId="2366F981" w14:textId="77777777" w:rsidR="007331BF" w:rsidRPr="00E5018A" w:rsidRDefault="007331BF" w:rsidP="00CD484C">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2</w:t>
            </w:r>
          </w:p>
        </w:tc>
        <w:tc>
          <w:tcPr>
            <w:tcW w:w="1301" w:type="dxa"/>
            <w:shd w:val="clear" w:color="auto" w:fill="auto"/>
            <w:vAlign w:val="bottom"/>
          </w:tcPr>
          <w:p w14:paraId="407E99E3"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34 169</w:t>
            </w:r>
          </w:p>
        </w:tc>
        <w:tc>
          <w:tcPr>
            <w:tcW w:w="1301" w:type="dxa"/>
            <w:shd w:val="clear" w:color="auto" w:fill="auto"/>
            <w:vAlign w:val="bottom"/>
          </w:tcPr>
          <w:p w14:paraId="53E27301"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34 169 000</w:t>
            </w:r>
          </w:p>
        </w:tc>
        <w:tc>
          <w:tcPr>
            <w:tcW w:w="1312" w:type="dxa"/>
            <w:shd w:val="clear" w:color="auto" w:fill="auto"/>
            <w:vAlign w:val="bottom"/>
          </w:tcPr>
          <w:p w14:paraId="3162C987"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1 828 041,50</w:t>
            </w:r>
          </w:p>
        </w:tc>
        <w:tc>
          <w:tcPr>
            <w:tcW w:w="1301" w:type="dxa"/>
            <w:shd w:val="clear" w:color="auto" w:fill="auto"/>
            <w:vAlign w:val="bottom"/>
          </w:tcPr>
          <w:p w14:paraId="35DA038E"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6 142</w:t>
            </w:r>
          </w:p>
        </w:tc>
        <w:tc>
          <w:tcPr>
            <w:tcW w:w="1417" w:type="dxa"/>
            <w:shd w:val="clear" w:color="auto" w:fill="auto"/>
            <w:vAlign w:val="bottom"/>
          </w:tcPr>
          <w:p w14:paraId="07C72B51"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6 154 284</w:t>
            </w:r>
          </w:p>
        </w:tc>
        <w:tc>
          <w:tcPr>
            <w:tcW w:w="1368" w:type="dxa"/>
            <w:shd w:val="clear" w:color="auto" w:fill="auto"/>
            <w:vAlign w:val="bottom"/>
          </w:tcPr>
          <w:p w14:paraId="7ED575E6"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7 982 325,50</w:t>
            </w:r>
          </w:p>
        </w:tc>
      </w:tr>
      <w:tr w:rsidR="00166ACD" w:rsidRPr="00E5018A" w14:paraId="6E72EE20" w14:textId="77777777" w:rsidTr="00CD484C">
        <w:tc>
          <w:tcPr>
            <w:tcW w:w="1282" w:type="dxa"/>
            <w:shd w:val="clear" w:color="auto" w:fill="auto"/>
            <w:vAlign w:val="bottom"/>
          </w:tcPr>
          <w:p w14:paraId="7DD2AA64" w14:textId="77777777" w:rsidR="007331BF" w:rsidRPr="00E5018A" w:rsidRDefault="007331BF" w:rsidP="00CD484C">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3</w:t>
            </w:r>
          </w:p>
        </w:tc>
        <w:tc>
          <w:tcPr>
            <w:tcW w:w="1301" w:type="dxa"/>
            <w:shd w:val="clear" w:color="auto" w:fill="auto"/>
            <w:vAlign w:val="bottom"/>
          </w:tcPr>
          <w:p w14:paraId="15DFC0DB"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28 027</w:t>
            </w:r>
          </w:p>
        </w:tc>
        <w:tc>
          <w:tcPr>
            <w:tcW w:w="1301" w:type="dxa"/>
            <w:shd w:val="clear" w:color="auto" w:fill="auto"/>
            <w:vAlign w:val="bottom"/>
          </w:tcPr>
          <w:p w14:paraId="43F65538"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28 027 000</w:t>
            </w:r>
          </w:p>
        </w:tc>
        <w:tc>
          <w:tcPr>
            <w:tcW w:w="1312" w:type="dxa"/>
            <w:shd w:val="clear" w:color="auto" w:fill="auto"/>
            <w:vAlign w:val="bottom"/>
          </w:tcPr>
          <w:p w14:paraId="5C302001"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1 499 444,50</w:t>
            </w:r>
          </w:p>
        </w:tc>
        <w:tc>
          <w:tcPr>
            <w:tcW w:w="1301" w:type="dxa"/>
            <w:shd w:val="clear" w:color="auto" w:fill="auto"/>
            <w:vAlign w:val="bottom"/>
          </w:tcPr>
          <w:p w14:paraId="3D48BE53"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6 470</w:t>
            </w:r>
          </w:p>
        </w:tc>
        <w:tc>
          <w:tcPr>
            <w:tcW w:w="1417" w:type="dxa"/>
            <w:shd w:val="clear" w:color="auto" w:fill="auto"/>
            <w:vAlign w:val="bottom"/>
          </w:tcPr>
          <w:p w14:paraId="2ABA4893"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6 482 940</w:t>
            </w:r>
          </w:p>
        </w:tc>
        <w:tc>
          <w:tcPr>
            <w:tcW w:w="1368" w:type="dxa"/>
            <w:shd w:val="clear" w:color="auto" w:fill="auto"/>
            <w:vAlign w:val="bottom"/>
          </w:tcPr>
          <w:p w14:paraId="477F01C0"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7 982 384,50</w:t>
            </w:r>
          </w:p>
        </w:tc>
      </w:tr>
      <w:tr w:rsidR="00166ACD" w:rsidRPr="00E5018A" w14:paraId="20059F91" w14:textId="77777777" w:rsidTr="00CD484C">
        <w:tc>
          <w:tcPr>
            <w:tcW w:w="1282" w:type="dxa"/>
            <w:shd w:val="clear" w:color="auto" w:fill="auto"/>
            <w:vAlign w:val="bottom"/>
          </w:tcPr>
          <w:p w14:paraId="4A26377D" w14:textId="77777777" w:rsidR="007331BF" w:rsidRPr="00E5018A" w:rsidRDefault="007331BF" w:rsidP="00CD484C">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4</w:t>
            </w:r>
          </w:p>
        </w:tc>
        <w:tc>
          <w:tcPr>
            <w:tcW w:w="1301" w:type="dxa"/>
            <w:shd w:val="clear" w:color="auto" w:fill="auto"/>
            <w:vAlign w:val="bottom"/>
          </w:tcPr>
          <w:p w14:paraId="372B859C"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21 557</w:t>
            </w:r>
          </w:p>
        </w:tc>
        <w:tc>
          <w:tcPr>
            <w:tcW w:w="1301" w:type="dxa"/>
            <w:shd w:val="clear" w:color="auto" w:fill="auto"/>
            <w:vAlign w:val="bottom"/>
          </w:tcPr>
          <w:p w14:paraId="1BB18B4A"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21 557 000</w:t>
            </w:r>
          </w:p>
        </w:tc>
        <w:tc>
          <w:tcPr>
            <w:tcW w:w="1312" w:type="dxa"/>
            <w:shd w:val="clear" w:color="auto" w:fill="auto"/>
            <w:vAlign w:val="bottom"/>
          </w:tcPr>
          <w:p w14:paraId="053952A7"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1 153 299,50</w:t>
            </w:r>
          </w:p>
        </w:tc>
        <w:tc>
          <w:tcPr>
            <w:tcW w:w="1301" w:type="dxa"/>
            <w:shd w:val="clear" w:color="auto" w:fill="auto"/>
            <w:vAlign w:val="bottom"/>
          </w:tcPr>
          <w:p w14:paraId="03249010"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6 815</w:t>
            </w:r>
          </w:p>
        </w:tc>
        <w:tc>
          <w:tcPr>
            <w:tcW w:w="1417" w:type="dxa"/>
            <w:shd w:val="clear" w:color="auto" w:fill="auto"/>
            <w:vAlign w:val="bottom"/>
          </w:tcPr>
          <w:p w14:paraId="2CB75C8D"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6 828 630</w:t>
            </w:r>
          </w:p>
        </w:tc>
        <w:tc>
          <w:tcPr>
            <w:tcW w:w="1368" w:type="dxa"/>
            <w:shd w:val="clear" w:color="auto" w:fill="auto"/>
            <w:vAlign w:val="bottom"/>
          </w:tcPr>
          <w:p w14:paraId="1166638C"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7 981 929,50</w:t>
            </w:r>
          </w:p>
        </w:tc>
      </w:tr>
      <w:tr w:rsidR="00166ACD" w:rsidRPr="00E5018A" w14:paraId="5A915F53" w14:textId="77777777" w:rsidTr="00CD484C">
        <w:tc>
          <w:tcPr>
            <w:tcW w:w="1282" w:type="dxa"/>
            <w:shd w:val="clear" w:color="auto" w:fill="auto"/>
            <w:vAlign w:val="bottom"/>
          </w:tcPr>
          <w:p w14:paraId="12C74FE0" w14:textId="77777777" w:rsidR="007331BF" w:rsidRPr="00E5018A" w:rsidRDefault="007331BF" w:rsidP="00CD484C">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5</w:t>
            </w:r>
          </w:p>
        </w:tc>
        <w:tc>
          <w:tcPr>
            <w:tcW w:w="1301" w:type="dxa"/>
            <w:shd w:val="clear" w:color="auto" w:fill="auto"/>
            <w:vAlign w:val="bottom"/>
          </w:tcPr>
          <w:p w14:paraId="035001D2"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14 742</w:t>
            </w:r>
          </w:p>
        </w:tc>
        <w:tc>
          <w:tcPr>
            <w:tcW w:w="1301" w:type="dxa"/>
            <w:shd w:val="clear" w:color="auto" w:fill="auto"/>
            <w:vAlign w:val="bottom"/>
          </w:tcPr>
          <w:p w14:paraId="2F6286AB"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14 742 000</w:t>
            </w:r>
          </w:p>
        </w:tc>
        <w:tc>
          <w:tcPr>
            <w:tcW w:w="1312" w:type="dxa"/>
            <w:shd w:val="clear" w:color="auto" w:fill="auto"/>
            <w:vAlign w:val="bottom"/>
          </w:tcPr>
          <w:p w14:paraId="71D51C7F"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788 697,00</w:t>
            </w:r>
          </w:p>
        </w:tc>
        <w:tc>
          <w:tcPr>
            <w:tcW w:w="1301" w:type="dxa"/>
            <w:shd w:val="clear" w:color="auto" w:fill="auto"/>
            <w:vAlign w:val="bottom"/>
          </w:tcPr>
          <w:p w14:paraId="17B324D5"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7 179</w:t>
            </w:r>
          </w:p>
        </w:tc>
        <w:tc>
          <w:tcPr>
            <w:tcW w:w="1417" w:type="dxa"/>
            <w:shd w:val="clear" w:color="auto" w:fill="auto"/>
            <w:vAlign w:val="bottom"/>
          </w:tcPr>
          <w:p w14:paraId="4E98BA0C"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7 193 358</w:t>
            </w:r>
          </w:p>
        </w:tc>
        <w:tc>
          <w:tcPr>
            <w:tcW w:w="1368" w:type="dxa"/>
            <w:shd w:val="clear" w:color="auto" w:fill="auto"/>
            <w:vAlign w:val="bottom"/>
          </w:tcPr>
          <w:p w14:paraId="542640D0"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7 982 055,00</w:t>
            </w:r>
          </w:p>
        </w:tc>
      </w:tr>
      <w:tr w:rsidR="00166ACD" w:rsidRPr="00E5018A" w14:paraId="7F0D2465" w14:textId="77777777" w:rsidTr="00CD484C">
        <w:tc>
          <w:tcPr>
            <w:tcW w:w="1282" w:type="dxa"/>
            <w:tcBorders>
              <w:bottom w:val="single" w:sz="4" w:space="0" w:color="auto"/>
            </w:tcBorders>
            <w:shd w:val="clear" w:color="auto" w:fill="auto"/>
            <w:vAlign w:val="bottom"/>
          </w:tcPr>
          <w:p w14:paraId="1602E559" w14:textId="77777777" w:rsidR="007331BF" w:rsidRPr="00E5018A" w:rsidRDefault="007331BF" w:rsidP="00CD484C">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6</w:t>
            </w:r>
          </w:p>
        </w:tc>
        <w:tc>
          <w:tcPr>
            <w:tcW w:w="1301" w:type="dxa"/>
            <w:tcBorders>
              <w:bottom w:val="single" w:sz="4" w:space="0" w:color="auto"/>
            </w:tcBorders>
            <w:shd w:val="clear" w:color="auto" w:fill="auto"/>
            <w:vAlign w:val="bottom"/>
          </w:tcPr>
          <w:p w14:paraId="082533EB"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7 563</w:t>
            </w:r>
          </w:p>
        </w:tc>
        <w:tc>
          <w:tcPr>
            <w:tcW w:w="1301" w:type="dxa"/>
            <w:tcBorders>
              <w:bottom w:val="single" w:sz="4" w:space="0" w:color="auto"/>
            </w:tcBorders>
            <w:shd w:val="clear" w:color="auto" w:fill="auto"/>
            <w:vAlign w:val="bottom"/>
          </w:tcPr>
          <w:p w14:paraId="164574C6"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7 563 000</w:t>
            </w:r>
          </w:p>
        </w:tc>
        <w:tc>
          <w:tcPr>
            <w:tcW w:w="1312" w:type="dxa"/>
            <w:shd w:val="clear" w:color="auto" w:fill="auto"/>
            <w:vAlign w:val="bottom"/>
          </w:tcPr>
          <w:p w14:paraId="019D7E77"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404 620,50</w:t>
            </w:r>
          </w:p>
        </w:tc>
        <w:tc>
          <w:tcPr>
            <w:tcW w:w="1301" w:type="dxa"/>
            <w:shd w:val="clear" w:color="auto" w:fill="auto"/>
            <w:vAlign w:val="bottom"/>
          </w:tcPr>
          <w:p w14:paraId="120946FE"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7 563</w:t>
            </w:r>
          </w:p>
        </w:tc>
        <w:tc>
          <w:tcPr>
            <w:tcW w:w="1417" w:type="dxa"/>
            <w:shd w:val="clear" w:color="auto" w:fill="auto"/>
            <w:vAlign w:val="bottom"/>
          </w:tcPr>
          <w:p w14:paraId="08F534C0"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7 578 126</w:t>
            </w:r>
          </w:p>
        </w:tc>
        <w:tc>
          <w:tcPr>
            <w:tcW w:w="1368" w:type="dxa"/>
            <w:shd w:val="clear" w:color="auto" w:fill="auto"/>
            <w:vAlign w:val="bottom"/>
          </w:tcPr>
          <w:p w14:paraId="41F56AC0"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7 982 746,50</w:t>
            </w:r>
          </w:p>
        </w:tc>
      </w:tr>
      <w:tr w:rsidR="00166ACD" w:rsidRPr="00E5018A" w14:paraId="5AB4DB2F" w14:textId="77777777" w:rsidTr="00CD484C">
        <w:tc>
          <w:tcPr>
            <w:tcW w:w="1282" w:type="dxa"/>
            <w:tcBorders>
              <w:left w:val="nil"/>
              <w:bottom w:val="nil"/>
              <w:right w:val="nil"/>
            </w:tcBorders>
            <w:shd w:val="clear" w:color="auto" w:fill="auto"/>
            <w:vAlign w:val="bottom"/>
          </w:tcPr>
          <w:p w14:paraId="363A3AB7" w14:textId="77777777" w:rsidR="007331BF" w:rsidRPr="00E5018A" w:rsidRDefault="007331BF">
            <w:pPr>
              <w:rPr>
                <w:rFonts w:ascii="Arial" w:hAnsi="Arial" w:cs="Arial"/>
                <w:color w:val="000000" w:themeColor="text1"/>
                <w:sz w:val="18"/>
                <w:szCs w:val="18"/>
                <w:lang w:val="fr-FR"/>
              </w:rPr>
            </w:pPr>
            <w:r w:rsidRPr="00E5018A">
              <w:rPr>
                <w:rFonts w:ascii="Arial" w:hAnsi="Arial" w:cs="Arial"/>
                <w:color w:val="000000" w:themeColor="text1"/>
                <w:sz w:val="18"/>
                <w:szCs w:val="18"/>
                <w:lang w:val="fr-FR"/>
              </w:rPr>
              <w:t> </w:t>
            </w:r>
          </w:p>
        </w:tc>
        <w:tc>
          <w:tcPr>
            <w:tcW w:w="1301" w:type="dxa"/>
            <w:tcBorders>
              <w:left w:val="nil"/>
              <w:bottom w:val="nil"/>
              <w:right w:val="nil"/>
            </w:tcBorders>
            <w:shd w:val="clear" w:color="auto" w:fill="auto"/>
            <w:vAlign w:val="bottom"/>
          </w:tcPr>
          <w:p w14:paraId="72EB5A6A" w14:textId="77777777" w:rsidR="007331BF" w:rsidRPr="00E5018A" w:rsidRDefault="007331BF">
            <w:pPr>
              <w:rPr>
                <w:rFonts w:ascii="Arial" w:hAnsi="Arial" w:cs="Arial"/>
                <w:color w:val="000000" w:themeColor="text1"/>
                <w:sz w:val="18"/>
                <w:szCs w:val="18"/>
                <w:lang w:val="fr-FR"/>
              </w:rPr>
            </w:pPr>
            <w:r w:rsidRPr="00E5018A">
              <w:rPr>
                <w:rFonts w:ascii="Arial" w:hAnsi="Arial" w:cs="Arial"/>
                <w:color w:val="000000" w:themeColor="text1"/>
                <w:sz w:val="18"/>
                <w:szCs w:val="18"/>
                <w:lang w:val="fr-FR"/>
              </w:rPr>
              <w:t> </w:t>
            </w:r>
          </w:p>
        </w:tc>
        <w:tc>
          <w:tcPr>
            <w:tcW w:w="1301" w:type="dxa"/>
            <w:tcBorders>
              <w:left w:val="nil"/>
              <w:bottom w:val="nil"/>
            </w:tcBorders>
            <w:shd w:val="clear" w:color="auto" w:fill="auto"/>
            <w:vAlign w:val="bottom"/>
          </w:tcPr>
          <w:p w14:paraId="49F88FD7" w14:textId="77777777" w:rsidR="007331BF" w:rsidRPr="00E5018A" w:rsidRDefault="007331BF" w:rsidP="00CD484C">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 xml:space="preserve">Totaux </w:t>
            </w:r>
          </w:p>
        </w:tc>
        <w:tc>
          <w:tcPr>
            <w:tcW w:w="1312" w:type="dxa"/>
            <w:shd w:val="clear" w:color="auto" w:fill="auto"/>
            <w:vAlign w:val="bottom"/>
          </w:tcPr>
          <w:p w14:paraId="5FB30458"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7 814 103,00</w:t>
            </w:r>
          </w:p>
        </w:tc>
        <w:tc>
          <w:tcPr>
            <w:tcW w:w="1301" w:type="dxa"/>
            <w:shd w:val="clear" w:color="auto" w:fill="auto"/>
            <w:vAlign w:val="bottom"/>
          </w:tcPr>
          <w:p w14:paraId="71BA8A9E"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40 000</w:t>
            </w:r>
          </w:p>
        </w:tc>
        <w:tc>
          <w:tcPr>
            <w:tcW w:w="1417" w:type="dxa"/>
            <w:shd w:val="clear" w:color="auto" w:fill="auto"/>
            <w:vAlign w:val="bottom"/>
          </w:tcPr>
          <w:p w14:paraId="1C64C9C2"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40 080 000</w:t>
            </w:r>
          </w:p>
        </w:tc>
        <w:tc>
          <w:tcPr>
            <w:tcW w:w="1368" w:type="dxa"/>
            <w:shd w:val="clear" w:color="auto" w:fill="auto"/>
            <w:vAlign w:val="bottom"/>
          </w:tcPr>
          <w:p w14:paraId="619CE2C7" w14:textId="77777777" w:rsidR="007331BF" w:rsidRPr="00E5018A" w:rsidRDefault="007331BF" w:rsidP="00CD484C">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47 894 103,00</w:t>
            </w:r>
          </w:p>
        </w:tc>
      </w:tr>
    </w:tbl>
    <w:p w14:paraId="674993AE" w14:textId="77777777" w:rsidR="00174C3B" w:rsidRPr="00E5018A" w:rsidRDefault="00174C3B">
      <w:pPr>
        <w:jc w:val="both"/>
        <w:rPr>
          <w:rFonts w:ascii="Arial" w:hAnsi="Arial"/>
          <w:color w:val="000000" w:themeColor="text1"/>
          <w:sz w:val="22"/>
          <w:lang w:val="fr-FR"/>
        </w:rPr>
      </w:pPr>
      <w:r w:rsidRPr="00E5018A">
        <w:rPr>
          <w:rFonts w:ascii="Arial" w:hAnsi="Arial"/>
          <w:color w:val="000000" w:themeColor="text1"/>
          <w:sz w:val="22"/>
          <w:lang w:val="fr-FR"/>
        </w:rPr>
        <w:lastRenderedPageBreak/>
        <w:t xml:space="preserve">                                                                      </w:t>
      </w:r>
    </w:p>
    <w:p w14:paraId="1D443855" w14:textId="73BF2D6D" w:rsidR="00016D8C" w:rsidRPr="00E5018A" w:rsidRDefault="00B91CBE">
      <w:pPr>
        <w:jc w:val="both"/>
        <w:rPr>
          <w:rFonts w:ascii="Arial" w:hAnsi="Arial"/>
          <w:color w:val="000000" w:themeColor="text1"/>
          <w:sz w:val="22"/>
          <w:lang w:val="fr-FR"/>
        </w:rPr>
      </w:pPr>
      <w:r w:rsidRPr="00E5018A">
        <w:rPr>
          <w:rFonts w:ascii="Arial" w:hAnsi="Arial"/>
          <w:color w:val="000000" w:themeColor="text1"/>
          <w:sz w:val="22"/>
          <w:lang w:val="fr-FR"/>
        </w:rPr>
        <w:t>Taux de revient = 5,465</w:t>
      </w:r>
      <w:r w:rsidR="00016D8C" w:rsidRPr="00E5018A">
        <w:rPr>
          <w:rFonts w:ascii="Arial" w:hAnsi="Arial"/>
          <w:color w:val="000000" w:themeColor="text1"/>
          <w:sz w:val="22"/>
          <w:lang w:val="fr-FR"/>
        </w:rPr>
        <w:t>%</w:t>
      </w:r>
    </w:p>
    <w:p w14:paraId="59B7DE8A" w14:textId="77777777" w:rsidR="00016D8C" w:rsidRPr="00E5018A" w:rsidRDefault="00016D8C">
      <w:pPr>
        <w:jc w:val="both"/>
        <w:rPr>
          <w:rFonts w:ascii="Arial" w:hAnsi="Arial"/>
          <w:color w:val="000000" w:themeColor="text1"/>
          <w:sz w:val="22"/>
          <w:lang w:val="fr-FR"/>
        </w:rPr>
      </w:pPr>
    </w:p>
    <w:p w14:paraId="4D0372D8" w14:textId="6B095606" w:rsidR="00EC0600" w:rsidRPr="00E5018A" w:rsidRDefault="00573213">
      <w:pPr>
        <w:jc w:val="both"/>
        <w:rPr>
          <w:rFonts w:ascii="Arial" w:hAnsi="Arial"/>
          <w:color w:val="000000" w:themeColor="text1"/>
          <w:sz w:val="22"/>
          <w:lang w:val="fr-FR"/>
        </w:rPr>
      </w:pPr>
      <w:r>
        <w:rPr>
          <w:rFonts w:ascii="Arial" w:hAnsi="Arial"/>
          <w:color w:val="000000" w:themeColor="text1"/>
          <w:sz w:val="22"/>
          <w:lang w:val="fr-FR"/>
        </w:rPr>
        <w:t>En pratique, l’amortissement de l’emprunt étalé dans le temps et réalisé dès la 1</w:t>
      </w:r>
      <w:r w:rsidRPr="00573213">
        <w:rPr>
          <w:rFonts w:ascii="Arial" w:hAnsi="Arial"/>
          <w:color w:val="000000" w:themeColor="text1"/>
          <w:sz w:val="22"/>
          <w:vertAlign w:val="superscript"/>
          <w:lang w:val="fr-FR"/>
        </w:rPr>
        <w:t>ère</w:t>
      </w:r>
      <w:r>
        <w:rPr>
          <w:rFonts w:ascii="Arial" w:hAnsi="Arial"/>
          <w:color w:val="000000" w:themeColor="text1"/>
          <w:sz w:val="22"/>
          <w:lang w:val="fr-FR"/>
        </w:rPr>
        <w:t xml:space="preserve"> année est </w:t>
      </w:r>
      <w:proofErr w:type="gramStart"/>
      <w:r>
        <w:rPr>
          <w:rFonts w:ascii="Arial" w:hAnsi="Arial"/>
          <w:color w:val="000000" w:themeColor="text1"/>
          <w:sz w:val="22"/>
          <w:lang w:val="fr-FR"/>
        </w:rPr>
        <w:t>peur réalisé</w:t>
      </w:r>
      <w:proofErr w:type="gramEnd"/>
      <w:r>
        <w:rPr>
          <w:rFonts w:ascii="Arial" w:hAnsi="Arial"/>
          <w:color w:val="000000" w:themeColor="text1"/>
          <w:sz w:val="22"/>
          <w:lang w:val="fr-FR"/>
        </w:rPr>
        <w:t xml:space="preserve">. </w:t>
      </w:r>
      <w:r w:rsidR="006B44C8" w:rsidRPr="00E5018A">
        <w:rPr>
          <w:rFonts w:ascii="Arial" w:hAnsi="Arial"/>
          <w:color w:val="000000" w:themeColor="text1"/>
          <w:sz w:val="22"/>
          <w:lang w:val="fr-FR"/>
        </w:rPr>
        <w:t>Dans le cas du remboursement unique « in fine », on aurait :</w:t>
      </w:r>
    </w:p>
    <w:p w14:paraId="481D6994" w14:textId="2C94BFEA" w:rsidR="006B44C8" w:rsidRPr="00E5018A" w:rsidRDefault="006B44C8" w:rsidP="002B4D2E">
      <w:pPr>
        <w:rPr>
          <w:rFonts w:ascii="Arial" w:hAnsi="Arial"/>
          <w:color w:val="000000" w:themeColor="text1"/>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84"/>
        <w:gridCol w:w="1253"/>
        <w:gridCol w:w="1259"/>
        <w:gridCol w:w="1284"/>
        <w:gridCol w:w="1417"/>
        <w:gridCol w:w="1319"/>
      </w:tblGrid>
      <w:tr w:rsidR="00166ACD" w:rsidRPr="00E5018A" w14:paraId="0E3003F0" w14:textId="77777777" w:rsidTr="006B44C8">
        <w:tc>
          <w:tcPr>
            <w:tcW w:w="1282" w:type="dxa"/>
            <w:shd w:val="clear" w:color="auto" w:fill="auto"/>
          </w:tcPr>
          <w:p w14:paraId="2B6831B4" w14:textId="77777777" w:rsidR="006B44C8" w:rsidRPr="00E5018A" w:rsidRDefault="006B44C8" w:rsidP="006B44C8">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Annuité</w:t>
            </w:r>
          </w:p>
        </w:tc>
        <w:tc>
          <w:tcPr>
            <w:tcW w:w="1301" w:type="dxa"/>
            <w:shd w:val="clear" w:color="auto" w:fill="auto"/>
          </w:tcPr>
          <w:p w14:paraId="57477F2F" w14:textId="77777777" w:rsidR="006B44C8" w:rsidRPr="00E5018A" w:rsidRDefault="006B44C8" w:rsidP="006B44C8">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Obligations vivantes début</w:t>
            </w:r>
          </w:p>
        </w:tc>
        <w:tc>
          <w:tcPr>
            <w:tcW w:w="1301" w:type="dxa"/>
            <w:shd w:val="clear" w:color="auto" w:fill="auto"/>
          </w:tcPr>
          <w:p w14:paraId="6CE72223" w14:textId="77777777" w:rsidR="006B44C8" w:rsidRPr="00E5018A" w:rsidRDefault="006B44C8" w:rsidP="006B44C8">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Capital restant du</w:t>
            </w:r>
          </w:p>
        </w:tc>
        <w:tc>
          <w:tcPr>
            <w:tcW w:w="1312" w:type="dxa"/>
            <w:shd w:val="clear" w:color="auto" w:fill="auto"/>
          </w:tcPr>
          <w:p w14:paraId="7A15806A" w14:textId="77777777" w:rsidR="006B44C8" w:rsidRPr="00E5018A" w:rsidRDefault="006B44C8" w:rsidP="006B44C8">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Intérêt</w:t>
            </w:r>
          </w:p>
        </w:tc>
        <w:tc>
          <w:tcPr>
            <w:tcW w:w="1301" w:type="dxa"/>
            <w:shd w:val="clear" w:color="auto" w:fill="auto"/>
          </w:tcPr>
          <w:p w14:paraId="25EC4B56" w14:textId="77777777" w:rsidR="006B44C8" w:rsidRPr="00E5018A" w:rsidRDefault="006B44C8" w:rsidP="006B44C8">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Obligations amorties</w:t>
            </w:r>
          </w:p>
        </w:tc>
        <w:tc>
          <w:tcPr>
            <w:tcW w:w="1417" w:type="dxa"/>
            <w:shd w:val="clear" w:color="auto" w:fill="auto"/>
          </w:tcPr>
          <w:p w14:paraId="7512DA36" w14:textId="77777777" w:rsidR="006B44C8" w:rsidRPr="00E5018A" w:rsidRDefault="006B44C8" w:rsidP="006B44C8">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Amortissement avec prime</w:t>
            </w:r>
          </w:p>
        </w:tc>
        <w:tc>
          <w:tcPr>
            <w:tcW w:w="1368" w:type="dxa"/>
            <w:shd w:val="clear" w:color="auto" w:fill="auto"/>
          </w:tcPr>
          <w:p w14:paraId="69E3E5B4" w14:textId="77777777" w:rsidR="006B44C8" w:rsidRPr="00E5018A" w:rsidRDefault="006B44C8" w:rsidP="006B44C8">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Annuité</w:t>
            </w:r>
          </w:p>
          <w:p w14:paraId="66F01AA2" w14:textId="77777777" w:rsidR="00B91CBE" w:rsidRPr="00E5018A" w:rsidRDefault="00B91CBE" w:rsidP="006B44C8">
            <w:pPr>
              <w:jc w:val="center"/>
              <w:rPr>
                <w:rFonts w:ascii="Arial" w:hAnsi="Arial"/>
                <w:color w:val="000000" w:themeColor="text1"/>
                <w:sz w:val="18"/>
                <w:szCs w:val="18"/>
                <w:lang w:val="fr-FR"/>
              </w:rPr>
            </w:pPr>
          </w:p>
          <w:p w14:paraId="6F4A3DC1" w14:textId="243A9670" w:rsidR="00B91CBE" w:rsidRPr="00E5018A" w:rsidRDefault="00B91CBE" w:rsidP="006B44C8">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-39 920 000</w:t>
            </w:r>
          </w:p>
        </w:tc>
      </w:tr>
      <w:tr w:rsidR="00166ACD" w:rsidRPr="00E5018A" w14:paraId="49935A3C" w14:textId="77777777" w:rsidTr="006B44C8">
        <w:tc>
          <w:tcPr>
            <w:tcW w:w="1282" w:type="dxa"/>
            <w:shd w:val="clear" w:color="auto" w:fill="auto"/>
            <w:vAlign w:val="bottom"/>
          </w:tcPr>
          <w:p w14:paraId="6313B42D" w14:textId="77777777" w:rsidR="006B44C8" w:rsidRPr="00E5018A" w:rsidRDefault="006B44C8" w:rsidP="006B44C8">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1</w:t>
            </w:r>
          </w:p>
        </w:tc>
        <w:tc>
          <w:tcPr>
            <w:tcW w:w="1301" w:type="dxa"/>
            <w:shd w:val="clear" w:color="auto" w:fill="auto"/>
            <w:vAlign w:val="bottom"/>
          </w:tcPr>
          <w:p w14:paraId="05F3FFB6" w14:textId="70E52E6D" w:rsidR="006B44C8" w:rsidRPr="003B1F2F" w:rsidRDefault="006B44C8" w:rsidP="006B44C8">
            <w:pPr>
              <w:jc w:val="right"/>
              <w:rPr>
                <w:rFonts w:ascii="Arial" w:hAnsi="Arial" w:cs="Arial"/>
                <w:color w:val="000000" w:themeColor="text1"/>
                <w:sz w:val="18"/>
                <w:szCs w:val="18"/>
                <w:lang w:val="fr-FR"/>
              </w:rPr>
            </w:pPr>
            <w:r w:rsidRPr="003B1F2F">
              <w:rPr>
                <w:rFonts w:ascii="Arial" w:hAnsi="Arial" w:cs="Arial"/>
                <w:color w:val="000000" w:themeColor="text1"/>
                <w:sz w:val="18"/>
                <w:szCs w:val="18"/>
                <w:lang w:val="fr-FR"/>
              </w:rPr>
              <w:t>40 000</w:t>
            </w:r>
          </w:p>
        </w:tc>
        <w:tc>
          <w:tcPr>
            <w:tcW w:w="1301" w:type="dxa"/>
            <w:shd w:val="clear" w:color="auto" w:fill="auto"/>
            <w:vAlign w:val="bottom"/>
          </w:tcPr>
          <w:p w14:paraId="7CA5A907" w14:textId="2332FC5E" w:rsidR="006B44C8" w:rsidRPr="003B1F2F" w:rsidRDefault="006B44C8" w:rsidP="006B44C8">
            <w:pPr>
              <w:jc w:val="right"/>
              <w:rPr>
                <w:rFonts w:ascii="Arial" w:hAnsi="Arial" w:cs="Arial"/>
                <w:color w:val="000000" w:themeColor="text1"/>
                <w:sz w:val="18"/>
                <w:szCs w:val="18"/>
                <w:lang w:val="fr-FR"/>
              </w:rPr>
            </w:pPr>
            <w:r w:rsidRPr="003B1F2F">
              <w:rPr>
                <w:rFonts w:ascii="Arial" w:hAnsi="Arial" w:cs="Arial"/>
                <w:color w:val="000000" w:themeColor="text1"/>
                <w:sz w:val="18"/>
                <w:szCs w:val="18"/>
                <w:lang w:val="fr-FR"/>
              </w:rPr>
              <w:t>40 000 000</w:t>
            </w:r>
          </w:p>
        </w:tc>
        <w:tc>
          <w:tcPr>
            <w:tcW w:w="1312" w:type="dxa"/>
            <w:shd w:val="clear" w:color="auto" w:fill="auto"/>
            <w:vAlign w:val="bottom"/>
          </w:tcPr>
          <w:p w14:paraId="7A526F6B" w14:textId="760863DC" w:rsidR="006B44C8" w:rsidRPr="003B1F2F" w:rsidRDefault="006B44C8" w:rsidP="006B44C8">
            <w:pPr>
              <w:jc w:val="right"/>
              <w:rPr>
                <w:rFonts w:ascii="Arial" w:hAnsi="Arial" w:cs="Arial"/>
                <w:color w:val="000000" w:themeColor="text1"/>
                <w:sz w:val="18"/>
                <w:szCs w:val="18"/>
                <w:lang w:val="fr-FR"/>
              </w:rPr>
            </w:pPr>
            <w:r w:rsidRPr="003B1F2F">
              <w:rPr>
                <w:rFonts w:ascii="Arial" w:hAnsi="Arial" w:cs="Arial"/>
                <w:color w:val="000000" w:themeColor="text1"/>
                <w:sz w:val="18"/>
                <w:szCs w:val="18"/>
                <w:lang w:val="fr-FR"/>
              </w:rPr>
              <w:t>2 140 000</w:t>
            </w:r>
          </w:p>
        </w:tc>
        <w:tc>
          <w:tcPr>
            <w:tcW w:w="1301" w:type="dxa"/>
            <w:shd w:val="clear" w:color="auto" w:fill="auto"/>
            <w:vAlign w:val="bottom"/>
          </w:tcPr>
          <w:p w14:paraId="47896211" w14:textId="3AEBD43A" w:rsidR="006B44C8" w:rsidRPr="003B1F2F" w:rsidRDefault="006B44C8" w:rsidP="006B44C8">
            <w:pPr>
              <w:jc w:val="right"/>
              <w:rPr>
                <w:rFonts w:ascii="Arial" w:hAnsi="Arial" w:cs="Arial"/>
                <w:color w:val="000000" w:themeColor="text1"/>
                <w:sz w:val="18"/>
                <w:szCs w:val="18"/>
                <w:lang w:val="fr-FR"/>
              </w:rPr>
            </w:pPr>
            <w:r w:rsidRPr="003B1F2F">
              <w:rPr>
                <w:rFonts w:ascii="Arial" w:hAnsi="Arial" w:cs="Arial"/>
                <w:color w:val="000000" w:themeColor="text1"/>
                <w:sz w:val="18"/>
                <w:szCs w:val="18"/>
                <w:lang w:val="fr-FR"/>
              </w:rPr>
              <w:t>0</w:t>
            </w:r>
          </w:p>
        </w:tc>
        <w:tc>
          <w:tcPr>
            <w:tcW w:w="1417" w:type="dxa"/>
            <w:shd w:val="clear" w:color="auto" w:fill="auto"/>
            <w:vAlign w:val="bottom"/>
          </w:tcPr>
          <w:p w14:paraId="7C840C4D" w14:textId="04397EBB" w:rsidR="006B44C8" w:rsidRPr="003B1F2F" w:rsidRDefault="006B44C8" w:rsidP="006B44C8">
            <w:pPr>
              <w:jc w:val="right"/>
              <w:rPr>
                <w:rFonts w:ascii="Arial" w:hAnsi="Arial" w:cs="Arial"/>
                <w:color w:val="000000" w:themeColor="text1"/>
                <w:sz w:val="18"/>
                <w:szCs w:val="18"/>
                <w:lang w:val="fr-FR"/>
              </w:rPr>
            </w:pPr>
            <w:r w:rsidRPr="003B1F2F">
              <w:rPr>
                <w:rFonts w:ascii="Arial" w:hAnsi="Arial" w:cs="Arial"/>
                <w:color w:val="000000" w:themeColor="text1"/>
                <w:sz w:val="18"/>
                <w:szCs w:val="18"/>
                <w:lang w:val="fr-FR"/>
              </w:rPr>
              <w:t>0</w:t>
            </w:r>
          </w:p>
        </w:tc>
        <w:tc>
          <w:tcPr>
            <w:tcW w:w="1368" w:type="dxa"/>
            <w:shd w:val="clear" w:color="auto" w:fill="auto"/>
            <w:vAlign w:val="bottom"/>
          </w:tcPr>
          <w:p w14:paraId="70D8D5EA" w14:textId="2CBF6E41" w:rsidR="006B44C8" w:rsidRPr="003B1F2F" w:rsidRDefault="006B44C8" w:rsidP="006B44C8">
            <w:pPr>
              <w:jc w:val="right"/>
              <w:rPr>
                <w:rFonts w:ascii="Arial" w:hAnsi="Arial" w:cs="Arial"/>
                <w:color w:val="000000" w:themeColor="text1"/>
                <w:sz w:val="18"/>
                <w:szCs w:val="18"/>
                <w:lang w:val="fr-FR"/>
              </w:rPr>
            </w:pPr>
            <w:r w:rsidRPr="003B1F2F">
              <w:rPr>
                <w:rFonts w:ascii="Arial" w:hAnsi="Arial" w:cs="Arial"/>
                <w:color w:val="000000" w:themeColor="text1"/>
                <w:sz w:val="18"/>
                <w:szCs w:val="18"/>
                <w:lang w:val="fr-FR"/>
              </w:rPr>
              <w:t>2 140 000</w:t>
            </w:r>
          </w:p>
        </w:tc>
      </w:tr>
      <w:tr w:rsidR="00166ACD" w:rsidRPr="00E5018A" w14:paraId="31D99614" w14:textId="77777777" w:rsidTr="006B44C8">
        <w:tc>
          <w:tcPr>
            <w:tcW w:w="1282" w:type="dxa"/>
            <w:shd w:val="clear" w:color="auto" w:fill="auto"/>
            <w:vAlign w:val="bottom"/>
          </w:tcPr>
          <w:p w14:paraId="34F97CC0" w14:textId="77777777" w:rsidR="006B44C8" w:rsidRPr="00E5018A" w:rsidRDefault="006B44C8" w:rsidP="006B44C8">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2</w:t>
            </w:r>
          </w:p>
        </w:tc>
        <w:tc>
          <w:tcPr>
            <w:tcW w:w="1301" w:type="dxa"/>
            <w:shd w:val="clear" w:color="auto" w:fill="auto"/>
            <w:vAlign w:val="bottom"/>
          </w:tcPr>
          <w:p w14:paraId="62339A21" w14:textId="14FABA38" w:rsidR="006B44C8" w:rsidRPr="003B1F2F" w:rsidRDefault="006B44C8" w:rsidP="006B44C8">
            <w:pPr>
              <w:jc w:val="right"/>
              <w:rPr>
                <w:rFonts w:ascii="Arial" w:hAnsi="Arial" w:cs="Arial"/>
                <w:color w:val="000000" w:themeColor="text1"/>
                <w:sz w:val="18"/>
                <w:szCs w:val="18"/>
                <w:lang w:val="fr-FR"/>
              </w:rPr>
            </w:pPr>
            <w:r w:rsidRPr="003B1F2F">
              <w:rPr>
                <w:rFonts w:ascii="Arial" w:hAnsi="Arial" w:cs="Arial"/>
                <w:color w:val="000000" w:themeColor="text1"/>
                <w:sz w:val="18"/>
                <w:szCs w:val="18"/>
                <w:lang w:val="fr-FR"/>
              </w:rPr>
              <w:t>40 000</w:t>
            </w:r>
          </w:p>
        </w:tc>
        <w:tc>
          <w:tcPr>
            <w:tcW w:w="1301" w:type="dxa"/>
            <w:shd w:val="clear" w:color="auto" w:fill="auto"/>
            <w:vAlign w:val="bottom"/>
          </w:tcPr>
          <w:p w14:paraId="70ACCFA8" w14:textId="71C6AED6" w:rsidR="006B44C8" w:rsidRPr="003B1F2F" w:rsidRDefault="006B44C8" w:rsidP="006B44C8">
            <w:pPr>
              <w:jc w:val="right"/>
              <w:rPr>
                <w:rFonts w:ascii="Arial" w:hAnsi="Arial" w:cs="Arial"/>
                <w:color w:val="000000" w:themeColor="text1"/>
                <w:sz w:val="18"/>
                <w:szCs w:val="18"/>
                <w:lang w:val="fr-FR"/>
              </w:rPr>
            </w:pPr>
            <w:r w:rsidRPr="003B1F2F">
              <w:rPr>
                <w:rFonts w:ascii="Arial" w:hAnsi="Arial" w:cs="Arial"/>
                <w:color w:val="000000" w:themeColor="text1"/>
                <w:sz w:val="18"/>
                <w:szCs w:val="18"/>
                <w:lang w:val="fr-FR"/>
              </w:rPr>
              <w:t>40 000 000</w:t>
            </w:r>
          </w:p>
        </w:tc>
        <w:tc>
          <w:tcPr>
            <w:tcW w:w="1312" w:type="dxa"/>
            <w:shd w:val="clear" w:color="auto" w:fill="auto"/>
            <w:vAlign w:val="bottom"/>
          </w:tcPr>
          <w:p w14:paraId="30A760E9" w14:textId="6E2E464B" w:rsidR="006B44C8" w:rsidRPr="003B1F2F" w:rsidRDefault="006B44C8" w:rsidP="006B44C8">
            <w:pPr>
              <w:jc w:val="right"/>
              <w:rPr>
                <w:rFonts w:ascii="Arial" w:hAnsi="Arial" w:cs="Arial"/>
                <w:color w:val="000000" w:themeColor="text1"/>
                <w:sz w:val="18"/>
                <w:szCs w:val="18"/>
                <w:lang w:val="fr-FR"/>
              </w:rPr>
            </w:pPr>
            <w:r w:rsidRPr="003B1F2F">
              <w:rPr>
                <w:rFonts w:ascii="Arial" w:hAnsi="Arial" w:cs="Arial"/>
                <w:color w:val="000000" w:themeColor="text1"/>
                <w:sz w:val="18"/>
                <w:szCs w:val="18"/>
                <w:lang w:val="fr-FR"/>
              </w:rPr>
              <w:t>2 140 000</w:t>
            </w:r>
          </w:p>
        </w:tc>
        <w:tc>
          <w:tcPr>
            <w:tcW w:w="1301" w:type="dxa"/>
            <w:shd w:val="clear" w:color="auto" w:fill="auto"/>
            <w:vAlign w:val="bottom"/>
          </w:tcPr>
          <w:p w14:paraId="203D8E4F" w14:textId="004BA383" w:rsidR="006B44C8" w:rsidRPr="003B1F2F" w:rsidRDefault="006B44C8" w:rsidP="006B44C8">
            <w:pPr>
              <w:jc w:val="right"/>
              <w:rPr>
                <w:rFonts w:ascii="Arial" w:hAnsi="Arial" w:cs="Arial"/>
                <w:color w:val="000000" w:themeColor="text1"/>
                <w:sz w:val="18"/>
                <w:szCs w:val="18"/>
                <w:lang w:val="fr-FR"/>
              </w:rPr>
            </w:pPr>
            <w:r w:rsidRPr="003B1F2F">
              <w:rPr>
                <w:rFonts w:ascii="Arial" w:hAnsi="Arial" w:cs="Arial"/>
                <w:color w:val="000000" w:themeColor="text1"/>
                <w:sz w:val="18"/>
                <w:szCs w:val="18"/>
                <w:lang w:val="fr-FR"/>
              </w:rPr>
              <w:t>0</w:t>
            </w:r>
          </w:p>
        </w:tc>
        <w:tc>
          <w:tcPr>
            <w:tcW w:w="1417" w:type="dxa"/>
            <w:shd w:val="clear" w:color="auto" w:fill="auto"/>
            <w:vAlign w:val="bottom"/>
          </w:tcPr>
          <w:p w14:paraId="748920FF" w14:textId="70CC7A3B" w:rsidR="006B44C8" w:rsidRPr="003B1F2F" w:rsidRDefault="006B44C8" w:rsidP="006B44C8">
            <w:pPr>
              <w:jc w:val="right"/>
              <w:rPr>
                <w:rFonts w:ascii="Arial" w:hAnsi="Arial" w:cs="Arial"/>
                <w:color w:val="000000" w:themeColor="text1"/>
                <w:sz w:val="18"/>
                <w:szCs w:val="18"/>
                <w:lang w:val="fr-FR"/>
              </w:rPr>
            </w:pPr>
            <w:r w:rsidRPr="003B1F2F">
              <w:rPr>
                <w:rFonts w:ascii="Arial" w:hAnsi="Arial" w:cs="Arial"/>
                <w:color w:val="000000" w:themeColor="text1"/>
                <w:sz w:val="18"/>
                <w:szCs w:val="18"/>
                <w:lang w:val="fr-FR"/>
              </w:rPr>
              <w:t>0</w:t>
            </w:r>
          </w:p>
        </w:tc>
        <w:tc>
          <w:tcPr>
            <w:tcW w:w="1368" w:type="dxa"/>
            <w:shd w:val="clear" w:color="auto" w:fill="auto"/>
            <w:vAlign w:val="bottom"/>
          </w:tcPr>
          <w:p w14:paraId="4BC3CE99" w14:textId="6F7A18A0" w:rsidR="006B44C8" w:rsidRPr="003B1F2F" w:rsidRDefault="006B44C8" w:rsidP="006B44C8">
            <w:pPr>
              <w:jc w:val="right"/>
              <w:rPr>
                <w:rFonts w:ascii="Arial" w:hAnsi="Arial" w:cs="Arial"/>
                <w:color w:val="000000" w:themeColor="text1"/>
                <w:sz w:val="18"/>
                <w:szCs w:val="18"/>
                <w:lang w:val="fr-FR"/>
              </w:rPr>
            </w:pPr>
            <w:r w:rsidRPr="003B1F2F">
              <w:rPr>
                <w:rFonts w:ascii="Arial" w:hAnsi="Arial" w:cs="Arial"/>
                <w:color w:val="000000" w:themeColor="text1"/>
                <w:sz w:val="18"/>
                <w:szCs w:val="18"/>
                <w:lang w:val="fr-FR"/>
              </w:rPr>
              <w:t>2 140 000</w:t>
            </w:r>
          </w:p>
        </w:tc>
      </w:tr>
      <w:tr w:rsidR="00166ACD" w:rsidRPr="00E5018A" w14:paraId="6CF79BE5" w14:textId="77777777" w:rsidTr="006B44C8">
        <w:tc>
          <w:tcPr>
            <w:tcW w:w="1282" w:type="dxa"/>
            <w:shd w:val="clear" w:color="auto" w:fill="auto"/>
            <w:vAlign w:val="bottom"/>
          </w:tcPr>
          <w:p w14:paraId="035F5696" w14:textId="77777777" w:rsidR="006B44C8" w:rsidRPr="00E5018A" w:rsidRDefault="006B44C8" w:rsidP="006B44C8">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3</w:t>
            </w:r>
          </w:p>
        </w:tc>
        <w:tc>
          <w:tcPr>
            <w:tcW w:w="1301" w:type="dxa"/>
            <w:shd w:val="clear" w:color="auto" w:fill="auto"/>
            <w:vAlign w:val="bottom"/>
          </w:tcPr>
          <w:p w14:paraId="7B895962" w14:textId="3A0FAFA1"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40 000</w:t>
            </w:r>
          </w:p>
        </w:tc>
        <w:tc>
          <w:tcPr>
            <w:tcW w:w="1301" w:type="dxa"/>
            <w:shd w:val="clear" w:color="auto" w:fill="auto"/>
            <w:vAlign w:val="bottom"/>
          </w:tcPr>
          <w:p w14:paraId="5F36FAD6" w14:textId="06D196EC"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40 000 000</w:t>
            </w:r>
          </w:p>
        </w:tc>
        <w:tc>
          <w:tcPr>
            <w:tcW w:w="1312" w:type="dxa"/>
            <w:shd w:val="clear" w:color="auto" w:fill="auto"/>
            <w:vAlign w:val="bottom"/>
          </w:tcPr>
          <w:p w14:paraId="5B41D5DB" w14:textId="319790A3"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2 140 000</w:t>
            </w:r>
          </w:p>
        </w:tc>
        <w:tc>
          <w:tcPr>
            <w:tcW w:w="1301" w:type="dxa"/>
            <w:shd w:val="clear" w:color="auto" w:fill="auto"/>
            <w:vAlign w:val="bottom"/>
          </w:tcPr>
          <w:p w14:paraId="07B624E7" w14:textId="1E9479D6"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0</w:t>
            </w:r>
          </w:p>
        </w:tc>
        <w:tc>
          <w:tcPr>
            <w:tcW w:w="1417" w:type="dxa"/>
            <w:shd w:val="clear" w:color="auto" w:fill="auto"/>
            <w:vAlign w:val="bottom"/>
          </w:tcPr>
          <w:p w14:paraId="71B26C6F" w14:textId="4112B832"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0</w:t>
            </w:r>
          </w:p>
        </w:tc>
        <w:tc>
          <w:tcPr>
            <w:tcW w:w="1368" w:type="dxa"/>
            <w:shd w:val="clear" w:color="auto" w:fill="auto"/>
            <w:vAlign w:val="bottom"/>
          </w:tcPr>
          <w:p w14:paraId="64F6D934" w14:textId="06312B83"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2 140 000</w:t>
            </w:r>
          </w:p>
        </w:tc>
      </w:tr>
      <w:tr w:rsidR="00166ACD" w:rsidRPr="00E5018A" w14:paraId="429DDD35" w14:textId="77777777" w:rsidTr="006B44C8">
        <w:tc>
          <w:tcPr>
            <w:tcW w:w="1282" w:type="dxa"/>
            <w:shd w:val="clear" w:color="auto" w:fill="auto"/>
            <w:vAlign w:val="bottom"/>
          </w:tcPr>
          <w:p w14:paraId="722491A1" w14:textId="77777777" w:rsidR="006B44C8" w:rsidRPr="00E5018A" w:rsidRDefault="006B44C8" w:rsidP="006B44C8">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4</w:t>
            </w:r>
          </w:p>
        </w:tc>
        <w:tc>
          <w:tcPr>
            <w:tcW w:w="1301" w:type="dxa"/>
            <w:shd w:val="clear" w:color="auto" w:fill="auto"/>
            <w:vAlign w:val="bottom"/>
          </w:tcPr>
          <w:p w14:paraId="7FF3CDFD" w14:textId="275EEFCC"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40 000</w:t>
            </w:r>
          </w:p>
        </w:tc>
        <w:tc>
          <w:tcPr>
            <w:tcW w:w="1301" w:type="dxa"/>
            <w:shd w:val="clear" w:color="auto" w:fill="auto"/>
            <w:vAlign w:val="bottom"/>
          </w:tcPr>
          <w:p w14:paraId="47325088" w14:textId="00222939"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40 000 000</w:t>
            </w:r>
          </w:p>
        </w:tc>
        <w:tc>
          <w:tcPr>
            <w:tcW w:w="1312" w:type="dxa"/>
            <w:shd w:val="clear" w:color="auto" w:fill="auto"/>
            <w:vAlign w:val="bottom"/>
          </w:tcPr>
          <w:p w14:paraId="7048415A" w14:textId="39942774"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2 140 000</w:t>
            </w:r>
          </w:p>
        </w:tc>
        <w:tc>
          <w:tcPr>
            <w:tcW w:w="1301" w:type="dxa"/>
            <w:shd w:val="clear" w:color="auto" w:fill="auto"/>
            <w:vAlign w:val="bottom"/>
          </w:tcPr>
          <w:p w14:paraId="1F0012A2" w14:textId="03BA6C61"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0</w:t>
            </w:r>
          </w:p>
        </w:tc>
        <w:tc>
          <w:tcPr>
            <w:tcW w:w="1417" w:type="dxa"/>
            <w:shd w:val="clear" w:color="auto" w:fill="auto"/>
            <w:vAlign w:val="bottom"/>
          </w:tcPr>
          <w:p w14:paraId="60D78AEB" w14:textId="21DC81EF"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0</w:t>
            </w:r>
          </w:p>
        </w:tc>
        <w:tc>
          <w:tcPr>
            <w:tcW w:w="1368" w:type="dxa"/>
            <w:shd w:val="clear" w:color="auto" w:fill="auto"/>
            <w:vAlign w:val="bottom"/>
          </w:tcPr>
          <w:p w14:paraId="47F950CE" w14:textId="2371663F"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2 140 000</w:t>
            </w:r>
          </w:p>
        </w:tc>
      </w:tr>
      <w:tr w:rsidR="00166ACD" w:rsidRPr="00E5018A" w14:paraId="42773608" w14:textId="77777777" w:rsidTr="006B44C8">
        <w:tc>
          <w:tcPr>
            <w:tcW w:w="1282" w:type="dxa"/>
            <w:shd w:val="clear" w:color="auto" w:fill="auto"/>
            <w:vAlign w:val="bottom"/>
          </w:tcPr>
          <w:p w14:paraId="3D3C0316" w14:textId="77777777" w:rsidR="006B44C8" w:rsidRPr="00E5018A" w:rsidRDefault="006B44C8" w:rsidP="006B44C8">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5</w:t>
            </w:r>
          </w:p>
        </w:tc>
        <w:tc>
          <w:tcPr>
            <w:tcW w:w="1301" w:type="dxa"/>
            <w:shd w:val="clear" w:color="auto" w:fill="auto"/>
            <w:vAlign w:val="bottom"/>
          </w:tcPr>
          <w:p w14:paraId="424F2BBF" w14:textId="506C501C"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40 000</w:t>
            </w:r>
          </w:p>
        </w:tc>
        <w:tc>
          <w:tcPr>
            <w:tcW w:w="1301" w:type="dxa"/>
            <w:shd w:val="clear" w:color="auto" w:fill="auto"/>
            <w:vAlign w:val="bottom"/>
          </w:tcPr>
          <w:p w14:paraId="724E2689" w14:textId="664A181D"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40 000 000</w:t>
            </w:r>
          </w:p>
        </w:tc>
        <w:tc>
          <w:tcPr>
            <w:tcW w:w="1312" w:type="dxa"/>
            <w:shd w:val="clear" w:color="auto" w:fill="auto"/>
            <w:vAlign w:val="bottom"/>
          </w:tcPr>
          <w:p w14:paraId="3B29420B" w14:textId="438BF77D"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2 140 000</w:t>
            </w:r>
          </w:p>
        </w:tc>
        <w:tc>
          <w:tcPr>
            <w:tcW w:w="1301" w:type="dxa"/>
            <w:shd w:val="clear" w:color="auto" w:fill="auto"/>
            <w:vAlign w:val="bottom"/>
          </w:tcPr>
          <w:p w14:paraId="38D7659B" w14:textId="6BA23FEA"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0</w:t>
            </w:r>
          </w:p>
        </w:tc>
        <w:tc>
          <w:tcPr>
            <w:tcW w:w="1417" w:type="dxa"/>
            <w:shd w:val="clear" w:color="auto" w:fill="auto"/>
            <w:vAlign w:val="bottom"/>
          </w:tcPr>
          <w:p w14:paraId="3A61BB55" w14:textId="4A7AD51D"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0</w:t>
            </w:r>
          </w:p>
        </w:tc>
        <w:tc>
          <w:tcPr>
            <w:tcW w:w="1368" w:type="dxa"/>
            <w:shd w:val="clear" w:color="auto" w:fill="auto"/>
            <w:vAlign w:val="bottom"/>
          </w:tcPr>
          <w:p w14:paraId="525C856B" w14:textId="654EA2F5"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2 140 000</w:t>
            </w:r>
          </w:p>
        </w:tc>
      </w:tr>
      <w:tr w:rsidR="00166ACD" w:rsidRPr="00E5018A" w14:paraId="4629AD9E" w14:textId="77777777" w:rsidTr="006B44C8">
        <w:tc>
          <w:tcPr>
            <w:tcW w:w="1282" w:type="dxa"/>
            <w:tcBorders>
              <w:bottom w:val="single" w:sz="4" w:space="0" w:color="auto"/>
            </w:tcBorders>
            <w:shd w:val="clear" w:color="auto" w:fill="auto"/>
            <w:vAlign w:val="bottom"/>
          </w:tcPr>
          <w:p w14:paraId="7260BAC7" w14:textId="77777777" w:rsidR="006B44C8" w:rsidRPr="00E5018A" w:rsidRDefault="006B44C8" w:rsidP="006B44C8">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6</w:t>
            </w:r>
          </w:p>
        </w:tc>
        <w:tc>
          <w:tcPr>
            <w:tcW w:w="1301" w:type="dxa"/>
            <w:tcBorders>
              <w:bottom w:val="single" w:sz="4" w:space="0" w:color="auto"/>
            </w:tcBorders>
            <w:shd w:val="clear" w:color="auto" w:fill="auto"/>
            <w:vAlign w:val="bottom"/>
          </w:tcPr>
          <w:p w14:paraId="03EA5763" w14:textId="14CE80A6"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40 000</w:t>
            </w:r>
          </w:p>
        </w:tc>
        <w:tc>
          <w:tcPr>
            <w:tcW w:w="1301" w:type="dxa"/>
            <w:tcBorders>
              <w:bottom w:val="single" w:sz="4" w:space="0" w:color="auto"/>
            </w:tcBorders>
            <w:shd w:val="clear" w:color="auto" w:fill="auto"/>
            <w:vAlign w:val="bottom"/>
          </w:tcPr>
          <w:p w14:paraId="50272471" w14:textId="512A2C82"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40 000 000</w:t>
            </w:r>
          </w:p>
        </w:tc>
        <w:tc>
          <w:tcPr>
            <w:tcW w:w="1312" w:type="dxa"/>
            <w:shd w:val="clear" w:color="auto" w:fill="auto"/>
            <w:vAlign w:val="bottom"/>
          </w:tcPr>
          <w:p w14:paraId="08ADD4BA" w14:textId="59FA46A6"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2 140 000</w:t>
            </w:r>
          </w:p>
        </w:tc>
        <w:tc>
          <w:tcPr>
            <w:tcW w:w="1301" w:type="dxa"/>
            <w:shd w:val="clear" w:color="auto" w:fill="auto"/>
            <w:vAlign w:val="bottom"/>
          </w:tcPr>
          <w:p w14:paraId="0FC6969A" w14:textId="71753CD2"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40 000</w:t>
            </w:r>
          </w:p>
        </w:tc>
        <w:tc>
          <w:tcPr>
            <w:tcW w:w="1417" w:type="dxa"/>
            <w:shd w:val="clear" w:color="auto" w:fill="auto"/>
            <w:vAlign w:val="bottom"/>
          </w:tcPr>
          <w:p w14:paraId="508C39CE" w14:textId="39AB416C"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40 080 000</w:t>
            </w:r>
          </w:p>
        </w:tc>
        <w:tc>
          <w:tcPr>
            <w:tcW w:w="1368" w:type="dxa"/>
            <w:shd w:val="clear" w:color="auto" w:fill="auto"/>
            <w:vAlign w:val="bottom"/>
          </w:tcPr>
          <w:p w14:paraId="2E9285F4" w14:textId="79F98CE5"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42 220 000</w:t>
            </w:r>
          </w:p>
        </w:tc>
      </w:tr>
      <w:tr w:rsidR="00166ACD" w:rsidRPr="00E5018A" w14:paraId="3C1A642F" w14:textId="77777777" w:rsidTr="006B44C8">
        <w:tc>
          <w:tcPr>
            <w:tcW w:w="1282" w:type="dxa"/>
            <w:tcBorders>
              <w:left w:val="nil"/>
              <w:bottom w:val="nil"/>
              <w:right w:val="nil"/>
            </w:tcBorders>
            <w:shd w:val="clear" w:color="auto" w:fill="auto"/>
            <w:vAlign w:val="bottom"/>
          </w:tcPr>
          <w:p w14:paraId="47F66748" w14:textId="77777777" w:rsidR="006B44C8" w:rsidRPr="00E5018A" w:rsidRDefault="006B44C8" w:rsidP="006B44C8">
            <w:pPr>
              <w:rPr>
                <w:rFonts w:ascii="Arial" w:hAnsi="Arial" w:cs="Arial"/>
                <w:color w:val="000000" w:themeColor="text1"/>
                <w:sz w:val="18"/>
                <w:szCs w:val="18"/>
                <w:lang w:val="fr-FR"/>
              </w:rPr>
            </w:pPr>
            <w:r w:rsidRPr="00E5018A">
              <w:rPr>
                <w:rFonts w:ascii="Arial" w:hAnsi="Arial" w:cs="Arial"/>
                <w:color w:val="000000" w:themeColor="text1"/>
                <w:sz w:val="18"/>
                <w:szCs w:val="18"/>
                <w:lang w:val="fr-FR"/>
              </w:rPr>
              <w:t> </w:t>
            </w:r>
          </w:p>
        </w:tc>
        <w:tc>
          <w:tcPr>
            <w:tcW w:w="1301" w:type="dxa"/>
            <w:tcBorders>
              <w:left w:val="nil"/>
              <w:bottom w:val="nil"/>
              <w:right w:val="nil"/>
            </w:tcBorders>
            <w:shd w:val="clear" w:color="auto" w:fill="auto"/>
            <w:vAlign w:val="bottom"/>
          </w:tcPr>
          <w:p w14:paraId="52E509AD" w14:textId="384D73D9" w:rsidR="006B44C8" w:rsidRPr="00E5018A" w:rsidRDefault="006B44C8" w:rsidP="006B44C8">
            <w:pPr>
              <w:rPr>
                <w:rFonts w:ascii="Arial" w:hAnsi="Arial" w:cs="Arial"/>
                <w:color w:val="000000" w:themeColor="text1"/>
                <w:sz w:val="18"/>
                <w:szCs w:val="18"/>
                <w:lang w:val="fr-FR"/>
              </w:rPr>
            </w:pPr>
          </w:p>
        </w:tc>
        <w:tc>
          <w:tcPr>
            <w:tcW w:w="1301" w:type="dxa"/>
            <w:tcBorders>
              <w:left w:val="nil"/>
              <w:bottom w:val="nil"/>
            </w:tcBorders>
            <w:shd w:val="clear" w:color="auto" w:fill="auto"/>
            <w:vAlign w:val="bottom"/>
          </w:tcPr>
          <w:p w14:paraId="37B1077E" w14:textId="362B5AF7" w:rsidR="006B44C8" w:rsidRPr="00E5018A" w:rsidRDefault="006B44C8" w:rsidP="006B44C8">
            <w:pPr>
              <w:jc w:val="center"/>
              <w:rPr>
                <w:rFonts w:ascii="Arial" w:hAnsi="Arial" w:cs="Arial"/>
                <w:color w:val="000000" w:themeColor="text1"/>
                <w:sz w:val="18"/>
                <w:szCs w:val="18"/>
                <w:lang w:val="fr-FR"/>
              </w:rPr>
            </w:pPr>
          </w:p>
        </w:tc>
        <w:tc>
          <w:tcPr>
            <w:tcW w:w="1312" w:type="dxa"/>
            <w:shd w:val="clear" w:color="auto" w:fill="auto"/>
            <w:vAlign w:val="bottom"/>
          </w:tcPr>
          <w:p w14:paraId="1D7937DB" w14:textId="759F2406"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12 840 000</w:t>
            </w:r>
          </w:p>
        </w:tc>
        <w:tc>
          <w:tcPr>
            <w:tcW w:w="1301" w:type="dxa"/>
            <w:shd w:val="clear" w:color="auto" w:fill="auto"/>
            <w:vAlign w:val="bottom"/>
          </w:tcPr>
          <w:p w14:paraId="4E60802F" w14:textId="7535FDAD"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40 000</w:t>
            </w:r>
          </w:p>
        </w:tc>
        <w:tc>
          <w:tcPr>
            <w:tcW w:w="1417" w:type="dxa"/>
            <w:shd w:val="clear" w:color="auto" w:fill="auto"/>
            <w:vAlign w:val="bottom"/>
          </w:tcPr>
          <w:p w14:paraId="67226AAE" w14:textId="3351CDA9"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40 080 000</w:t>
            </w:r>
          </w:p>
        </w:tc>
        <w:tc>
          <w:tcPr>
            <w:tcW w:w="1368" w:type="dxa"/>
            <w:shd w:val="clear" w:color="auto" w:fill="auto"/>
            <w:vAlign w:val="bottom"/>
          </w:tcPr>
          <w:p w14:paraId="2E638CB9" w14:textId="644B90F4" w:rsidR="006B44C8" w:rsidRPr="00E5018A" w:rsidRDefault="006B44C8" w:rsidP="006B44C8">
            <w:pPr>
              <w:jc w:val="right"/>
              <w:rPr>
                <w:rFonts w:ascii="Arial" w:hAnsi="Arial" w:cs="Arial"/>
                <w:color w:val="000000" w:themeColor="text1"/>
                <w:sz w:val="18"/>
                <w:szCs w:val="18"/>
                <w:lang w:val="fr-FR"/>
              </w:rPr>
            </w:pPr>
            <w:r w:rsidRPr="00E5018A">
              <w:rPr>
                <w:rFonts w:ascii="Arial" w:hAnsi="Arial" w:cs="Arial"/>
                <w:color w:val="000000" w:themeColor="text1"/>
                <w:sz w:val="18"/>
                <w:szCs w:val="18"/>
                <w:lang w:val="fr-FR"/>
              </w:rPr>
              <w:t>52 920 000</w:t>
            </w:r>
          </w:p>
        </w:tc>
      </w:tr>
    </w:tbl>
    <w:p w14:paraId="5B8223C8" w14:textId="77777777" w:rsidR="006B44C8" w:rsidRPr="00E5018A" w:rsidRDefault="006B44C8" w:rsidP="006B44C8">
      <w:pPr>
        <w:jc w:val="both"/>
        <w:rPr>
          <w:rFonts w:ascii="Arial" w:hAnsi="Arial"/>
          <w:color w:val="000000" w:themeColor="text1"/>
          <w:sz w:val="22"/>
          <w:lang w:val="fr-FR"/>
        </w:rPr>
      </w:pPr>
      <w:r w:rsidRPr="00E5018A">
        <w:rPr>
          <w:rFonts w:ascii="Arial" w:hAnsi="Arial"/>
          <w:color w:val="000000" w:themeColor="text1"/>
          <w:sz w:val="22"/>
          <w:lang w:val="fr-FR"/>
        </w:rPr>
        <w:t xml:space="preserve">                                                                      </w:t>
      </w:r>
    </w:p>
    <w:p w14:paraId="2AA39F27" w14:textId="76EE1560" w:rsidR="006B44C8" w:rsidRPr="00E5018A" w:rsidRDefault="00DD7EFE" w:rsidP="006B44C8">
      <w:pPr>
        <w:jc w:val="both"/>
        <w:rPr>
          <w:rFonts w:ascii="Arial" w:hAnsi="Arial"/>
          <w:color w:val="000000" w:themeColor="text1"/>
          <w:sz w:val="22"/>
          <w:lang w:val="fr-FR"/>
        </w:rPr>
      </w:pPr>
      <w:r w:rsidRPr="00E5018A">
        <w:rPr>
          <w:rFonts w:ascii="Arial" w:hAnsi="Arial"/>
          <w:color w:val="000000" w:themeColor="text1"/>
          <w:sz w:val="22"/>
          <w:lang w:val="fr-FR"/>
        </w:rPr>
        <w:t xml:space="preserve">Taux de </w:t>
      </w:r>
      <w:r w:rsidR="00B91CBE" w:rsidRPr="00E5018A">
        <w:rPr>
          <w:rFonts w:ascii="Arial" w:hAnsi="Arial"/>
          <w:color w:val="000000" w:themeColor="text1"/>
          <w:sz w:val="22"/>
          <w:lang w:val="fr-FR"/>
        </w:rPr>
        <w:t>revient = 5,419</w:t>
      </w:r>
      <w:r w:rsidRPr="00E5018A">
        <w:rPr>
          <w:rFonts w:ascii="Arial" w:hAnsi="Arial"/>
          <w:color w:val="000000" w:themeColor="text1"/>
          <w:sz w:val="22"/>
          <w:lang w:val="fr-FR"/>
        </w:rPr>
        <w:t>%</w:t>
      </w:r>
      <w:r w:rsidR="006B44C8" w:rsidRPr="00E5018A">
        <w:rPr>
          <w:rFonts w:ascii="Arial" w:hAnsi="Arial"/>
          <w:color w:val="000000" w:themeColor="text1"/>
          <w:sz w:val="22"/>
          <w:lang w:val="fr-FR"/>
        </w:rPr>
        <w:tab/>
      </w:r>
      <w:r w:rsidR="006B44C8" w:rsidRPr="00E5018A">
        <w:rPr>
          <w:rFonts w:ascii="Arial" w:hAnsi="Arial"/>
          <w:color w:val="000000" w:themeColor="text1"/>
          <w:sz w:val="22"/>
          <w:lang w:val="fr-FR"/>
        </w:rPr>
        <w:tab/>
      </w:r>
    </w:p>
    <w:p w14:paraId="18599E90" w14:textId="77777777" w:rsidR="006B44C8" w:rsidRPr="00E5018A" w:rsidRDefault="006B44C8">
      <w:pPr>
        <w:jc w:val="both"/>
        <w:rPr>
          <w:rFonts w:ascii="Arial" w:hAnsi="Arial"/>
          <w:color w:val="000000" w:themeColor="text1"/>
          <w:sz w:val="22"/>
          <w:lang w:val="fr-FR"/>
        </w:rPr>
      </w:pPr>
    </w:p>
    <w:p w14:paraId="0E330BBB" w14:textId="77777777" w:rsidR="00EC0600" w:rsidRPr="00E5018A" w:rsidRDefault="00EC0600" w:rsidP="00EC0600">
      <w:pPr>
        <w:rPr>
          <w:rFonts w:ascii="Arial" w:hAnsi="Arial"/>
          <w:color w:val="000000" w:themeColor="text1"/>
          <w:sz w:val="22"/>
          <w:lang w:val="fr-FR"/>
        </w:rPr>
      </w:pPr>
    </w:p>
    <w:p w14:paraId="1EF62FF1" w14:textId="65D096B8" w:rsidR="00044B9A" w:rsidRPr="00E5018A" w:rsidRDefault="00044B9A" w:rsidP="00EC0600">
      <w:pPr>
        <w:rPr>
          <w:rFonts w:ascii="Arial" w:hAnsi="Arial"/>
          <w:color w:val="000000" w:themeColor="text1"/>
          <w:sz w:val="22"/>
          <w:lang w:val="fr-FR"/>
        </w:rPr>
      </w:pPr>
      <w:r w:rsidRPr="00E5018A">
        <w:rPr>
          <w:rFonts w:ascii="Arial" w:hAnsi="Arial"/>
          <w:color w:val="000000" w:themeColor="text1"/>
          <w:sz w:val="22"/>
          <w:lang w:val="fr-FR"/>
        </w:rPr>
        <w:t>Dans le cas d’un remboursement par fractions constantes, on aurait :</w:t>
      </w:r>
    </w:p>
    <w:p w14:paraId="28027ACE" w14:textId="77777777" w:rsidR="00044B9A" w:rsidRPr="00E5018A" w:rsidRDefault="00044B9A" w:rsidP="00044B9A">
      <w:pPr>
        <w:jc w:val="both"/>
        <w:rPr>
          <w:rFonts w:ascii="Arial" w:hAnsi="Arial"/>
          <w:color w:val="000000" w:themeColor="text1"/>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274"/>
        <w:gridCol w:w="1274"/>
        <w:gridCol w:w="1269"/>
        <w:gridCol w:w="1274"/>
        <w:gridCol w:w="1417"/>
        <w:gridCol w:w="1331"/>
      </w:tblGrid>
      <w:tr w:rsidR="00166ACD" w:rsidRPr="00E5018A" w14:paraId="42B81493" w14:textId="77777777" w:rsidTr="00976A53">
        <w:tc>
          <w:tcPr>
            <w:tcW w:w="1282" w:type="dxa"/>
            <w:shd w:val="clear" w:color="auto" w:fill="auto"/>
          </w:tcPr>
          <w:p w14:paraId="6599F1D0" w14:textId="77777777" w:rsidR="00044B9A" w:rsidRPr="00E5018A" w:rsidRDefault="00044B9A" w:rsidP="00976A53">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Annuité</w:t>
            </w:r>
          </w:p>
        </w:tc>
        <w:tc>
          <w:tcPr>
            <w:tcW w:w="1301" w:type="dxa"/>
            <w:shd w:val="clear" w:color="auto" w:fill="auto"/>
          </w:tcPr>
          <w:p w14:paraId="5DDE9A6B" w14:textId="77777777" w:rsidR="00044B9A" w:rsidRPr="00E5018A" w:rsidRDefault="00044B9A" w:rsidP="00976A53">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Obligations vivantes début</w:t>
            </w:r>
          </w:p>
        </w:tc>
        <w:tc>
          <w:tcPr>
            <w:tcW w:w="1301" w:type="dxa"/>
            <w:shd w:val="clear" w:color="auto" w:fill="auto"/>
          </w:tcPr>
          <w:p w14:paraId="3FD6DD41" w14:textId="77777777" w:rsidR="00044B9A" w:rsidRPr="00E5018A" w:rsidRDefault="00044B9A" w:rsidP="00976A53">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Capital restant du</w:t>
            </w:r>
          </w:p>
        </w:tc>
        <w:tc>
          <w:tcPr>
            <w:tcW w:w="1312" w:type="dxa"/>
            <w:shd w:val="clear" w:color="auto" w:fill="auto"/>
          </w:tcPr>
          <w:p w14:paraId="30F2CD0C" w14:textId="77777777" w:rsidR="00044B9A" w:rsidRPr="00E5018A" w:rsidRDefault="00044B9A" w:rsidP="00976A53">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Intérêt</w:t>
            </w:r>
          </w:p>
        </w:tc>
        <w:tc>
          <w:tcPr>
            <w:tcW w:w="1301" w:type="dxa"/>
            <w:shd w:val="clear" w:color="auto" w:fill="auto"/>
          </w:tcPr>
          <w:p w14:paraId="6DB1154E" w14:textId="77777777" w:rsidR="00044B9A" w:rsidRPr="00E5018A" w:rsidRDefault="00044B9A" w:rsidP="00976A53">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Obligations amorties</w:t>
            </w:r>
          </w:p>
        </w:tc>
        <w:tc>
          <w:tcPr>
            <w:tcW w:w="1417" w:type="dxa"/>
            <w:shd w:val="clear" w:color="auto" w:fill="auto"/>
          </w:tcPr>
          <w:p w14:paraId="3D8B4A45" w14:textId="77777777" w:rsidR="00044B9A" w:rsidRPr="00E5018A" w:rsidRDefault="00044B9A" w:rsidP="00976A53">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Amortissement avec prime</w:t>
            </w:r>
          </w:p>
        </w:tc>
        <w:tc>
          <w:tcPr>
            <w:tcW w:w="1368" w:type="dxa"/>
            <w:shd w:val="clear" w:color="auto" w:fill="auto"/>
          </w:tcPr>
          <w:p w14:paraId="23AD1980" w14:textId="77777777" w:rsidR="00044B9A" w:rsidRPr="00E5018A" w:rsidRDefault="00044B9A" w:rsidP="00976A53">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Annuité</w:t>
            </w:r>
          </w:p>
        </w:tc>
      </w:tr>
      <w:tr w:rsidR="00166ACD" w:rsidRPr="00E5018A" w14:paraId="566099CB" w14:textId="77777777" w:rsidTr="00976A53">
        <w:tc>
          <w:tcPr>
            <w:tcW w:w="1282" w:type="dxa"/>
            <w:shd w:val="clear" w:color="auto" w:fill="auto"/>
            <w:vAlign w:val="bottom"/>
          </w:tcPr>
          <w:p w14:paraId="2AFA1369" w14:textId="77777777" w:rsidR="00044B9A" w:rsidRPr="00E5018A" w:rsidRDefault="00044B9A" w:rsidP="00976A53">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1</w:t>
            </w:r>
          </w:p>
        </w:tc>
        <w:tc>
          <w:tcPr>
            <w:tcW w:w="1301" w:type="dxa"/>
            <w:shd w:val="clear" w:color="auto" w:fill="auto"/>
            <w:vAlign w:val="center"/>
          </w:tcPr>
          <w:p w14:paraId="56C76BF9" w14:textId="0547FE9A"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40 000</w:t>
            </w:r>
          </w:p>
        </w:tc>
        <w:tc>
          <w:tcPr>
            <w:tcW w:w="1301" w:type="dxa"/>
            <w:shd w:val="clear" w:color="auto" w:fill="auto"/>
            <w:vAlign w:val="center"/>
          </w:tcPr>
          <w:p w14:paraId="3B861E94" w14:textId="162B48F8"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40 000 000</w:t>
            </w:r>
          </w:p>
        </w:tc>
        <w:tc>
          <w:tcPr>
            <w:tcW w:w="1312" w:type="dxa"/>
            <w:shd w:val="clear" w:color="auto" w:fill="auto"/>
            <w:vAlign w:val="center"/>
          </w:tcPr>
          <w:p w14:paraId="234FD58E" w14:textId="76B5E945"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2 140 000</w:t>
            </w:r>
          </w:p>
        </w:tc>
        <w:tc>
          <w:tcPr>
            <w:tcW w:w="1301" w:type="dxa"/>
            <w:shd w:val="clear" w:color="auto" w:fill="auto"/>
            <w:vAlign w:val="center"/>
          </w:tcPr>
          <w:p w14:paraId="48C06E7E" w14:textId="4012EEE2"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6 667</w:t>
            </w:r>
          </w:p>
        </w:tc>
        <w:tc>
          <w:tcPr>
            <w:tcW w:w="1417" w:type="dxa"/>
            <w:shd w:val="clear" w:color="auto" w:fill="auto"/>
            <w:vAlign w:val="center"/>
          </w:tcPr>
          <w:p w14:paraId="195BC3AC" w14:textId="4492EBF9"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6 680 334</w:t>
            </w:r>
          </w:p>
        </w:tc>
        <w:tc>
          <w:tcPr>
            <w:tcW w:w="1368" w:type="dxa"/>
            <w:shd w:val="clear" w:color="auto" w:fill="auto"/>
            <w:vAlign w:val="center"/>
          </w:tcPr>
          <w:p w14:paraId="706E6689" w14:textId="12FF536E"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8 820 334</w:t>
            </w:r>
          </w:p>
        </w:tc>
      </w:tr>
      <w:tr w:rsidR="00166ACD" w:rsidRPr="00E5018A" w14:paraId="68CBB972" w14:textId="77777777" w:rsidTr="00976A53">
        <w:tc>
          <w:tcPr>
            <w:tcW w:w="1282" w:type="dxa"/>
            <w:shd w:val="clear" w:color="auto" w:fill="auto"/>
            <w:vAlign w:val="bottom"/>
          </w:tcPr>
          <w:p w14:paraId="52F8DCAF" w14:textId="77777777" w:rsidR="00044B9A" w:rsidRPr="00E5018A" w:rsidRDefault="00044B9A" w:rsidP="00976A53">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2</w:t>
            </w:r>
          </w:p>
        </w:tc>
        <w:tc>
          <w:tcPr>
            <w:tcW w:w="1301" w:type="dxa"/>
            <w:shd w:val="clear" w:color="auto" w:fill="auto"/>
            <w:vAlign w:val="center"/>
          </w:tcPr>
          <w:p w14:paraId="3036FA8B" w14:textId="2322E4D5"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33 333</w:t>
            </w:r>
          </w:p>
        </w:tc>
        <w:tc>
          <w:tcPr>
            <w:tcW w:w="1301" w:type="dxa"/>
            <w:shd w:val="clear" w:color="auto" w:fill="auto"/>
            <w:vAlign w:val="center"/>
          </w:tcPr>
          <w:p w14:paraId="48367F96" w14:textId="12F9BA69"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33 333 000</w:t>
            </w:r>
          </w:p>
        </w:tc>
        <w:tc>
          <w:tcPr>
            <w:tcW w:w="1312" w:type="dxa"/>
            <w:shd w:val="clear" w:color="auto" w:fill="auto"/>
            <w:vAlign w:val="center"/>
          </w:tcPr>
          <w:p w14:paraId="6DC97634" w14:textId="3607B191"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1 783 316</w:t>
            </w:r>
          </w:p>
        </w:tc>
        <w:tc>
          <w:tcPr>
            <w:tcW w:w="1301" w:type="dxa"/>
            <w:shd w:val="clear" w:color="auto" w:fill="auto"/>
            <w:vAlign w:val="center"/>
          </w:tcPr>
          <w:p w14:paraId="64C8AB7D" w14:textId="3ED2D3FB"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6 667</w:t>
            </w:r>
          </w:p>
        </w:tc>
        <w:tc>
          <w:tcPr>
            <w:tcW w:w="1417" w:type="dxa"/>
            <w:shd w:val="clear" w:color="auto" w:fill="auto"/>
            <w:vAlign w:val="center"/>
          </w:tcPr>
          <w:p w14:paraId="0167CB55" w14:textId="6280A526"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6 680 334</w:t>
            </w:r>
          </w:p>
        </w:tc>
        <w:tc>
          <w:tcPr>
            <w:tcW w:w="1368" w:type="dxa"/>
            <w:shd w:val="clear" w:color="auto" w:fill="auto"/>
            <w:vAlign w:val="center"/>
          </w:tcPr>
          <w:p w14:paraId="05F02518" w14:textId="200B5873"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8 463 650</w:t>
            </w:r>
          </w:p>
        </w:tc>
      </w:tr>
      <w:tr w:rsidR="00166ACD" w:rsidRPr="00E5018A" w14:paraId="1BBA9FCA" w14:textId="77777777" w:rsidTr="00976A53">
        <w:tc>
          <w:tcPr>
            <w:tcW w:w="1282" w:type="dxa"/>
            <w:shd w:val="clear" w:color="auto" w:fill="auto"/>
            <w:vAlign w:val="bottom"/>
          </w:tcPr>
          <w:p w14:paraId="6A964ACC" w14:textId="77777777" w:rsidR="00044B9A" w:rsidRPr="00E5018A" w:rsidRDefault="00044B9A" w:rsidP="00976A53">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3</w:t>
            </w:r>
          </w:p>
        </w:tc>
        <w:tc>
          <w:tcPr>
            <w:tcW w:w="1301" w:type="dxa"/>
            <w:shd w:val="clear" w:color="auto" w:fill="auto"/>
            <w:vAlign w:val="center"/>
          </w:tcPr>
          <w:p w14:paraId="22C062C8" w14:textId="17E5F390"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26 666</w:t>
            </w:r>
          </w:p>
        </w:tc>
        <w:tc>
          <w:tcPr>
            <w:tcW w:w="1301" w:type="dxa"/>
            <w:shd w:val="clear" w:color="auto" w:fill="auto"/>
            <w:vAlign w:val="center"/>
          </w:tcPr>
          <w:p w14:paraId="499A50FF" w14:textId="64719227"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26 666 000</w:t>
            </w:r>
          </w:p>
        </w:tc>
        <w:tc>
          <w:tcPr>
            <w:tcW w:w="1312" w:type="dxa"/>
            <w:shd w:val="clear" w:color="auto" w:fill="auto"/>
            <w:vAlign w:val="center"/>
          </w:tcPr>
          <w:p w14:paraId="40222545" w14:textId="5EF3BF76"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1 426 631</w:t>
            </w:r>
          </w:p>
        </w:tc>
        <w:tc>
          <w:tcPr>
            <w:tcW w:w="1301" w:type="dxa"/>
            <w:shd w:val="clear" w:color="auto" w:fill="auto"/>
            <w:vAlign w:val="center"/>
          </w:tcPr>
          <w:p w14:paraId="78FCB1B6" w14:textId="01B63AB4"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6 667</w:t>
            </w:r>
          </w:p>
        </w:tc>
        <w:tc>
          <w:tcPr>
            <w:tcW w:w="1417" w:type="dxa"/>
            <w:shd w:val="clear" w:color="auto" w:fill="auto"/>
            <w:vAlign w:val="center"/>
          </w:tcPr>
          <w:p w14:paraId="113A97AB" w14:textId="02AEE035"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6 680 334</w:t>
            </w:r>
          </w:p>
        </w:tc>
        <w:tc>
          <w:tcPr>
            <w:tcW w:w="1368" w:type="dxa"/>
            <w:shd w:val="clear" w:color="auto" w:fill="auto"/>
            <w:vAlign w:val="center"/>
          </w:tcPr>
          <w:p w14:paraId="0FD93B0A" w14:textId="57977827"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8 106 965</w:t>
            </w:r>
          </w:p>
        </w:tc>
      </w:tr>
      <w:tr w:rsidR="00166ACD" w:rsidRPr="00E5018A" w14:paraId="11F4EE32" w14:textId="77777777" w:rsidTr="00976A53">
        <w:tc>
          <w:tcPr>
            <w:tcW w:w="1282" w:type="dxa"/>
            <w:shd w:val="clear" w:color="auto" w:fill="auto"/>
            <w:vAlign w:val="bottom"/>
          </w:tcPr>
          <w:p w14:paraId="6190C1DA" w14:textId="77777777" w:rsidR="00044B9A" w:rsidRPr="00E5018A" w:rsidRDefault="00044B9A" w:rsidP="00976A53">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4</w:t>
            </w:r>
          </w:p>
        </w:tc>
        <w:tc>
          <w:tcPr>
            <w:tcW w:w="1301" w:type="dxa"/>
            <w:shd w:val="clear" w:color="auto" w:fill="auto"/>
            <w:vAlign w:val="center"/>
          </w:tcPr>
          <w:p w14:paraId="0969AE40" w14:textId="58D423DE"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19 999</w:t>
            </w:r>
          </w:p>
        </w:tc>
        <w:tc>
          <w:tcPr>
            <w:tcW w:w="1301" w:type="dxa"/>
            <w:shd w:val="clear" w:color="auto" w:fill="auto"/>
            <w:vAlign w:val="center"/>
          </w:tcPr>
          <w:p w14:paraId="364E8FDD" w14:textId="4FA08CB7"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19 999 000</w:t>
            </w:r>
          </w:p>
        </w:tc>
        <w:tc>
          <w:tcPr>
            <w:tcW w:w="1312" w:type="dxa"/>
            <w:shd w:val="clear" w:color="auto" w:fill="auto"/>
            <w:vAlign w:val="center"/>
          </w:tcPr>
          <w:p w14:paraId="7EF1D71D" w14:textId="751AE35A"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1 069 947</w:t>
            </w:r>
          </w:p>
        </w:tc>
        <w:tc>
          <w:tcPr>
            <w:tcW w:w="1301" w:type="dxa"/>
            <w:shd w:val="clear" w:color="auto" w:fill="auto"/>
            <w:vAlign w:val="center"/>
          </w:tcPr>
          <w:p w14:paraId="1ED67ED4" w14:textId="0A9ED3AB"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6 667</w:t>
            </w:r>
          </w:p>
        </w:tc>
        <w:tc>
          <w:tcPr>
            <w:tcW w:w="1417" w:type="dxa"/>
            <w:shd w:val="clear" w:color="auto" w:fill="auto"/>
            <w:vAlign w:val="center"/>
          </w:tcPr>
          <w:p w14:paraId="25CC5845" w14:textId="2DA5F3B6"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6 680 334</w:t>
            </w:r>
          </w:p>
        </w:tc>
        <w:tc>
          <w:tcPr>
            <w:tcW w:w="1368" w:type="dxa"/>
            <w:shd w:val="clear" w:color="auto" w:fill="auto"/>
            <w:vAlign w:val="center"/>
          </w:tcPr>
          <w:p w14:paraId="2B630CF5" w14:textId="163CB4BD"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7 750 281</w:t>
            </w:r>
          </w:p>
        </w:tc>
      </w:tr>
      <w:tr w:rsidR="00166ACD" w:rsidRPr="00E5018A" w14:paraId="65913AE7" w14:textId="77777777" w:rsidTr="00976A53">
        <w:tc>
          <w:tcPr>
            <w:tcW w:w="1282" w:type="dxa"/>
            <w:shd w:val="clear" w:color="auto" w:fill="auto"/>
            <w:vAlign w:val="bottom"/>
          </w:tcPr>
          <w:p w14:paraId="7C62A9CF" w14:textId="77777777" w:rsidR="00044B9A" w:rsidRPr="00E5018A" w:rsidRDefault="00044B9A" w:rsidP="00976A53">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5</w:t>
            </w:r>
          </w:p>
        </w:tc>
        <w:tc>
          <w:tcPr>
            <w:tcW w:w="1301" w:type="dxa"/>
            <w:shd w:val="clear" w:color="auto" w:fill="auto"/>
            <w:vAlign w:val="center"/>
          </w:tcPr>
          <w:p w14:paraId="70196C7F" w14:textId="2495596E"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13 332</w:t>
            </w:r>
          </w:p>
        </w:tc>
        <w:tc>
          <w:tcPr>
            <w:tcW w:w="1301" w:type="dxa"/>
            <w:shd w:val="clear" w:color="auto" w:fill="auto"/>
            <w:vAlign w:val="center"/>
          </w:tcPr>
          <w:p w14:paraId="1A643F8C" w14:textId="2E221D6B"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13 332 000</w:t>
            </w:r>
          </w:p>
        </w:tc>
        <w:tc>
          <w:tcPr>
            <w:tcW w:w="1312" w:type="dxa"/>
            <w:shd w:val="clear" w:color="auto" w:fill="auto"/>
            <w:vAlign w:val="center"/>
          </w:tcPr>
          <w:p w14:paraId="12E697A2" w14:textId="48E85C5A"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713 262</w:t>
            </w:r>
          </w:p>
        </w:tc>
        <w:tc>
          <w:tcPr>
            <w:tcW w:w="1301" w:type="dxa"/>
            <w:shd w:val="clear" w:color="auto" w:fill="auto"/>
            <w:vAlign w:val="center"/>
          </w:tcPr>
          <w:p w14:paraId="3353D70D" w14:textId="4893ED4E"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6 667</w:t>
            </w:r>
          </w:p>
        </w:tc>
        <w:tc>
          <w:tcPr>
            <w:tcW w:w="1417" w:type="dxa"/>
            <w:shd w:val="clear" w:color="auto" w:fill="auto"/>
            <w:vAlign w:val="center"/>
          </w:tcPr>
          <w:p w14:paraId="326DE637" w14:textId="1F4F67BA"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6 680 334</w:t>
            </w:r>
          </w:p>
        </w:tc>
        <w:tc>
          <w:tcPr>
            <w:tcW w:w="1368" w:type="dxa"/>
            <w:shd w:val="clear" w:color="auto" w:fill="auto"/>
            <w:vAlign w:val="center"/>
          </w:tcPr>
          <w:p w14:paraId="3D259350" w14:textId="0BF5648D"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7 393 596</w:t>
            </w:r>
          </w:p>
        </w:tc>
      </w:tr>
      <w:tr w:rsidR="00166ACD" w:rsidRPr="00E5018A" w14:paraId="0A6B92AA" w14:textId="77777777" w:rsidTr="00976A53">
        <w:tc>
          <w:tcPr>
            <w:tcW w:w="1282" w:type="dxa"/>
            <w:tcBorders>
              <w:bottom w:val="single" w:sz="4" w:space="0" w:color="auto"/>
            </w:tcBorders>
            <w:shd w:val="clear" w:color="auto" w:fill="auto"/>
            <w:vAlign w:val="bottom"/>
          </w:tcPr>
          <w:p w14:paraId="0F8D9DC4" w14:textId="77777777" w:rsidR="00044B9A" w:rsidRPr="00E5018A" w:rsidRDefault="00044B9A" w:rsidP="00976A53">
            <w:pPr>
              <w:jc w:val="center"/>
              <w:rPr>
                <w:rFonts w:ascii="Arial" w:hAnsi="Arial" w:cs="Arial"/>
                <w:color w:val="000000" w:themeColor="text1"/>
                <w:sz w:val="18"/>
                <w:szCs w:val="18"/>
                <w:lang w:val="fr-FR"/>
              </w:rPr>
            </w:pPr>
            <w:r w:rsidRPr="00E5018A">
              <w:rPr>
                <w:rFonts w:ascii="Arial" w:hAnsi="Arial" w:cs="Arial"/>
                <w:color w:val="000000" w:themeColor="text1"/>
                <w:sz w:val="18"/>
                <w:szCs w:val="18"/>
                <w:lang w:val="fr-FR"/>
              </w:rPr>
              <w:t>6</w:t>
            </w:r>
          </w:p>
        </w:tc>
        <w:tc>
          <w:tcPr>
            <w:tcW w:w="1301" w:type="dxa"/>
            <w:tcBorders>
              <w:bottom w:val="single" w:sz="4" w:space="0" w:color="auto"/>
            </w:tcBorders>
            <w:shd w:val="clear" w:color="auto" w:fill="auto"/>
            <w:vAlign w:val="center"/>
          </w:tcPr>
          <w:p w14:paraId="46EA269E" w14:textId="28D05106"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6 665</w:t>
            </w:r>
          </w:p>
        </w:tc>
        <w:tc>
          <w:tcPr>
            <w:tcW w:w="1301" w:type="dxa"/>
            <w:tcBorders>
              <w:bottom w:val="single" w:sz="4" w:space="0" w:color="auto"/>
            </w:tcBorders>
            <w:shd w:val="clear" w:color="auto" w:fill="auto"/>
            <w:vAlign w:val="center"/>
          </w:tcPr>
          <w:p w14:paraId="1FD86101" w14:textId="3FE8EA7D"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6 665 000</w:t>
            </w:r>
          </w:p>
        </w:tc>
        <w:tc>
          <w:tcPr>
            <w:tcW w:w="1312" w:type="dxa"/>
            <w:shd w:val="clear" w:color="auto" w:fill="auto"/>
            <w:vAlign w:val="center"/>
          </w:tcPr>
          <w:p w14:paraId="4B0E2287" w14:textId="5E3E04B2"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356 578</w:t>
            </w:r>
          </w:p>
        </w:tc>
        <w:tc>
          <w:tcPr>
            <w:tcW w:w="1301" w:type="dxa"/>
            <w:shd w:val="clear" w:color="auto" w:fill="auto"/>
            <w:vAlign w:val="center"/>
          </w:tcPr>
          <w:p w14:paraId="784F7399" w14:textId="1DA84EA3"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6 665</w:t>
            </w:r>
          </w:p>
        </w:tc>
        <w:tc>
          <w:tcPr>
            <w:tcW w:w="1417" w:type="dxa"/>
            <w:shd w:val="clear" w:color="auto" w:fill="auto"/>
            <w:vAlign w:val="center"/>
          </w:tcPr>
          <w:p w14:paraId="1B12BDA1" w14:textId="382D69D1"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6 678 330</w:t>
            </w:r>
          </w:p>
        </w:tc>
        <w:tc>
          <w:tcPr>
            <w:tcW w:w="1368" w:type="dxa"/>
            <w:shd w:val="clear" w:color="auto" w:fill="auto"/>
            <w:vAlign w:val="center"/>
          </w:tcPr>
          <w:p w14:paraId="39018582" w14:textId="0123481F"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7 034 908</w:t>
            </w:r>
          </w:p>
        </w:tc>
      </w:tr>
      <w:tr w:rsidR="00166ACD" w:rsidRPr="00E5018A" w14:paraId="74C9267A" w14:textId="77777777" w:rsidTr="00976A53">
        <w:tc>
          <w:tcPr>
            <w:tcW w:w="1282" w:type="dxa"/>
            <w:tcBorders>
              <w:left w:val="nil"/>
              <w:bottom w:val="nil"/>
              <w:right w:val="nil"/>
            </w:tcBorders>
            <w:shd w:val="clear" w:color="auto" w:fill="auto"/>
            <w:vAlign w:val="bottom"/>
          </w:tcPr>
          <w:p w14:paraId="5BE62D57" w14:textId="77777777" w:rsidR="00044B9A" w:rsidRPr="00E5018A" w:rsidRDefault="00044B9A" w:rsidP="00976A53">
            <w:pPr>
              <w:rPr>
                <w:rFonts w:ascii="Arial" w:hAnsi="Arial" w:cs="Arial"/>
                <w:color w:val="000000" w:themeColor="text1"/>
                <w:sz w:val="18"/>
                <w:szCs w:val="18"/>
                <w:lang w:val="fr-FR"/>
              </w:rPr>
            </w:pPr>
            <w:r w:rsidRPr="00E5018A">
              <w:rPr>
                <w:rFonts w:ascii="Arial" w:hAnsi="Arial" w:cs="Arial"/>
                <w:color w:val="000000" w:themeColor="text1"/>
                <w:sz w:val="18"/>
                <w:szCs w:val="18"/>
                <w:lang w:val="fr-FR"/>
              </w:rPr>
              <w:t> </w:t>
            </w:r>
          </w:p>
        </w:tc>
        <w:tc>
          <w:tcPr>
            <w:tcW w:w="1301" w:type="dxa"/>
            <w:tcBorders>
              <w:left w:val="nil"/>
              <w:bottom w:val="nil"/>
              <w:right w:val="nil"/>
            </w:tcBorders>
            <w:shd w:val="clear" w:color="auto" w:fill="auto"/>
            <w:vAlign w:val="bottom"/>
          </w:tcPr>
          <w:p w14:paraId="28665B8B" w14:textId="77777777" w:rsidR="00044B9A" w:rsidRPr="00E5018A" w:rsidRDefault="00044B9A" w:rsidP="00976A53">
            <w:pPr>
              <w:rPr>
                <w:rFonts w:ascii="Arial" w:hAnsi="Arial" w:cs="Arial"/>
                <w:color w:val="000000" w:themeColor="text1"/>
                <w:sz w:val="18"/>
                <w:szCs w:val="18"/>
                <w:lang w:val="fr-FR"/>
              </w:rPr>
            </w:pPr>
          </w:p>
        </w:tc>
        <w:tc>
          <w:tcPr>
            <w:tcW w:w="1301" w:type="dxa"/>
            <w:tcBorders>
              <w:left w:val="nil"/>
              <w:bottom w:val="nil"/>
            </w:tcBorders>
            <w:shd w:val="clear" w:color="auto" w:fill="auto"/>
            <w:vAlign w:val="bottom"/>
          </w:tcPr>
          <w:p w14:paraId="79D29D6A" w14:textId="77777777" w:rsidR="00044B9A" w:rsidRPr="00E5018A" w:rsidRDefault="00044B9A" w:rsidP="00976A53">
            <w:pPr>
              <w:jc w:val="center"/>
              <w:rPr>
                <w:rFonts w:ascii="Arial" w:hAnsi="Arial" w:cs="Arial"/>
                <w:color w:val="000000" w:themeColor="text1"/>
                <w:sz w:val="18"/>
                <w:szCs w:val="18"/>
                <w:lang w:val="fr-FR"/>
              </w:rPr>
            </w:pPr>
          </w:p>
        </w:tc>
        <w:tc>
          <w:tcPr>
            <w:tcW w:w="1312" w:type="dxa"/>
            <w:shd w:val="clear" w:color="auto" w:fill="auto"/>
            <w:vAlign w:val="center"/>
          </w:tcPr>
          <w:p w14:paraId="1FEDD502" w14:textId="45B8F88A"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7 489 733</w:t>
            </w:r>
          </w:p>
        </w:tc>
        <w:tc>
          <w:tcPr>
            <w:tcW w:w="1301" w:type="dxa"/>
            <w:shd w:val="clear" w:color="auto" w:fill="auto"/>
            <w:vAlign w:val="center"/>
          </w:tcPr>
          <w:p w14:paraId="02117DFB" w14:textId="479CEF88"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40 000</w:t>
            </w:r>
          </w:p>
        </w:tc>
        <w:tc>
          <w:tcPr>
            <w:tcW w:w="1417" w:type="dxa"/>
            <w:shd w:val="clear" w:color="auto" w:fill="auto"/>
            <w:vAlign w:val="center"/>
          </w:tcPr>
          <w:p w14:paraId="741AA7E6" w14:textId="4CDD3553"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40 080 000</w:t>
            </w:r>
          </w:p>
        </w:tc>
        <w:tc>
          <w:tcPr>
            <w:tcW w:w="1368" w:type="dxa"/>
            <w:shd w:val="clear" w:color="auto" w:fill="auto"/>
            <w:vAlign w:val="center"/>
          </w:tcPr>
          <w:p w14:paraId="3DA818B8" w14:textId="6AC58FE6" w:rsidR="00044B9A" w:rsidRPr="00E5018A" w:rsidRDefault="00044B9A" w:rsidP="00976A53">
            <w:pPr>
              <w:jc w:val="right"/>
              <w:rPr>
                <w:rFonts w:ascii="Arial" w:hAnsi="Arial" w:cs="Arial"/>
                <w:color w:val="000000" w:themeColor="text1"/>
                <w:sz w:val="18"/>
                <w:szCs w:val="18"/>
                <w:lang w:val="fr-FR"/>
              </w:rPr>
            </w:pPr>
            <w:r w:rsidRPr="00E5018A">
              <w:rPr>
                <w:rFonts w:ascii="Arial" w:hAnsi="Arial" w:cs="Arial"/>
                <w:color w:val="000000" w:themeColor="text1"/>
                <w:sz w:val="18"/>
                <w:szCs w:val="18"/>
              </w:rPr>
              <w:t>47 569 733</w:t>
            </w:r>
          </w:p>
        </w:tc>
      </w:tr>
    </w:tbl>
    <w:p w14:paraId="63D61C24" w14:textId="77777777" w:rsidR="00044B9A" w:rsidRPr="00E5018A" w:rsidRDefault="00044B9A" w:rsidP="00044B9A">
      <w:pPr>
        <w:jc w:val="both"/>
        <w:rPr>
          <w:rFonts w:ascii="Arial" w:hAnsi="Arial"/>
          <w:color w:val="000000" w:themeColor="text1"/>
          <w:sz w:val="22"/>
          <w:lang w:val="fr-FR"/>
        </w:rPr>
      </w:pPr>
      <w:r w:rsidRPr="00E5018A">
        <w:rPr>
          <w:rFonts w:ascii="Arial" w:hAnsi="Arial"/>
          <w:color w:val="000000" w:themeColor="text1"/>
          <w:sz w:val="22"/>
          <w:lang w:val="fr-FR"/>
        </w:rPr>
        <w:t xml:space="preserve">                                                                      </w:t>
      </w:r>
    </w:p>
    <w:p w14:paraId="2D34779A" w14:textId="2DBB11C8" w:rsidR="00680601" w:rsidRPr="00E5018A" w:rsidRDefault="00236709">
      <w:pPr>
        <w:jc w:val="both"/>
        <w:rPr>
          <w:rFonts w:ascii="Arial" w:hAnsi="Arial"/>
          <w:color w:val="000000" w:themeColor="text1"/>
          <w:sz w:val="22"/>
          <w:lang w:val="fr-FR"/>
        </w:rPr>
      </w:pPr>
      <w:r w:rsidRPr="00E5018A">
        <w:rPr>
          <w:rFonts w:ascii="Arial" w:hAnsi="Arial"/>
          <w:color w:val="000000" w:themeColor="text1"/>
          <w:sz w:val="22"/>
          <w:lang w:val="fr-FR"/>
        </w:rPr>
        <w:t>Taux de revient = 5,470</w:t>
      </w:r>
      <w:r w:rsidR="00DD7EFE" w:rsidRPr="00E5018A">
        <w:rPr>
          <w:rFonts w:ascii="Arial" w:hAnsi="Arial"/>
          <w:color w:val="000000" w:themeColor="text1"/>
          <w:sz w:val="22"/>
          <w:lang w:val="fr-FR"/>
        </w:rPr>
        <w:t>%</w:t>
      </w:r>
    </w:p>
    <w:p w14:paraId="53E22ACA" w14:textId="77777777" w:rsidR="00976A53" w:rsidRPr="00E5018A" w:rsidRDefault="00976A53">
      <w:pPr>
        <w:jc w:val="both"/>
        <w:rPr>
          <w:rFonts w:ascii="Arial" w:hAnsi="Arial"/>
          <w:color w:val="000000" w:themeColor="text1"/>
          <w:sz w:val="22"/>
          <w:lang w:val="fr-FR"/>
        </w:rPr>
      </w:pPr>
    </w:p>
    <w:p w14:paraId="4E90BDB2" w14:textId="77777777" w:rsidR="002A59EF" w:rsidRPr="00E5018A" w:rsidRDefault="002A59EF">
      <w:pPr>
        <w:jc w:val="both"/>
        <w:rPr>
          <w:rFonts w:ascii="Arial" w:hAnsi="Arial"/>
          <w:color w:val="000000" w:themeColor="text1"/>
          <w:sz w:val="22"/>
          <w:lang w:val="fr-FR"/>
        </w:rPr>
      </w:pPr>
    </w:p>
    <w:p w14:paraId="2B543A88" w14:textId="54040F03" w:rsidR="00EA50A1" w:rsidRPr="00E5018A" w:rsidRDefault="00976A53" w:rsidP="00193F32">
      <w:pPr>
        <w:jc w:val="both"/>
        <w:rPr>
          <w:rFonts w:ascii="Arial" w:hAnsi="Arial"/>
          <w:color w:val="000000" w:themeColor="text1"/>
          <w:sz w:val="22"/>
          <w:lang w:val="fr-FR"/>
        </w:rPr>
      </w:pPr>
      <w:r w:rsidRPr="00E5018A">
        <w:rPr>
          <w:rFonts w:ascii="Arial" w:hAnsi="Arial"/>
          <w:color w:val="000000" w:themeColor="text1"/>
          <w:sz w:val="22"/>
          <w:lang w:val="fr-FR"/>
        </w:rPr>
        <w:t>Dans</w:t>
      </w:r>
      <w:r w:rsidR="00900E64" w:rsidRPr="00E5018A">
        <w:rPr>
          <w:rFonts w:ascii="Arial" w:hAnsi="Arial"/>
          <w:color w:val="000000" w:themeColor="text1"/>
          <w:sz w:val="22"/>
          <w:lang w:val="fr-FR"/>
        </w:rPr>
        <w:t xml:space="preserve"> le cas de remboursements constant</w:t>
      </w:r>
      <w:r w:rsidRPr="00E5018A">
        <w:rPr>
          <w:rFonts w:ascii="Arial" w:hAnsi="Arial"/>
          <w:color w:val="000000" w:themeColor="text1"/>
          <w:sz w:val="22"/>
          <w:lang w:val="fr-FR"/>
        </w:rPr>
        <w:t>s avec différé de remboursement à partir de la 3</w:t>
      </w:r>
      <w:r w:rsidRPr="00E5018A">
        <w:rPr>
          <w:rFonts w:ascii="Arial" w:hAnsi="Arial"/>
          <w:color w:val="000000" w:themeColor="text1"/>
          <w:sz w:val="22"/>
          <w:vertAlign w:val="superscript"/>
          <w:lang w:val="fr-FR"/>
        </w:rPr>
        <w:t>ème</w:t>
      </w:r>
      <w:r w:rsidRPr="00E5018A">
        <w:rPr>
          <w:rFonts w:ascii="Arial" w:hAnsi="Arial"/>
          <w:color w:val="000000" w:themeColor="text1"/>
          <w:sz w:val="22"/>
          <w:lang w:val="fr-FR"/>
        </w:rPr>
        <w:t xml:space="preserve"> échéance, on aurait :</w:t>
      </w:r>
    </w:p>
    <w:p w14:paraId="6AE4D217" w14:textId="77777777" w:rsidR="00976A53" w:rsidRPr="00E5018A" w:rsidRDefault="00976A53">
      <w:pPr>
        <w:jc w:val="both"/>
        <w:rPr>
          <w:rFonts w:ascii="Arial" w:hAnsi="Arial"/>
          <w:color w:val="000000" w:themeColor="text1"/>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274"/>
        <w:gridCol w:w="1274"/>
        <w:gridCol w:w="1269"/>
        <w:gridCol w:w="1274"/>
        <w:gridCol w:w="1417"/>
        <w:gridCol w:w="1331"/>
      </w:tblGrid>
      <w:tr w:rsidR="00166ACD" w:rsidRPr="00E5018A" w14:paraId="0BDE9086" w14:textId="77777777" w:rsidTr="00976A53">
        <w:tc>
          <w:tcPr>
            <w:tcW w:w="1282" w:type="dxa"/>
            <w:shd w:val="clear" w:color="auto" w:fill="auto"/>
          </w:tcPr>
          <w:p w14:paraId="50185A84" w14:textId="77777777" w:rsidR="00976A53" w:rsidRPr="00E5018A" w:rsidRDefault="00976A53" w:rsidP="00976A53">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Annuité</w:t>
            </w:r>
          </w:p>
        </w:tc>
        <w:tc>
          <w:tcPr>
            <w:tcW w:w="1301" w:type="dxa"/>
            <w:shd w:val="clear" w:color="auto" w:fill="auto"/>
          </w:tcPr>
          <w:p w14:paraId="515548DA" w14:textId="77777777" w:rsidR="00976A53" w:rsidRPr="00E5018A" w:rsidRDefault="00976A53" w:rsidP="00976A53">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Obligations vivantes début</w:t>
            </w:r>
          </w:p>
        </w:tc>
        <w:tc>
          <w:tcPr>
            <w:tcW w:w="1301" w:type="dxa"/>
            <w:shd w:val="clear" w:color="auto" w:fill="auto"/>
          </w:tcPr>
          <w:p w14:paraId="4FD8B74D" w14:textId="77777777" w:rsidR="00976A53" w:rsidRPr="00E5018A" w:rsidRDefault="00976A53" w:rsidP="00976A53">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Capital restant du</w:t>
            </w:r>
          </w:p>
        </w:tc>
        <w:tc>
          <w:tcPr>
            <w:tcW w:w="1312" w:type="dxa"/>
            <w:shd w:val="clear" w:color="auto" w:fill="auto"/>
          </w:tcPr>
          <w:p w14:paraId="47FCD239" w14:textId="77777777" w:rsidR="00976A53" w:rsidRPr="00E5018A" w:rsidRDefault="00976A53" w:rsidP="00976A53">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Intérêt</w:t>
            </w:r>
          </w:p>
        </w:tc>
        <w:tc>
          <w:tcPr>
            <w:tcW w:w="1301" w:type="dxa"/>
            <w:shd w:val="clear" w:color="auto" w:fill="auto"/>
          </w:tcPr>
          <w:p w14:paraId="4919B8F6" w14:textId="77777777" w:rsidR="00976A53" w:rsidRPr="00E5018A" w:rsidRDefault="00976A53" w:rsidP="00976A53">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Obligations amorties</w:t>
            </w:r>
          </w:p>
        </w:tc>
        <w:tc>
          <w:tcPr>
            <w:tcW w:w="1417" w:type="dxa"/>
            <w:shd w:val="clear" w:color="auto" w:fill="auto"/>
          </w:tcPr>
          <w:p w14:paraId="7AD9908D" w14:textId="77777777" w:rsidR="00976A53" w:rsidRPr="00E5018A" w:rsidRDefault="00976A53" w:rsidP="00976A53">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Amortissement avec prime</w:t>
            </w:r>
          </w:p>
        </w:tc>
        <w:tc>
          <w:tcPr>
            <w:tcW w:w="1368" w:type="dxa"/>
            <w:shd w:val="clear" w:color="auto" w:fill="auto"/>
          </w:tcPr>
          <w:p w14:paraId="078B739A" w14:textId="77777777" w:rsidR="00976A53" w:rsidRPr="00E5018A" w:rsidRDefault="00976A53" w:rsidP="00976A53">
            <w:pPr>
              <w:jc w:val="center"/>
              <w:rPr>
                <w:rFonts w:ascii="Arial" w:hAnsi="Arial"/>
                <w:color w:val="000000" w:themeColor="text1"/>
                <w:sz w:val="18"/>
                <w:szCs w:val="18"/>
                <w:lang w:val="fr-FR"/>
              </w:rPr>
            </w:pPr>
            <w:r w:rsidRPr="00E5018A">
              <w:rPr>
                <w:rFonts w:ascii="Arial" w:hAnsi="Arial"/>
                <w:color w:val="000000" w:themeColor="text1"/>
                <w:sz w:val="18"/>
                <w:szCs w:val="18"/>
                <w:lang w:val="fr-FR"/>
              </w:rPr>
              <w:t>Annuité</w:t>
            </w:r>
          </w:p>
        </w:tc>
      </w:tr>
      <w:tr w:rsidR="00166ACD" w:rsidRPr="00E5018A" w14:paraId="3748DB98" w14:textId="77777777" w:rsidTr="0087132F">
        <w:tc>
          <w:tcPr>
            <w:tcW w:w="1282" w:type="dxa"/>
            <w:shd w:val="clear" w:color="auto" w:fill="auto"/>
            <w:vAlign w:val="center"/>
          </w:tcPr>
          <w:p w14:paraId="745B1348" w14:textId="72E1C00B" w:rsidR="00A93111" w:rsidRPr="00E5018A" w:rsidRDefault="00A93111" w:rsidP="00976A53">
            <w:pPr>
              <w:jc w:val="center"/>
              <w:rPr>
                <w:rFonts w:ascii="Arial" w:hAnsi="Arial" w:cs="Arial"/>
                <w:color w:val="000000" w:themeColor="text1"/>
                <w:sz w:val="18"/>
                <w:szCs w:val="18"/>
                <w:lang w:val="fr-FR"/>
              </w:rPr>
            </w:pPr>
            <w:r w:rsidRPr="00E5018A">
              <w:rPr>
                <w:rFonts w:ascii="Arial" w:hAnsi="Arial"/>
                <w:color w:val="000000" w:themeColor="text1"/>
                <w:sz w:val="18"/>
                <w:szCs w:val="18"/>
              </w:rPr>
              <w:t>1</w:t>
            </w:r>
          </w:p>
        </w:tc>
        <w:tc>
          <w:tcPr>
            <w:tcW w:w="1301" w:type="dxa"/>
            <w:shd w:val="clear" w:color="auto" w:fill="auto"/>
            <w:vAlign w:val="center"/>
          </w:tcPr>
          <w:p w14:paraId="64FFB09B" w14:textId="35B21640"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40 000</w:t>
            </w:r>
          </w:p>
        </w:tc>
        <w:tc>
          <w:tcPr>
            <w:tcW w:w="1301" w:type="dxa"/>
            <w:shd w:val="clear" w:color="auto" w:fill="auto"/>
            <w:vAlign w:val="center"/>
          </w:tcPr>
          <w:p w14:paraId="40272976" w14:textId="5187D420"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40 000 000</w:t>
            </w:r>
          </w:p>
        </w:tc>
        <w:tc>
          <w:tcPr>
            <w:tcW w:w="1312" w:type="dxa"/>
            <w:shd w:val="clear" w:color="auto" w:fill="auto"/>
            <w:vAlign w:val="center"/>
          </w:tcPr>
          <w:p w14:paraId="396E7713" w14:textId="0717E16E"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2 140 000</w:t>
            </w:r>
          </w:p>
        </w:tc>
        <w:tc>
          <w:tcPr>
            <w:tcW w:w="1301" w:type="dxa"/>
            <w:shd w:val="clear" w:color="auto" w:fill="auto"/>
            <w:vAlign w:val="center"/>
          </w:tcPr>
          <w:p w14:paraId="5DDADA42" w14:textId="5D34E359"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0</w:t>
            </w:r>
          </w:p>
        </w:tc>
        <w:tc>
          <w:tcPr>
            <w:tcW w:w="1417" w:type="dxa"/>
            <w:shd w:val="clear" w:color="auto" w:fill="auto"/>
            <w:vAlign w:val="center"/>
          </w:tcPr>
          <w:p w14:paraId="2FF40552" w14:textId="6EF66797"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0</w:t>
            </w:r>
          </w:p>
        </w:tc>
        <w:tc>
          <w:tcPr>
            <w:tcW w:w="1368" w:type="dxa"/>
            <w:shd w:val="clear" w:color="auto" w:fill="auto"/>
            <w:vAlign w:val="center"/>
          </w:tcPr>
          <w:p w14:paraId="3F7CF17B" w14:textId="24348417"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2 140 000</w:t>
            </w:r>
          </w:p>
        </w:tc>
      </w:tr>
      <w:tr w:rsidR="00166ACD" w:rsidRPr="00E5018A" w14:paraId="481D8AC7" w14:textId="77777777" w:rsidTr="0087132F">
        <w:tc>
          <w:tcPr>
            <w:tcW w:w="1282" w:type="dxa"/>
            <w:shd w:val="clear" w:color="auto" w:fill="auto"/>
            <w:vAlign w:val="center"/>
          </w:tcPr>
          <w:p w14:paraId="011D1CE1" w14:textId="086521F2" w:rsidR="00A93111" w:rsidRPr="00E5018A" w:rsidRDefault="00A93111" w:rsidP="00976A53">
            <w:pPr>
              <w:jc w:val="center"/>
              <w:rPr>
                <w:rFonts w:ascii="Arial" w:hAnsi="Arial" w:cs="Arial"/>
                <w:color w:val="000000" w:themeColor="text1"/>
                <w:sz w:val="18"/>
                <w:szCs w:val="18"/>
                <w:lang w:val="fr-FR"/>
              </w:rPr>
            </w:pPr>
            <w:r w:rsidRPr="00E5018A">
              <w:rPr>
                <w:rFonts w:ascii="Arial" w:hAnsi="Arial"/>
                <w:color w:val="000000" w:themeColor="text1"/>
                <w:sz w:val="18"/>
                <w:szCs w:val="18"/>
              </w:rPr>
              <w:t>2</w:t>
            </w:r>
          </w:p>
        </w:tc>
        <w:tc>
          <w:tcPr>
            <w:tcW w:w="1301" w:type="dxa"/>
            <w:shd w:val="clear" w:color="auto" w:fill="auto"/>
            <w:vAlign w:val="center"/>
          </w:tcPr>
          <w:p w14:paraId="54E9A23A" w14:textId="207BB031"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40 000</w:t>
            </w:r>
          </w:p>
        </w:tc>
        <w:tc>
          <w:tcPr>
            <w:tcW w:w="1301" w:type="dxa"/>
            <w:shd w:val="clear" w:color="auto" w:fill="auto"/>
            <w:vAlign w:val="center"/>
          </w:tcPr>
          <w:p w14:paraId="220177A5" w14:textId="0FD78465"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40 000 000</w:t>
            </w:r>
          </w:p>
        </w:tc>
        <w:tc>
          <w:tcPr>
            <w:tcW w:w="1312" w:type="dxa"/>
            <w:shd w:val="clear" w:color="auto" w:fill="auto"/>
            <w:vAlign w:val="center"/>
          </w:tcPr>
          <w:p w14:paraId="2D57BB73" w14:textId="209E4E46"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2 140 000</w:t>
            </w:r>
          </w:p>
        </w:tc>
        <w:tc>
          <w:tcPr>
            <w:tcW w:w="1301" w:type="dxa"/>
            <w:shd w:val="clear" w:color="auto" w:fill="auto"/>
            <w:vAlign w:val="center"/>
          </w:tcPr>
          <w:p w14:paraId="19BF01B2" w14:textId="16998A89"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0</w:t>
            </w:r>
          </w:p>
        </w:tc>
        <w:tc>
          <w:tcPr>
            <w:tcW w:w="1417" w:type="dxa"/>
            <w:shd w:val="clear" w:color="auto" w:fill="auto"/>
            <w:vAlign w:val="center"/>
          </w:tcPr>
          <w:p w14:paraId="4FB0D81D" w14:textId="760EF7E6"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0</w:t>
            </w:r>
          </w:p>
        </w:tc>
        <w:tc>
          <w:tcPr>
            <w:tcW w:w="1368" w:type="dxa"/>
            <w:shd w:val="clear" w:color="auto" w:fill="auto"/>
            <w:vAlign w:val="center"/>
          </w:tcPr>
          <w:p w14:paraId="4E5FB131" w14:textId="0C38E4BB"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2 140 000</w:t>
            </w:r>
          </w:p>
        </w:tc>
      </w:tr>
      <w:tr w:rsidR="00166ACD" w:rsidRPr="00E5018A" w14:paraId="7C8B8503" w14:textId="77777777" w:rsidTr="0087132F">
        <w:tc>
          <w:tcPr>
            <w:tcW w:w="1282" w:type="dxa"/>
            <w:shd w:val="clear" w:color="auto" w:fill="auto"/>
            <w:vAlign w:val="center"/>
          </w:tcPr>
          <w:p w14:paraId="3061D64D" w14:textId="3890B000" w:rsidR="00A93111" w:rsidRPr="00E5018A" w:rsidRDefault="00A93111" w:rsidP="00976A53">
            <w:pPr>
              <w:jc w:val="center"/>
              <w:rPr>
                <w:rFonts w:ascii="Arial" w:hAnsi="Arial" w:cs="Arial"/>
                <w:color w:val="000000" w:themeColor="text1"/>
                <w:sz w:val="18"/>
                <w:szCs w:val="18"/>
                <w:lang w:val="fr-FR"/>
              </w:rPr>
            </w:pPr>
            <w:r w:rsidRPr="00E5018A">
              <w:rPr>
                <w:rFonts w:ascii="Arial" w:hAnsi="Arial"/>
                <w:color w:val="000000" w:themeColor="text1"/>
                <w:sz w:val="18"/>
                <w:szCs w:val="18"/>
              </w:rPr>
              <w:t>3</w:t>
            </w:r>
          </w:p>
        </w:tc>
        <w:tc>
          <w:tcPr>
            <w:tcW w:w="1301" w:type="dxa"/>
            <w:shd w:val="clear" w:color="auto" w:fill="auto"/>
            <w:vAlign w:val="center"/>
          </w:tcPr>
          <w:p w14:paraId="346711EE" w14:textId="6064A820"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40 000</w:t>
            </w:r>
          </w:p>
        </w:tc>
        <w:tc>
          <w:tcPr>
            <w:tcW w:w="1301" w:type="dxa"/>
            <w:shd w:val="clear" w:color="auto" w:fill="auto"/>
            <w:vAlign w:val="center"/>
          </w:tcPr>
          <w:p w14:paraId="712795A6" w14:textId="6654BD0E"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40 000 000</w:t>
            </w:r>
          </w:p>
        </w:tc>
        <w:tc>
          <w:tcPr>
            <w:tcW w:w="1312" w:type="dxa"/>
            <w:shd w:val="clear" w:color="auto" w:fill="auto"/>
            <w:vAlign w:val="center"/>
          </w:tcPr>
          <w:p w14:paraId="16A4F85E" w14:textId="16337B63"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2 140 000</w:t>
            </w:r>
          </w:p>
        </w:tc>
        <w:tc>
          <w:tcPr>
            <w:tcW w:w="1301" w:type="dxa"/>
            <w:shd w:val="clear" w:color="auto" w:fill="auto"/>
            <w:vAlign w:val="center"/>
          </w:tcPr>
          <w:p w14:paraId="51D8F9C0" w14:textId="4335B01D"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10 000</w:t>
            </w:r>
          </w:p>
        </w:tc>
        <w:tc>
          <w:tcPr>
            <w:tcW w:w="1417" w:type="dxa"/>
            <w:shd w:val="clear" w:color="auto" w:fill="auto"/>
            <w:vAlign w:val="center"/>
          </w:tcPr>
          <w:p w14:paraId="0BF21F28" w14:textId="3758FD7A"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10 020 000</w:t>
            </w:r>
          </w:p>
        </w:tc>
        <w:tc>
          <w:tcPr>
            <w:tcW w:w="1368" w:type="dxa"/>
            <w:shd w:val="clear" w:color="auto" w:fill="auto"/>
            <w:vAlign w:val="center"/>
          </w:tcPr>
          <w:p w14:paraId="62A2044A" w14:textId="7E0201FA"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12 160 000</w:t>
            </w:r>
          </w:p>
        </w:tc>
      </w:tr>
      <w:tr w:rsidR="00166ACD" w:rsidRPr="00E5018A" w14:paraId="497DD7CA" w14:textId="77777777" w:rsidTr="0087132F">
        <w:tc>
          <w:tcPr>
            <w:tcW w:w="1282" w:type="dxa"/>
            <w:shd w:val="clear" w:color="auto" w:fill="auto"/>
            <w:vAlign w:val="center"/>
          </w:tcPr>
          <w:p w14:paraId="0F7AC725" w14:textId="251D27C1" w:rsidR="00A93111" w:rsidRPr="00E5018A" w:rsidRDefault="00A93111" w:rsidP="00976A53">
            <w:pPr>
              <w:jc w:val="center"/>
              <w:rPr>
                <w:rFonts w:ascii="Arial" w:hAnsi="Arial" w:cs="Arial"/>
                <w:color w:val="000000" w:themeColor="text1"/>
                <w:sz w:val="18"/>
                <w:szCs w:val="18"/>
                <w:lang w:val="fr-FR"/>
              </w:rPr>
            </w:pPr>
            <w:r w:rsidRPr="00E5018A">
              <w:rPr>
                <w:rFonts w:ascii="Arial" w:hAnsi="Arial"/>
                <w:color w:val="000000" w:themeColor="text1"/>
                <w:sz w:val="18"/>
                <w:szCs w:val="18"/>
              </w:rPr>
              <w:t>4</w:t>
            </w:r>
          </w:p>
        </w:tc>
        <w:tc>
          <w:tcPr>
            <w:tcW w:w="1301" w:type="dxa"/>
            <w:shd w:val="clear" w:color="auto" w:fill="auto"/>
            <w:vAlign w:val="center"/>
          </w:tcPr>
          <w:p w14:paraId="74367E13" w14:textId="6BE9593D"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30 000</w:t>
            </w:r>
          </w:p>
        </w:tc>
        <w:tc>
          <w:tcPr>
            <w:tcW w:w="1301" w:type="dxa"/>
            <w:shd w:val="clear" w:color="auto" w:fill="auto"/>
            <w:vAlign w:val="center"/>
          </w:tcPr>
          <w:p w14:paraId="698FA279" w14:textId="1F844356"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30 000 000</w:t>
            </w:r>
          </w:p>
        </w:tc>
        <w:tc>
          <w:tcPr>
            <w:tcW w:w="1312" w:type="dxa"/>
            <w:shd w:val="clear" w:color="auto" w:fill="auto"/>
            <w:vAlign w:val="center"/>
          </w:tcPr>
          <w:p w14:paraId="4658FAA9" w14:textId="228E6BEE"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1 605 000</w:t>
            </w:r>
          </w:p>
        </w:tc>
        <w:tc>
          <w:tcPr>
            <w:tcW w:w="1301" w:type="dxa"/>
            <w:shd w:val="clear" w:color="auto" w:fill="auto"/>
            <w:vAlign w:val="center"/>
          </w:tcPr>
          <w:p w14:paraId="5E950527" w14:textId="478F3BC5"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10 000</w:t>
            </w:r>
          </w:p>
        </w:tc>
        <w:tc>
          <w:tcPr>
            <w:tcW w:w="1417" w:type="dxa"/>
            <w:shd w:val="clear" w:color="auto" w:fill="auto"/>
            <w:vAlign w:val="center"/>
          </w:tcPr>
          <w:p w14:paraId="15F38841" w14:textId="3779B3A0"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10 020 000</w:t>
            </w:r>
          </w:p>
        </w:tc>
        <w:tc>
          <w:tcPr>
            <w:tcW w:w="1368" w:type="dxa"/>
            <w:shd w:val="clear" w:color="auto" w:fill="auto"/>
            <w:vAlign w:val="center"/>
          </w:tcPr>
          <w:p w14:paraId="3ABEEC59" w14:textId="6296530A"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11 625 000</w:t>
            </w:r>
          </w:p>
        </w:tc>
      </w:tr>
      <w:tr w:rsidR="00166ACD" w:rsidRPr="00E5018A" w14:paraId="28C5EFE3" w14:textId="77777777" w:rsidTr="0087132F">
        <w:tc>
          <w:tcPr>
            <w:tcW w:w="1282" w:type="dxa"/>
            <w:shd w:val="clear" w:color="auto" w:fill="auto"/>
            <w:vAlign w:val="center"/>
          </w:tcPr>
          <w:p w14:paraId="7BCC48D4" w14:textId="649F482C" w:rsidR="00A93111" w:rsidRPr="00E5018A" w:rsidRDefault="00A93111" w:rsidP="00976A53">
            <w:pPr>
              <w:jc w:val="center"/>
              <w:rPr>
                <w:rFonts w:ascii="Arial" w:hAnsi="Arial" w:cs="Arial"/>
                <w:color w:val="000000" w:themeColor="text1"/>
                <w:sz w:val="18"/>
                <w:szCs w:val="18"/>
                <w:lang w:val="fr-FR"/>
              </w:rPr>
            </w:pPr>
            <w:r w:rsidRPr="00E5018A">
              <w:rPr>
                <w:rFonts w:ascii="Arial" w:hAnsi="Arial"/>
                <w:color w:val="000000" w:themeColor="text1"/>
                <w:sz w:val="18"/>
                <w:szCs w:val="18"/>
              </w:rPr>
              <w:t>5</w:t>
            </w:r>
          </w:p>
        </w:tc>
        <w:tc>
          <w:tcPr>
            <w:tcW w:w="1301" w:type="dxa"/>
            <w:shd w:val="clear" w:color="auto" w:fill="auto"/>
            <w:vAlign w:val="center"/>
          </w:tcPr>
          <w:p w14:paraId="6712F529" w14:textId="2A5E8A18"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20 000</w:t>
            </w:r>
          </w:p>
        </w:tc>
        <w:tc>
          <w:tcPr>
            <w:tcW w:w="1301" w:type="dxa"/>
            <w:shd w:val="clear" w:color="auto" w:fill="auto"/>
            <w:vAlign w:val="center"/>
          </w:tcPr>
          <w:p w14:paraId="5D540161" w14:textId="65ED9196"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20 000 000</w:t>
            </w:r>
          </w:p>
        </w:tc>
        <w:tc>
          <w:tcPr>
            <w:tcW w:w="1312" w:type="dxa"/>
            <w:shd w:val="clear" w:color="auto" w:fill="auto"/>
            <w:vAlign w:val="center"/>
          </w:tcPr>
          <w:p w14:paraId="7AC5DE1F" w14:textId="535F047E"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1 070 000</w:t>
            </w:r>
          </w:p>
        </w:tc>
        <w:tc>
          <w:tcPr>
            <w:tcW w:w="1301" w:type="dxa"/>
            <w:shd w:val="clear" w:color="auto" w:fill="auto"/>
            <w:vAlign w:val="center"/>
          </w:tcPr>
          <w:p w14:paraId="13E73D15" w14:textId="4620477F"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10 000</w:t>
            </w:r>
          </w:p>
        </w:tc>
        <w:tc>
          <w:tcPr>
            <w:tcW w:w="1417" w:type="dxa"/>
            <w:shd w:val="clear" w:color="auto" w:fill="auto"/>
            <w:vAlign w:val="center"/>
          </w:tcPr>
          <w:p w14:paraId="291EFECF" w14:textId="0D714A30"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10 020 000</w:t>
            </w:r>
          </w:p>
        </w:tc>
        <w:tc>
          <w:tcPr>
            <w:tcW w:w="1368" w:type="dxa"/>
            <w:shd w:val="clear" w:color="auto" w:fill="auto"/>
            <w:vAlign w:val="center"/>
          </w:tcPr>
          <w:p w14:paraId="25221D2C" w14:textId="4B332390"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11 090 000</w:t>
            </w:r>
          </w:p>
        </w:tc>
      </w:tr>
      <w:tr w:rsidR="00166ACD" w:rsidRPr="00E5018A" w14:paraId="798F7CA3" w14:textId="77777777" w:rsidTr="0087132F">
        <w:tc>
          <w:tcPr>
            <w:tcW w:w="1282" w:type="dxa"/>
            <w:tcBorders>
              <w:bottom w:val="single" w:sz="4" w:space="0" w:color="auto"/>
            </w:tcBorders>
            <w:shd w:val="clear" w:color="auto" w:fill="auto"/>
            <w:vAlign w:val="center"/>
          </w:tcPr>
          <w:p w14:paraId="4C909535" w14:textId="7A033090" w:rsidR="00A93111" w:rsidRPr="00E5018A" w:rsidRDefault="00A93111" w:rsidP="00976A53">
            <w:pPr>
              <w:jc w:val="center"/>
              <w:rPr>
                <w:rFonts w:ascii="Arial" w:hAnsi="Arial" w:cs="Arial"/>
                <w:color w:val="000000" w:themeColor="text1"/>
                <w:sz w:val="18"/>
                <w:szCs w:val="18"/>
                <w:lang w:val="fr-FR"/>
              </w:rPr>
            </w:pPr>
            <w:r w:rsidRPr="00E5018A">
              <w:rPr>
                <w:rFonts w:ascii="Arial" w:hAnsi="Arial"/>
                <w:color w:val="000000" w:themeColor="text1"/>
                <w:sz w:val="18"/>
                <w:szCs w:val="18"/>
              </w:rPr>
              <w:t>6</w:t>
            </w:r>
          </w:p>
        </w:tc>
        <w:tc>
          <w:tcPr>
            <w:tcW w:w="1301" w:type="dxa"/>
            <w:tcBorders>
              <w:bottom w:val="single" w:sz="4" w:space="0" w:color="auto"/>
            </w:tcBorders>
            <w:shd w:val="clear" w:color="auto" w:fill="auto"/>
            <w:vAlign w:val="center"/>
          </w:tcPr>
          <w:p w14:paraId="61B8DF81" w14:textId="0FCCCB60"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10 000</w:t>
            </w:r>
          </w:p>
        </w:tc>
        <w:tc>
          <w:tcPr>
            <w:tcW w:w="1301" w:type="dxa"/>
            <w:tcBorders>
              <w:bottom w:val="single" w:sz="4" w:space="0" w:color="auto"/>
            </w:tcBorders>
            <w:shd w:val="clear" w:color="auto" w:fill="auto"/>
            <w:vAlign w:val="center"/>
          </w:tcPr>
          <w:p w14:paraId="0C633C1F" w14:textId="093B7FB9"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10 000 000</w:t>
            </w:r>
          </w:p>
        </w:tc>
        <w:tc>
          <w:tcPr>
            <w:tcW w:w="1312" w:type="dxa"/>
            <w:shd w:val="clear" w:color="auto" w:fill="auto"/>
            <w:vAlign w:val="center"/>
          </w:tcPr>
          <w:p w14:paraId="56062616" w14:textId="66499EE4"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535 000</w:t>
            </w:r>
          </w:p>
        </w:tc>
        <w:tc>
          <w:tcPr>
            <w:tcW w:w="1301" w:type="dxa"/>
            <w:shd w:val="clear" w:color="auto" w:fill="auto"/>
            <w:vAlign w:val="center"/>
          </w:tcPr>
          <w:p w14:paraId="44EFF601" w14:textId="044B3102"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10 000</w:t>
            </w:r>
          </w:p>
        </w:tc>
        <w:tc>
          <w:tcPr>
            <w:tcW w:w="1417" w:type="dxa"/>
            <w:shd w:val="clear" w:color="auto" w:fill="auto"/>
            <w:vAlign w:val="center"/>
          </w:tcPr>
          <w:p w14:paraId="44BD604D" w14:textId="4E8B2F7C"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10 020 000</w:t>
            </w:r>
          </w:p>
        </w:tc>
        <w:tc>
          <w:tcPr>
            <w:tcW w:w="1368" w:type="dxa"/>
            <w:shd w:val="clear" w:color="auto" w:fill="auto"/>
            <w:vAlign w:val="center"/>
          </w:tcPr>
          <w:p w14:paraId="30243EF1" w14:textId="1D8F9726"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10 555 000</w:t>
            </w:r>
          </w:p>
        </w:tc>
      </w:tr>
      <w:tr w:rsidR="00166ACD" w:rsidRPr="00E5018A" w14:paraId="33380656" w14:textId="77777777" w:rsidTr="00976A53">
        <w:tc>
          <w:tcPr>
            <w:tcW w:w="1282" w:type="dxa"/>
            <w:tcBorders>
              <w:left w:val="nil"/>
              <w:bottom w:val="nil"/>
              <w:right w:val="nil"/>
            </w:tcBorders>
            <w:shd w:val="clear" w:color="auto" w:fill="auto"/>
            <w:vAlign w:val="bottom"/>
          </w:tcPr>
          <w:p w14:paraId="10AD784C" w14:textId="77777777" w:rsidR="00A93111" w:rsidRPr="00E5018A" w:rsidRDefault="00A93111" w:rsidP="00976A53">
            <w:pPr>
              <w:rPr>
                <w:rFonts w:ascii="Arial" w:hAnsi="Arial" w:cs="Arial"/>
                <w:color w:val="000000" w:themeColor="text1"/>
                <w:sz w:val="18"/>
                <w:szCs w:val="18"/>
                <w:lang w:val="fr-FR"/>
              </w:rPr>
            </w:pPr>
            <w:r w:rsidRPr="00E5018A">
              <w:rPr>
                <w:rFonts w:ascii="Arial" w:hAnsi="Arial" w:cs="Arial"/>
                <w:color w:val="000000" w:themeColor="text1"/>
                <w:sz w:val="18"/>
                <w:szCs w:val="18"/>
                <w:lang w:val="fr-FR"/>
              </w:rPr>
              <w:t> </w:t>
            </w:r>
          </w:p>
        </w:tc>
        <w:tc>
          <w:tcPr>
            <w:tcW w:w="1301" w:type="dxa"/>
            <w:tcBorders>
              <w:left w:val="nil"/>
              <w:bottom w:val="nil"/>
              <w:right w:val="nil"/>
            </w:tcBorders>
            <w:shd w:val="clear" w:color="auto" w:fill="auto"/>
            <w:vAlign w:val="bottom"/>
          </w:tcPr>
          <w:p w14:paraId="69ECB17B" w14:textId="77777777" w:rsidR="00A93111" w:rsidRPr="00E5018A" w:rsidRDefault="00A93111" w:rsidP="00976A53">
            <w:pPr>
              <w:rPr>
                <w:rFonts w:ascii="Arial" w:hAnsi="Arial" w:cs="Arial"/>
                <w:color w:val="000000" w:themeColor="text1"/>
                <w:sz w:val="18"/>
                <w:szCs w:val="18"/>
                <w:lang w:val="fr-FR"/>
              </w:rPr>
            </w:pPr>
          </w:p>
        </w:tc>
        <w:tc>
          <w:tcPr>
            <w:tcW w:w="1301" w:type="dxa"/>
            <w:tcBorders>
              <w:left w:val="nil"/>
              <w:bottom w:val="nil"/>
            </w:tcBorders>
            <w:shd w:val="clear" w:color="auto" w:fill="auto"/>
            <w:vAlign w:val="bottom"/>
          </w:tcPr>
          <w:p w14:paraId="3861AC87" w14:textId="77777777" w:rsidR="00A93111" w:rsidRPr="00E5018A" w:rsidRDefault="00A93111" w:rsidP="00976A53">
            <w:pPr>
              <w:jc w:val="center"/>
              <w:rPr>
                <w:rFonts w:ascii="Arial" w:hAnsi="Arial" w:cs="Arial"/>
                <w:color w:val="000000" w:themeColor="text1"/>
                <w:sz w:val="18"/>
                <w:szCs w:val="18"/>
                <w:lang w:val="fr-FR"/>
              </w:rPr>
            </w:pPr>
          </w:p>
        </w:tc>
        <w:tc>
          <w:tcPr>
            <w:tcW w:w="1312" w:type="dxa"/>
            <w:shd w:val="clear" w:color="auto" w:fill="auto"/>
            <w:vAlign w:val="center"/>
          </w:tcPr>
          <w:p w14:paraId="16247FA7" w14:textId="2D3A53CA"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9 630 000</w:t>
            </w:r>
          </w:p>
        </w:tc>
        <w:tc>
          <w:tcPr>
            <w:tcW w:w="1301" w:type="dxa"/>
            <w:shd w:val="clear" w:color="auto" w:fill="auto"/>
            <w:vAlign w:val="center"/>
          </w:tcPr>
          <w:p w14:paraId="1141DD86" w14:textId="5B5E3011"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40 000</w:t>
            </w:r>
          </w:p>
        </w:tc>
        <w:tc>
          <w:tcPr>
            <w:tcW w:w="1417" w:type="dxa"/>
            <w:shd w:val="clear" w:color="auto" w:fill="auto"/>
            <w:vAlign w:val="center"/>
          </w:tcPr>
          <w:p w14:paraId="26DC0578" w14:textId="523B05F3"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40 080 000</w:t>
            </w:r>
          </w:p>
        </w:tc>
        <w:tc>
          <w:tcPr>
            <w:tcW w:w="1368" w:type="dxa"/>
            <w:shd w:val="clear" w:color="auto" w:fill="auto"/>
            <w:vAlign w:val="center"/>
          </w:tcPr>
          <w:p w14:paraId="61CA9160" w14:textId="28C3C0D5" w:rsidR="00A93111" w:rsidRPr="00E5018A" w:rsidRDefault="00A93111" w:rsidP="00976A53">
            <w:pPr>
              <w:jc w:val="right"/>
              <w:rPr>
                <w:rFonts w:ascii="Arial" w:hAnsi="Arial" w:cs="Arial"/>
                <w:color w:val="000000" w:themeColor="text1"/>
                <w:sz w:val="18"/>
                <w:szCs w:val="18"/>
                <w:lang w:val="fr-FR"/>
              </w:rPr>
            </w:pPr>
            <w:r w:rsidRPr="00E5018A">
              <w:rPr>
                <w:rFonts w:ascii="Arial" w:hAnsi="Arial"/>
                <w:color w:val="000000" w:themeColor="text1"/>
                <w:sz w:val="18"/>
                <w:szCs w:val="18"/>
              </w:rPr>
              <w:t>49 710 000</w:t>
            </w:r>
          </w:p>
        </w:tc>
      </w:tr>
    </w:tbl>
    <w:p w14:paraId="0757F1C1" w14:textId="77777777" w:rsidR="00976A53" w:rsidRPr="00E5018A" w:rsidRDefault="00976A53" w:rsidP="00976A53">
      <w:pPr>
        <w:jc w:val="both"/>
        <w:rPr>
          <w:rFonts w:ascii="Arial" w:hAnsi="Arial"/>
          <w:color w:val="000000" w:themeColor="text1"/>
          <w:sz w:val="22"/>
          <w:lang w:val="fr-FR"/>
        </w:rPr>
      </w:pPr>
      <w:r w:rsidRPr="00E5018A">
        <w:rPr>
          <w:rFonts w:ascii="Arial" w:hAnsi="Arial"/>
          <w:color w:val="000000" w:themeColor="text1"/>
          <w:sz w:val="22"/>
          <w:lang w:val="fr-FR"/>
        </w:rPr>
        <w:t xml:space="preserve">                                                                      </w:t>
      </w:r>
    </w:p>
    <w:p w14:paraId="4C14AC07" w14:textId="65D9712E" w:rsidR="00976A53" w:rsidRPr="00E5018A" w:rsidRDefault="004E79CE">
      <w:pPr>
        <w:jc w:val="both"/>
        <w:rPr>
          <w:rFonts w:ascii="Arial" w:hAnsi="Arial"/>
          <w:color w:val="000000" w:themeColor="text1"/>
          <w:sz w:val="22"/>
          <w:lang w:val="fr-FR"/>
        </w:rPr>
      </w:pPr>
      <w:r w:rsidRPr="00E5018A">
        <w:rPr>
          <w:rFonts w:ascii="Arial" w:hAnsi="Arial"/>
          <w:color w:val="000000" w:themeColor="text1"/>
          <w:sz w:val="22"/>
          <w:lang w:val="fr-FR"/>
        </w:rPr>
        <w:t>Taux de revient = 5,442</w:t>
      </w:r>
      <w:r w:rsidR="00DD7EFE" w:rsidRPr="00E5018A">
        <w:rPr>
          <w:rFonts w:ascii="Arial" w:hAnsi="Arial"/>
          <w:color w:val="000000" w:themeColor="text1"/>
          <w:sz w:val="22"/>
          <w:lang w:val="fr-FR"/>
        </w:rPr>
        <w:t>%</w:t>
      </w:r>
    </w:p>
    <w:p w14:paraId="40D787EF" w14:textId="77777777" w:rsidR="00DD7EFE" w:rsidRPr="00A619A0" w:rsidRDefault="00DD7EFE">
      <w:pPr>
        <w:jc w:val="both"/>
        <w:rPr>
          <w:rFonts w:ascii="Arial" w:hAnsi="Arial"/>
          <w:sz w:val="22"/>
          <w:lang w:val="fr-FR"/>
        </w:rPr>
      </w:pPr>
    </w:p>
    <w:p w14:paraId="73D7A4BD" w14:textId="222803AA" w:rsidR="00DD7EFE" w:rsidRPr="00A619A0" w:rsidRDefault="00522B4F">
      <w:pPr>
        <w:jc w:val="both"/>
        <w:rPr>
          <w:rFonts w:ascii="Arial" w:hAnsi="Arial"/>
          <w:sz w:val="22"/>
          <w:lang w:val="fr-FR"/>
        </w:rPr>
      </w:pPr>
      <w:r w:rsidRPr="00A619A0">
        <w:rPr>
          <w:rFonts w:ascii="Arial" w:hAnsi="Arial"/>
          <w:sz w:val="22"/>
          <w:lang w:val="fr-FR"/>
        </w:rPr>
        <w:t>Dans tous les cas :</w:t>
      </w:r>
    </w:p>
    <w:p w14:paraId="742147D4" w14:textId="340DB614" w:rsidR="00522B4F" w:rsidRPr="00A619A0" w:rsidRDefault="00522B4F" w:rsidP="00522B4F">
      <w:pPr>
        <w:pStyle w:val="Paragraphedeliste"/>
        <w:numPr>
          <w:ilvl w:val="0"/>
          <w:numId w:val="6"/>
        </w:numPr>
        <w:jc w:val="both"/>
        <w:rPr>
          <w:rFonts w:ascii="Arial" w:hAnsi="Arial"/>
          <w:sz w:val="22"/>
          <w:lang w:val="fr-FR"/>
        </w:rPr>
      </w:pPr>
      <w:proofErr w:type="gramStart"/>
      <w:r w:rsidRPr="00A619A0">
        <w:rPr>
          <w:rFonts w:ascii="Arial" w:hAnsi="Arial"/>
          <w:sz w:val="22"/>
          <w:lang w:val="fr-FR"/>
        </w:rPr>
        <w:t>les</w:t>
      </w:r>
      <w:proofErr w:type="gramEnd"/>
      <w:r w:rsidRPr="00A619A0">
        <w:rPr>
          <w:rFonts w:ascii="Arial" w:hAnsi="Arial"/>
          <w:sz w:val="22"/>
          <w:lang w:val="fr-FR"/>
        </w:rPr>
        <w:t xml:space="preserve"> intérêts courus sont comptabilisés en charges,</w:t>
      </w:r>
      <w:r w:rsidR="003C2894" w:rsidRPr="00A619A0">
        <w:rPr>
          <w:rFonts w:ascii="Arial" w:hAnsi="Arial"/>
          <w:sz w:val="22"/>
          <w:lang w:val="fr-FR"/>
        </w:rPr>
        <w:t xml:space="preserve"> qu’ils soient fixes, variables ou indexés,</w:t>
      </w:r>
    </w:p>
    <w:p w14:paraId="0593ABB5" w14:textId="5F8DF70F" w:rsidR="00522B4F" w:rsidRPr="00A619A0" w:rsidRDefault="00522B4F" w:rsidP="00522B4F">
      <w:pPr>
        <w:pStyle w:val="Paragraphedeliste"/>
        <w:numPr>
          <w:ilvl w:val="0"/>
          <w:numId w:val="6"/>
        </w:numPr>
        <w:jc w:val="both"/>
        <w:rPr>
          <w:rFonts w:ascii="Arial" w:hAnsi="Arial"/>
          <w:sz w:val="22"/>
          <w:lang w:val="fr-FR"/>
        </w:rPr>
      </w:pPr>
      <w:proofErr w:type="gramStart"/>
      <w:r w:rsidRPr="00A619A0">
        <w:rPr>
          <w:rFonts w:ascii="Arial" w:hAnsi="Arial"/>
          <w:sz w:val="22"/>
          <w:lang w:val="fr-FR"/>
        </w:rPr>
        <w:t>la</w:t>
      </w:r>
      <w:proofErr w:type="gramEnd"/>
      <w:r w:rsidRPr="00A619A0">
        <w:rPr>
          <w:rFonts w:ascii="Arial" w:hAnsi="Arial"/>
          <w:sz w:val="22"/>
          <w:lang w:val="fr-FR"/>
        </w:rPr>
        <w:t xml:space="preserve"> prime de remboursement est amortie, au choix de l’émetteur :</w:t>
      </w:r>
    </w:p>
    <w:p w14:paraId="3027F4FD" w14:textId="5C0FB076" w:rsidR="00522B4F" w:rsidRPr="00A619A0" w:rsidRDefault="00522B4F" w:rsidP="00522B4F">
      <w:pPr>
        <w:pStyle w:val="Paragraphedeliste"/>
        <w:numPr>
          <w:ilvl w:val="1"/>
          <w:numId w:val="6"/>
        </w:numPr>
        <w:jc w:val="both"/>
        <w:rPr>
          <w:rFonts w:ascii="Arial" w:hAnsi="Arial"/>
          <w:sz w:val="22"/>
          <w:lang w:val="fr-FR"/>
        </w:rPr>
      </w:pPr>
      <w:proofErr w:type="gramStart"/>
      <w:r w:rsidRPr="00A619A0">
        <w:rPr>
          <w:rFonts w:ascii="Arial" w:hAnsi="Arial"/>
          <w:sz w:val="22"/>
          <w:lang w:val="fr-FR"/>
        </w:rPr>
        <w:t>au</w:t>
      </w:r>
      <w:proofErr w:type="gramEnd"/>
      <w:r w:rsidRPr="00A619A0">
        <w:rPr>
          <w:rFonts w:ascii="Arial" w:hAnsi="Arial"/>
          <w:sz w:val="22"/>
          <w:lang w:val="fr-FR"/>
        </w:rPr>
        <w:t xml:space="preserve"> prorata des intérêt (donc dégressif)</w:t>
      </w:r>
    </w:p>
    <w:p w14:paraId="04D15C78" w14:textId="39E5AE24" w:rsidR="00522B4F" w:rsidRPr="00A619A0" w:rsidRDefault="00522B4F" w:rsidP="00522B4F">
      <w:pPr>
        <w:pStyle w:val="Paragraphedeliste"/>
        <w:numPr>
          <w:ilvl w:val="1"/>
          <w:numId w:val="6"/>
        </w:numPr>
        <w:jc w:val="both"/>
        <w:rPr>
          <w:rFonts w:ascii="Arial" w:hAnsi="Arial"/>
          <w:sz w:val="22"/>
          <w:lang w:val="fr-FR"/>
        </w:rPr>
      </w:pPr>
      <w:proofErr w:type="gramStart"/>
      <w:r w:rsidRPr="00A619A0">
        <w:rPr>
          <w:rFonts w:ascii="Arial" w:hAnsi="Arial"/>
          <w:sz w:val="22"/>
          <w:lang w:val="fr-FR"/>
        </w:rPr>
        <w:t>ou</w:t>
      </w:r>
      <w:proofErr w:type="gramEnd"/>
      <w:r w:rsidRPr="00A619A0">
        <w:rPr>
          <w:rFonts w:ascii="Arial" w:hAnsi="Arial"/>
          <w:sz w:val="22"/>
          <w:lang w:val="fr-FR"/>
        </w:rPr>
        <w:t xml:space="preserve"> au prorata du temps (donc linéaire)</w:t>
      </w:r>
    </w:p>
    <w:p w14:paraId="50DD129B" w14:textId="77777777" w:rsidR="00680601" w:rsidRPr="00A619A0" w:rsidRDefault="00680601">
      <w:pPr>
        <w:jc w:val="both"/>
        <w:rPr>
          <w:rFonts w:ascii="Arial" w:hAnsi="Arial"/>
          <w:sz w:val="22"/>
          <w:lang w:val="fr-FR"/>
        </w:rPr>
      </w:pPr>
    </w:p>
    <w:p w14:paraId="7758170D" w14:textId="77777777" w:rsidR="00561197" w:rsidRDefault="00561197">
      <w:pPr>
        <w:jc w:val="both"/>
        <w:rPr>
          <w:rFonts w:ascii="Arial" w:hAnsi="Arial"/>
          <w:sz w:val="22"/>
          <w:lang w:val="fr-FR"/>
        </w:rPr>
      </w:pPr>
    </w:p>
    <w:p w14:paraId="09794370" w14:textId="77777777" w:rsidR="00561197" w:rsidRPr="00A619A0" w:rsidRDefault="00561197">
      <w:pPr>
        <w:jc w:val="both"/>
        <w:rPr>
          <w:rFonts w:ascii="Arial" w:hAnsi="Arial"/>
          <w:sz w:val="22"/>
          <w:lang w:val="fr-FR"/>
        </w:rPr>
      </w:pPr>
    </w:p>
    <w:p w14:paraId="5B49B33D" w14:textId="77777777" w:rsidR="00174C3B" w:rsidRPr="00A619A0" w:rsidRDefault="00174C3B">
      <w:pPr>
        <w:jc w:val="both"/>
        <w:rPr>
          <w:rFonts w:ascii="Arial" w:hAnsi="Arial"/>
          <w:sz w:val="22"/>
          <w:lang w:val="fr-FR"/>
        </w:rPr>
      </w:pPr>
      <w:r w:rsidRPr="00A619A0">
        <w:rPr>
          <w:rFonts w:ascii="Arial" w:hAnsi="Arial"/>
          <w:sz w:val="22"/>
          <w:lang w:val="fr-FR"/>
        </w:rPr>
        <w:t>Coupon d'intérêt à la première échéance</w:t>
      </w:r>
    </w:p>
    <w:tbl>
      <w:tblPr>
        <w:tblW w:w="9612" w:type="dxa"/>
        <w:tblLayout w:type="fixed"/>
        <w:tblCellMar>
          <w:left w:w="80" w:type="dxa"/>
          <w:right w:w="80" w:type="dxa"/>
        </w:tblCellMar>
        <w:tblLook w:val="0000" w:firstRow="0" w:lastRow="0" w:firstColumn="0" w:lastColumn="0" w:noHBand="0" w:noVBand="0"/>
      </w:tblPr>
      <w:tblGrid>
        <w:gridCol w:w="1498"/>
        <w:gridCol w:w="3969"/>
        <w:gridCol w:w="2126"/>
        <w:gridCol w:w="2019"/>
      </w:tblGrid>
      <w:tr w:rsidR="00174C3B" w:rsidRPr="00A619A0" w14:paraId="3EB24CFF" w14:textId="77777777">
        <w:tc>
          <w:tcPr>
            <w:tcW w:w="1498" w:type="dxa"/>
            <w:tcBorders>
              <w:top w:val="single" w:sz="6" w:space="0" w:color="auto"/>
              <w:left w:val="single" w:sz="6" w:space="0" w:color="auto"/>
              <w:bottom w:val="single" w:sz="6" w:space="0" w:color="auto"/>
              <w:right w:val="single" w:sz="6" w:space="0" w:color="auto"/>
            </w:tcBorders>
          </w:tcPr>
          <w:p w14:paraId="356E2525" w14:textId="77777777" w:rsidR="00174C3B" w:rsidRPr="00A619A0" w:rsidRDefault="00174C3B">
            <w:pPr>
              <w:jc w:val="center"/>
              <w:rPr>
                <w:rFonts w:ascii="Arial" w:hAnsi="Arial"/>
                <w:b/>
                <w:sz w:val="22"/>
                <w:lang w:val="fr-FR"/>
              </w:rPr>
            </w:pPr>
            <w:r w:rsidRPr="00A619A0">
              <w:rPr>
                <w:rFonts w:ascii="Arial" w:hAnsi="Arial"/>
                <w:b/>
                <w:sz w:val="22"/>
                <w:lang w:val="fr-FR"/>
              </w:rPr>
              <w:t>N° compte</w:t>
            </w:r>
          </w:p>
        </w:tc>
        <w:tc>
          <w:tcPr>
            <w:tcW w:w="3969" w:type="dxa"/>
            <w:tcBorders>
              <w:top w:val="single" w:sz="6" w:space="0" w:color="auto"/>
              <w:left w:val="single" w:sz="6" w:space="0" w:color="auto"/>
              <w:bottom w:val="single" w:sz="6" w:space="0" w:color="auto"/>
              <w:right w:val="single" w:sz="6" w:space="0" w:color="auto"/>
            </w:tcBorders>
          </w:tcPr>
          <w:p w14:paraId="5D93CB31" w14:textId="77777777" w:rsidR="00174C3B" w:rsidRPr="00A619A0" w:rsidRDefault="00174C3B">
            <w:pPr>
              <w:jc w:val="center"/>
              <w:rPr>
                <w:rFonts w:ascii="Arial" w:hAnsi="Arial"/>
                <w:b/>
                <w:sz w:val="22"/>
                <w:lang w:val="fr-FR"/>
              </w:rPr>
            </w:pPr>
            <w:proofErr w:type="gramStart"/>
            <w:r w:rsidRPr="00A619A0">
              <w:rPr>
                <w:rFonts w:ascii="Arial" w:hAnsi="Arial"/>
                <w:b/>
                <w:sz w:val="22"/>
                <w:lang w:val="fr-FR"/>
              </w:rPr>
              <w:t>nom</w:t>
            </w:r>
            <w:proofErr w:type="gramEnd"/>
            <w:r w:rsidRPr="00A619A0">
              <w:rPr>
                <w:rFonts w:ascii="Arial" w:hAnsi="Arial"/>
                <w:b/>
                <w:sz w:val="22"/>
                <w:lang w:val="fr-FR"/>
              </w:rPr>
              <w:t xml:space="preserve"> compte</w:t>
            </w:r>
          </w:p>
        </w:tc>
        <w:tc>
          <w:tcPr>
            <w:tcW w:w="2126" w:type="dxa"/>
            <w:tcBorders>
              <w:top w:val="single" w:sz="6" w:space="0" w:color="auto"/>
              <w:left w:val="single" w:sz="6" w:space="0" w:color="auto"/>
              <w:bottom w:val="single" w:sz="6" w:space="0" w:color="auto"/>
              <w:right w:val="single" w:sz="6" w:space="0" w:color="auto"/>
            </w:tcBorders>
          </w:tcPr>
          <w:p w14:paraId="09E6ECF9" w14:textId="77777777" w:rsidR="00174C3B" w:rsidRPr="00A619A0" w:rsidRDefault="00174C3B">
            <w:pPr>
              <w:jc w:val="center"/>
              <w:rPr>
                <w:rFonts w:ascii="Arial" w:hAnsi="Arial"/>
                <w:b/>
                <w:sz w:val="22"/>
                <w:lang w:val="fr-FR"/>
              </w:rPr>
            </w:pPr>
            <w:proofErr w:type="gramStart"/>
            <w:r w:rsidRPr="00A619A0">
              <w:rPr>
                <w:rFonts w:ascii="Arial" w:hAnsi="Arial"/>
                <w:b/>
                <w:sz w:val="22"/>
                <w:lang w:val="fr-FR"/>
              </w:rPr>
              <w:t>débit</w:t>
            </w:r>
            <w:proofErr w:type="gramEnd"/>
          </w:p>
        </w:tc>
        <w:tc>
          <w:tcPr>
            <w:tcW w:w="2019" w:type="dxa"/>
            <w:tcBorders>
              <w:top w:val="single" w:sz="6" w:space="0" w:color="auto"/>
              <w:left w:val="single" w:sz="6" w:space="0" w:color="auto"/>
              <w:bottom w:val="single" w:sz="6" w:space="0" w:color="auto"/>
              <w:right w:val="single" w:sz="6" w:space="0" w:color="auto"/>
            </w:tcBorders>
          </w:tcPr>
          <w:p w14:paraId="7B1DBB95" w14:textId="77777777" w:rsidR="00174C3B" w:rsidRPr="00A619A0" w:rsidRDefault="00174C3B">
            <w:pPr>
              <w:jc w:val="center"/>
              <w:rPr>
                <w:rFonts w:ascii="Arial" w:hAnsi="Arial"/>
                <w:b/>
                <w:sz w:val="22"/>
                <w:lang w:val="fr-FR"/>
              </w:rPr>
            </w:pPr>
            <w:proofErr w:type="gramStart"/>
            <w:r w:rsidRPr="00A619A0">
              <w:rPr>
                <w:rFonts w:ascii="Arial" w:hAnsi="Arial"/>
                <w:b/>
                <w:sz w:val="22"/>
                <w:lang w:val="fr-FR"/>
              </w:rPr>
              <w:t>crédit</w:t>
            </w:r>
            <w:proofErr w:type="gramEnd"/>
          </w:p>
        </w:tc>
      </w:tr>
      <w:tr w:rsidR="00174C3B" w:rsidRPr="00A619A0" w14:paraId="2D9A0AB1" w14:textId="77777777">
        <w:tc>
          <w:tcPr>
            <w:tcW w:w="1498" w:type="dxa"/>
            <w:tcBorders>
              <w:top w:val="single" w:sz="6" w:space="0" w:color="auto"/>
              <w:left w:val="single" w:sz="6" w:space="0" w:color="auto"/>
              <w:bottom w:val="single" w:sz="6" w:space="0" w:color="auto"/>
              <w:right w:val="single" w:sz="6" w:space="0" w:color="auto"/>
            </w:tcBorders>
          </w:tcPr>
          <w:p w14:paraId="5940B4DE" w14:textId="77777777" w:rsidR="00174C3B" w:rsidRPr="00F17E14" w:rsidRDefault="00174C3B">
            <w:pPr>
              <w:jc w:val="center"/>
              <w:rPr>
                <w:rFonts w:ascii="Arial" w:hAnsi="Arial"/>
                <w:sz w:val="20"/>
                <w:szCs w:val="20"/>
                <w:lang w:val="fr-FR"/>
              </w:rPr>
            </w:pPr>
            <w:r w:rsidRPr="00F17E14">
              <w:rPr>
                <w:rFonts w:ascii="Arial" w:hAnsi="Arial"/>
                <w:sz w:val="20"/>
                <w:szCs w:val="20"/>
                <w:lang w:val="fr-FR"/>
              </w:rPr>
              <w:t>66x</w:t>
            </w:r>
          </w:p>
          <w:p w14:paraId="22678783" w14:textId="77777777" w:rsidR="00174C3B" w:rsidRPr="00F17E14" w:rsidRDefault="00174C3B">
            <w:pPr>
              <w:jc w:val="center"/>
              <w:rPr>
                <w:rFonts w:ascii="Arial" w:hAnsi="Arial"/>
                <w:sz w:val="20"/>
                <w:szCs w:val="20"/>
                <w:lang w:val="fr-FR"/>
              </w:rPr>
            </w:pPr>
            <w:r w:rsidRPr="00F17E14">
              <w:rPr>
                <w:rFonts w:ascii="Arial" w:hAnsi="Arial"/>
                <w:sz w:val="20"/>
                <w:szCs w:val="20"/>
                <w:lang w:val="fr-FR"/>
              </w:rPr>
              <w:t>5xx</w:t>
            </w:r>
          </w:p>
        </w:tc>
        <w:tc>
          <w:tcPr>
            <w:tcW w:w="3969" w:type="dxa"/>
            <w:tcBorders>
              <w:top w:val="single" w:sz="6" w:space="0" w:color="auto"/>
              <w:left w:val="single" w:sz="6" w:space="0" w:color="auto"/>
              <w:bottom w:val="single" w:sz="6" w:space="0" w:color="auto"/>
              <w:right w:val="single" w:sz="6" w:space="0" w:color="auto"/>
            </w:tcBorders>
          </w:tcPr>
          <w:p w14:paraId="78C65E6A" w14:textId="77777777" w:rsidR="00174C3B" w:rsidRPr="00F17E14" w:rsidRDefault="00174C3B">
            <w:pPr>
              <w:jc w:val="both"/>
              <w:rPr>
                <w:rFonts w:ascii="Arial" w:hAnsi="Arial"/>
                <w:sz w:val="20"/>
                <w:szCs w:val="20"/>
                <w:lang w:val="fr-FR"/>
              </w:rPr>
            </w:pPr>
            <w:proofErr w:type="gramStart"/>
            <w:r w:rsidRPr="00F17E14">
              <w:rPr>
                <w:rFonts w:ascii="Arial" w:hAnsi="Arial"/>
                <w:sz w:val="20"/>
                <w:szCs w:val="20"/>
                <w:lang w:val="fr-FR"/>
              </w:rPr>
              <w:t>frais</w:t>
            </w:r>
            <w:proofErr w:type="gramEnd"/>
            <w:r w:rsidRPr="00F17E14">
              <w:rPr>
                <w:rFonts w:ascii="Arial" w:hAnsi="Arial"/>
                <w:sz w:val="20"/>
                <w:szCs w:val="20"/>
                <w:lang w:val="fr-FR"/>
              </w:rPr>
              <w:t xml:space="preserve"> financiers</w:t>
            </w:r>
          </w:p>
          <w:p w14:paraId="6D2100B1" w14:textId="77777777" w:rsidR="00174C3B" w:rsidRPr="00F17E14" w:rsidRDefault="00174C3B">
            <w:pPr>
              <w:jc w:val="both"/>
              <w:rPr>
                <w:rFonts w:ascii="Arial" w:hAnsi="Arial"/>
                <w:sz w:val="20"/>
                <w:szCs w:val="20"/>
                <w:lang w:val="fr-FR"/>
              </w:rPr>
            </w:pPr>
            <w:proofErr w:type="gramStart"/>
            <w:r w:rsidRPr="00F17E14">
              <w:rPr>
                <w:rFonts w:ascii="Arial" w:hAnsi="Arial"/>
                <w:sz w:val="20"/>
                <w:szCs w:val="20"/>
                <w:lang w:val="fr-FR"/>
              </w:rPr>
              <w:t>disponibilités</w:t>
            </w:r>
            <w:proofErr w:type="gramEnd"/>
          </w:p>
        </w:tc>
        <w:tc>
          <w:tcPr>
            <w:tcW w:w="2126" w:type="dxa"/>
            <w:tcBorders>
              <w:top w:val="single" w:sz="6" w:space="0" w:color="auto"/>
              <w:left w:val="single" w:sz="6" w:space="0" w:color="auto"/>
              <w:bottom w:val="single" w:sz="6" w:space="0" w:color="auto"/>
              <w:right w:val="single" w:sz="6" w:space="0" w:color="auto"/>
            </w:tcBorders>
          </w:tcPr>
          <w:p w14:paraId="26246DA1" w14:textId="77777777" w:rsidR="00174C3B" w:rsidRPr="00F17E14" w:rsidRDefault="00BE64DD">
            <w:pPr>
              <w:jc w:val="right"/>
              <w:rPr>
                <w:rFonts w:ascii="Arial" w:hAnsi="Arial"/>
                <w:sz w:val="20"/>
                <w:szCs w:val="20"/>
                <w:lang w:val="fr-FR"/>
              </w:rPr>
            </w:pPr>
            <w:r w:rsidRPr="00F17E14">
              <w:rPr>
                <w:rFonts w:ascii="Arial" w:hAnsi="Arial"/>
                <w:sz w:val="20"/>
                <w:szCs w:val="20"/>
                <w:lang w:val="fr-FR"/>
              </w:rPr>
              <w:t>2 14</w:t>
            </w:r>
            <w:r w:rsidR="00174C3B" w:rsidRPr="00F17E14">
              <w:rPr>
                <w:rFonts w:ascii="Arial" w:hAnsi="Arial"/>
                <w:sz w:val="20"/>
                <w:szCs w:val="20"/>
                <w:lang w:val="fr-FR"/>
              </w:rPr>
              <w:t>0 000</w:t>
            </w:r>
          </w:p>
        </w:tc>
        <w:tc>
          <w:tcPr>
            <w:tcW w:w="2019" w:type="dxa"/>
            <w:tcBorders>
              <w:top w:val="single" w:sz="6" w:space="0" w:color="auto"/>
              <w:left w:val="single" w:sz="6" w:space="0" w:color="auto"/>
              <w:bottom w:val="single" w:sz="6" w:space="0" w:color="auto"/>
              <w:right w:val="single" w:sz="6" w:space="0" w:color="auto"/>
            </w:tcBorders>
          </w:tcPr>
          <w:p w14:paraId="5E8E7F8B" w14:textId="77777777" w:rsidR="00174C3B" w:rsidRPr="00F17E14" w:rsidRDefault="00174C3B">
            <w:pPr>
              <w:jc w:val="right"/>
              <w:rPr>
                <w:rFonts w:ascii="Arial" w:hAnsi="Arial"/>
                <w:sz w:val="20"/>
                <w:szCs w:val="20"/>
                <w:lang w:val="fr-FR"/>
              </w:rPr>
            </w:pPr>
          </w:p>
          <w:p w14:paraId="1BBFF155" w14:textId="77777777" w:rsidR="00174C3B" w:rsidRPr="00F17E14" w:rsidRDefault="00BE64DD" w:rsidP="00BE64DD">
            <w:pPr>
              <w:jc w:val="center"/>
              <w:rPr>
                <w:rFonts w:ascii="Arial" w:hAnsi="Arial"/>
                <w:sz w:val="20"/>
                <w:szCs w:val="20"/>
                <w:lang w:val="fr-FR"/>
              </w:rPr>
            </w:pPr>
            <w:r w:rsidRPr="00F17E14">
              <w:rPr>
                <w:rFonts w:ascii="Arial" w:hAnsi="Arial"/>
                <w:sz w:val="20"/>
                <w:szCs w:val="20"/>
                <w:lang w:val="fr-FR"/>
              </w:rPr>
              <w:t>2 14</w:t>
            </w:r>
            <w:r w:rsidR="00174C3B" w:rsidRPr="00F17E14">
              <w:rPr>
                <w:rFonts w:ascii="Arial" w:hAnsi="Arial"/>
                <w:sz w:val="20"/>
                <w:szCs w:val="20"/>
                <w:lang w:val="fr-FR"/>
              </w:rPr>
              <w:t>0 000</w:t>
            </w:r>
          </w:p>
        </w:tc>
      </w:tr>
    </w:tbl>
    <w:p w14:paraId="099906B7" w14:textId="77777777" w:rsidR="00174C3B" w:rsidRPr="00A619A0" w:rsidRDefault="00174C3B">
      <w:pPr>
        <w:jc w:val="both"/>
        <w:rPr>
          <w:rFonts w:ascii="Arial" w:hAnsi="Arial"/>
          <w:sz w:val="22"/>
          <w:lang w:val="fr-FR"/>
        </w:rPr>
      </w:pPr>
    </w:p>
    <w:p w14:paraId="4EA348DC" w14:textId="77777777" w:rsidR="00174C3B" w:rsidRPr="00A619A0" w:rsidRDefault="00174C3B">
      <w:pPr>
        <w:jc w:val="both"/>
        <w:rPr>
          <w:rFonts w:ascii="Arial" w:hAnsi="Arial"/>
          <w:sz w:val="22"/>
          <w:lang w:val="fr-FR"/>
        </w:rPr>
      </w:pPr>
      <w:r w:rsidRPr="00A619A0">
        <w:rPr>
          <w:rFonts w:ascii="Arial" w:hAnsi="Arial"/>
          <w:sz w:val="22"/>
          <w:lang w:val="fr-FR"/>
        </w:rPr>
        <w:tab/>
        <w:t xml:space="preserve">                                                                    </w:t>
      </w:r>
    </w:p>
    <w:p w14:paraId="692F0A78" w14:textId="77777777" w:rsidR="00174C3B" w:rsidRPr="00A619A0" w:rsidRDefault="00174C3B">
      <w:pPr>
        <w:jc w:val="both"/>
        <w:rPr>
          <w:rFonts w:ascii="Arial" w:hAnsi="Arial"/>
          <w:sz w:val="22"/>
          <w:lang w:val="fr-FR"/>
        </w:rPr>
      </w:pPr>
      <w:r w:rsidRPr="00A619A0">
        <w:rPr>
          <w:rFonts w:ascii="Arial" w:hAnsi="Arial"/>
          <w:sz w:val="22"/>
          <w:lang w:val="fr-FR"/>
        </w:rPr>
        <w:t>Rembourseme</w:t>
      </w:r>
      <w:r w:rsidR="00FD21DA" w:rsidRPr="00A619A0">
        <w:rPr>
          <w:rFonts w:ascii="Arial" w:hAnsi="Arial"/>
          <w:sz w:val="22"/>
          <w:lang w:val="fr-FR"/>
        </w:rPr>
        <w:t xml:space="preserve">nt à la première </w:t>
      </w:r>
      <w:proofErr w:type="gramStart"/>
      <w:r w:rsidR="00FD21DA" w:rsidRPr="00A619A0">
        <w:rPr>
          <w:rFonts w:ascii="Arial" w:hAnsi="Arial"/>
          <w:sz w:val="22"/>
          <w:lang w:val="fr-FR"/>
        </w:rPr>
        <w:t>échéance  (</w:t>
      </w:r>
      <w:proofErr w:type="gramEnd"/>
      <w:r w:rsidR="00FD21DA" w:rsidRPr="00A619A0">
        <w:rPr>
          <w:rFonts w:ascii="Arial" w:hAnsi="Arial"/>
          <w:sz w:val="22"/>
          <w:lang w:val="fr-FR"/>
        </w:rPr>
        <w:t>5 831</w:t>
      </w:r>
      <w:r w:rsidRPr="00A619A0">
        <w:rPr>
          <w:rFonts w:ascii="Arial" w:hAnsi="Arial"/>
          <w:sz w:val="22"/>
          <w:lang w:val="fr-FR"/>
        </w:rPr>
        <w:t xml:space="preserve"> obligations)</w:t>
      </w:r>
    </w:p>
    <w:tbl>
      <w:tblPr>
        <w:tblW w:w="9612" w:type="dxa"/>
        <w:tblLayout w:type="fixed"/>
        <w:tblCellMar>
          <w:left w:w="80" w:type="dxa"/>
          <w:right w:w="80" w:type="dxa"/>
        </w:tblCellMar>
        <w:tblLook w:val="0000" w:firstRow="0" w:lastRow="0" w:firstColumn="0" w:lastColumn="0" w:noHBand="0" w:noVBand="0"/>
      </w:tblPr>
      <w:tblGrid>
        <w:gridCol w:w="1498"/>
        <w:gridCol w:w="3969"/>
        <w:gridCol w:w="2126"/>
        <w:gridCol w:w="2019"/>
      </w:tblGrid>
      <w:tr w:rsidR="00174C3B" w:rsidRPr="00A619A0" w14:paraId="13E2AAD2" w14:textId="77777777">
        <w:tc>
          <w:tcPr>
            <w:tcW w:w="1498" w:type="dxa"/>
            <w:tcBorders>
              <w:top w:val="single" w:sz="6" w:space="0" w:color="auto"/>
              <w:left w:val="single" w:sz="6" w:space="0" w:color="auto"/>
              <w:bottom w:val="single" w:sz="6" w:space="0" w:color="auto"/>
              <w:right w:val="single" w:sz="6" w:space="0" w:color="auto"/>
            </w:tcBorders>
          </w:tcPr>
          <w:p w14:paraId="4CB182AC" w14:textId="77777777" w:rsidR="00174C3B" w:rsidRPr="00A619A0" w:rsidRDefault="00174C3B">
            <w:pPr>
              <w:jc w:val="center"/>
              <w:rPr>
                <w:rFonts w:ascii="Arial" w:hAnsi="Arial"/>
                <w:b/>
                <w:sz w:val="22"/>
                <w:lang w:val="fr-FR"/>
              </w:rPr>
            </w:pPr>
            <w:r w:rsidRPr="00A619A0">
              <w:rPr>
                <w:rFonts w:ascii="Arial" w:hAnsi="Arial"/>
                <w:b/>
                <w:sz w:val="22"/>
                <w:lang w:val="fr-FR"/>
              </w:rPr>
              <w:t>N° compte</w:t>
            </w:r>
          </w:p>
        </w:tc>
        <w:tc>
          <w:tcPr>
            <w:tcW w:w="3969" w:type="dxa"/>
            <w:tcBorders>
              <w:top w:val="single" w:sz="6" w:space="0" w:color="auto"/>
              <w:left w:val="single" w:sz="6" w:space="0" w:color="auto"/>
              <w:bottom w:val="single" w:sz="6" w:space="0" w:color="auto"/>
              <w:right w:val="single" w:sz="6" w:space="0" w:color="auto"/>
            </w:tcBorders>
          </w:tcPr>
          <w:p w14:paraId="50EEDB99" w14:textId="77777777" w:rsidR="00174C3B" w:rsidRPr="00A619A0" w:rsidRDefault="00174C3B">
            <w:pPr>
              <w:jc w:val="center"/>
              <w:rPr>
                <w:rFonts w:ascii="Arial" w:hAnsi="Arial"/>
                <w:b/>
                <w:sz w:val="22"/>
                <w:lang w:val="fr-FR"/>
              </w:rPr>
            </w:pPr>
            <w:proofErr w:type="gramStart"/>
            <w:r w:rsidRPr="00A619A0">
              <w:rPr>
                <w:rFonts w:ascii="Arial" w:hAnsi="Arial"/>
                <w:b/>
                <w:sz w:val="22"/>
                <w:lang w:val="fr-FR"/>
              </w:rPr>
              <w:t>nom</w:t>
            </w:r>
            <w:proofErr w:type="gramEnd"/>
            <w:r w:rsidRPr="00A619A0">
              <w:rPr>
                <w:rFonts w:ascii="Arial" w:hAnsi="Arial"/>
                <w:b/>
                <w:sz w:val="22"/>
                <w:lang w:val="fr-FR"/>
              </w:rPr>
              <w:t xml:space="preserve"> compte</w:t>
            </w:r>
          </w:p>
        </w:tc>
        <w:tc>
          <w:tcPr>
            <w:tcW w:w="2126" w:type="dxa"/>
            <w:tcBorders>
              <w:top w:val="single" w:sz="6" w:space="0" w:color="auto"/>
              <w:left w:val="single" w:sz="6" w:space="0" w:color="auto"/>
              <w:bottom w:val="single" w:sz="6" w:space="0" w:color="auto"/>
              <w:right w:val="single" w:sz="6" w:space="0" w:color="auto"/>
            </w:tcBorders>
          </w:tcPr>
          <w:p w14:paraId="766B519F" w14:textId="77777777" w:rsidR="00174C3B" w:rsidRPr="00A619A0" w:rsidRDefault="00174C3B">
            <w:pPr>
              <w:jc w:val="center"/>
              <w:rPr>
                <w:rFonts w:ascii="Arial" w:hAnsi="Arial"/>
                <w:b/>
                <w:sz w:val="22"/>
                <w:lang w:val="fr-FR"/>
              </w:rPr>
            </w:pPr>
            <w:proofErr w:type="gramStart"/>
            <w:r w:rsidRPr="00A619A0">
              <w:rPr>
                <w:rFonts w:ascii="Arial" w:hAnsi="Arial"/>
                <w:b/>
                <w:sz w:val="22"/>
                <w:lang w:val="fr-FR"/>
              </w:rPr>
              <w:t>débit</w:t>
            </w:r>
            <w:proofErr w:type="gramEnd"/>
          </w:p>
        </w:tc>
        <w:tc>
          <w:tcPr>
            <w:tcW w:w="2019" w:type="dxa"/>
            <w:tcBorders>
              <w:top w:val="single" w:sz="6" w:space="0" w:color="auto"/>
              <w:left w:val="single" w:sz="6" w:space="0" w:color="auto"/>
              <w:bottom w:val="single" w:sz="6" w:space="0" w:color="auto"/>
              <w:right w:val="single" w:sz="6" w:space="0" w:color="auto"/>
            </w:tcBorders>
          </w:tcPr>
          <w:p w14:paraId="0E274730" w14:textId="77777777" w:rsidR="00174C3B" w:rsidRPr="00A619A0" w:rsidRDefault="00174C3B">
            <w:pPr>
              <w:jc w:val="center"/>
              <w:rPr>
                <w:rFonts w:ascii="Arial" w:hAnsi="Arial"/>
                <w:b/>
                <w:sz w:val="22"/>
                <w:lang w:val="fr-FR"/>
              </w:rPr>
            </w:pPr>
            <w:proofErr w:type="gramStart"/>
            <w:r w:rsidRPr="00A619A0">
              <w:rPr>
                <w:rFonts w:ascii="Arial" w:hAnsi="Arial"/>
                <w:b/>
                <w:sz w:val="22"/>
                <w:lang w:val="fr-FR"/>
              </w:rPr>
              <w:t>crédit</w:t>
            </w:r>
            <w:proofErr w:type="gramEnd"/>
          </w:p>
        </w:tc>
      </w:tr>
      <w:tr w:rsidR="00174C3B" w:rsidRPr="00A619A0" w14:paraId="66114D7C" w14:textId="77777777">
        <w:tc>
          <w:tcPr>
            <w:tcW w:w="1498" w:type="dxa"/>
            <w:tcBorders>
              <w:top w:val="single" w:sz="6" w:space="0" w:color="auto"/>
              <w:left w:val="single" w:sz="6" w:space="0" w:color="auto"/>
              <w:bottom w:val="single" w:sz="6" w:space="0" w:color="auto"/>
              <w:right w:val="single" w:sz="6" w:space="0" w:color="auto"/>
            </w:tcBorders>
          </w:tcPr>
          <w:p w14:paraId="79BFFE78" w14:textId="77777777" w:rsidR="00174C3B" w:rsidRPr="00F17E14" w:rsidRDefault="00174C3B">
            <w:pPr>
              <w:jc w:val="center"/>
              <w:rPr>
                <w:rFonts w:ascii="Arial" w:hAnsi="Arial"/>
                <w:sz w:val="20"/>
                <w:szCs w:val="20"/>
                <w:lang w:val="fr-FR"/>
              </w:rPr>
            </w:pPr>
            <w:r w:rsidRPr="00F17E14">
              <w:rPr>
                <w:rFonts w:ascii="Arial" w:hAnsi="Arial"/>
                <w:sz w:val="20"/>
                <w:szCs w:val="20"/>
                <w:lang w:val="fr-FR"/>
              </w:rPr>
              <w:t>16x</w:t>
            </w:r>
          </w:p>
          <w:p w14:paraId="55924D09" w14:textId="77777777" w:rsidR="00174C3B" w:rsidRPr="00F17E14" w:rsidRDefault="00174C3B">
            <w:pPr>
              <w:jc w:val="center"/>
              <w:rPr>
                <w:rFonts w:ascii="Arial" w:hAnsi="Arial"/>
                <w:sz w:val="20"/>
                <w:szCs w:val="20"/>
                <w:lang w:val="fr-FR"/>
              </w:rPr>
            </w:pPr>
            <w:r w:rsidRPr="00F17E14">
              <w:rPr>
                <w:rFonts w:ascii="Arial" w:hAnsi="Arial"/>
                <w:sz w:val="20"/>
                <w:szCs w:val="20"/>
                <w:lang w:val="fr-FR"/>
              </w:rPr>
              <w:t>5xx</w:t>
            </w:r>
          </w:p>
        </w:tc>
        <w:tc>
          <w:tcPr>
            <w:tcW w:w="3969" w:type="dxa"/>
            <w:tcBorders>
              <w:top w:val="single" w:sz="6" w:space="0" w:color="auto"/>
              <w:left w:val="single" w:sz="6" w:space="0" w:color="auto"/>
              <w:bottom w:val="single" w:sz="6" w:space="0" w:color="auto"/>
              <w:right w:val="single" w:sz="6" w:space="0" w:color="auto"/>
            </w:tcBorders>
          </w:tcPr>
          <w:p w14:paraId="68A22D75" w14:textId="77777777" w:rsidR="00174C3B" w:rsidRPr="00F17E14" w:rsidRDefault="00174C3B">
            <w:pPr>
              <w:jc w:val="both"/>
              <w:rPr>
                <w:rFonts w:ascii="Arial" w:hAnsi="Arial"/>
                <w:sz w:val="20"/>
                <w:szCs w:val="20"/>
                <w:lang w:val="fr-FR"/>
              </w:rPr>
            </w:pPr>
            <w:proofErr w:type="gramStart"/>
            <w:r w:rsidRPr="00F17E14">
              <w:rPr>
                <w:rFonts w:ascii="Arial" w:hAnsi="Arial"/>
                <w:sz w:val="20"/>
                <w:szCs w:val="20"/>
                <w:lang w:val="fr-FR"/>
              </w:rPr>
              <w:t>emprunt</w:t>
            </w:r>
            <w:proofErr w:type="gramEnd"/>
            <w:r w:rsidRPr="00F17E14">
              <w:rPr>
                <w:rFonts w:ascii="Arial" w:hAnsi="Arial"/>
                <w:sz w:val="20"/>
                <w:szCs w:val="20"/>
                <w:lang w:val="fr-FR"/>
              </w:rPr>
              <w:t xml:space="preserve"> obligataire</w:t>
            </w:r>
          </w:p>
          <w:p w14:paraId="30B6BD84" w14:textId="77777777" w:rsidR="00174C3B" w:rsidRPr="00F17E14" w:rsidRDefault="00174C3B">
            <w:pPr>
              <w:jc w:val="both"/>
              <w:rPr>
                <w:rFonts w:ascii="Arial" w:hAnsi="Arial"/>
                <w:sz w:val="20"/>
                <w:szCs w:val="20"/>
                <w:lang w:val="fr-FR"/>
              </w:rPr>
            </w:pPr>
            <w:proofErr w:type="gramStart"/>
            <w:r w:rsidRPr="00F17E14">
              <w:rPr>
                <w:rFonts w:ascii="Arial" w:hAnsi="Arial"/>
                <w:sz w:val="20"/>
                <w:szCs w:val="20"/>
                <w:lang w:val="fr-FR"/>
              </w:rPr>
              <w:t>disponibilités</w:t>
            </w:r>
            <w:proofErr w:type="gramEnd"/>
          </w:p>
          <w:p w14:paraId="6D914CE3" w14:textId="77777777" w:rsidR="00FD21DA" w:rsidRPr="00F17E14" w:rsidRDefault="00FD21DA">
            <w:pPr>
              <w:jc w:val="both"/>
              <w:rPr>
                <w:rFonts w:ascii="Arial" w:hAnsi="Arial"/>
                <w:sz w:val="20"/>
                <w:szCs w:val="20"/>
                <w:lang w:val="fr-FR"/>
              </w:rPr>
            </w:pPr>
            <w:r w:rsidRPr="00F17E14">
              <w:rPr>
                <w:rFonts w:ascii="Arial" w:hAnsi="Arial"/>
                <w:sz w:val="20"/>
                <w:szCs w:val="20"/>
                <w:lang w:val="fr-FR"/>
              </w:rPr>
              <w:t>5 831 * 1 002</w:t>
            </w:r>
          </w:p>
        </w:tc>
        <w:tc>
          <w:tcPr>
            <w:tcW w:w="2126" w:type="dxa"/>
            <w:tcBorders>
              <w:top w:val="single" w:sz="6" w:space="0" w:color="auto"/>
              <w:left w:val="single" w:sz="6" w:space="0" w:color="auto"/>
              <w:bottom w:val="single" w:sz="6" w:space="0" w:color="auto"/>
              <w:right w:val="single" w:sz="6" w:space="0" w:color="auto"/>
            </w:tcBorders>
          </w:tcPr>
          <w:p w14:paraId="7A3F9BCB" w14:textId="77777777" w:rsidR="00174C3B" w:rsidRPr="00F17E14" w:rsidRDefault="00FD21DA">
            <w:pPr>
              <w:jc w:val="right"/>
              <w:rPr>
                <w:rFonts w:ascii="Arial" w:hAnsi="Arial"/>
                <w:sz w:val="20"/>
                <w:szCs w:val="20"/>
                <w:lang w:val="fr-FR"/>
              </w:rPr>
            </w:pPr>
            <w:r w:rsidRPr="00F17E14">
              <w:rPr>
                <w:rFonts w:ascii="Arial" w:hAnsi="Arial"/>
                <w:sz w:val="20"/>
                <w:szCs w:val="20"/>
                <w:lang w:val="fr-FR"/>
              </w:rPr>
              <w:t>5 842 662</w:t>
            </w:r>
          </w:p>
        </w:tc>
        <w:tc>
          <w:tcPr>
            <w:tcW w:w="2019" w:type="dxa"/>
            <w:tcBorders>
              <w:top w:val="single" w:sz="6" w:space="0" w:color="auto"/>
              <w:left w:val="single" w:sz="6" w:space="0" w:color="auto"/>
              <w:bottom w:val="single" w:sz="6" w:space="0" w:color="auto"/>
              <w:right w:val="single" w:sz="6" w:space="0" w:color="auto"/>
            </w:tcBorders>
          </w:tcPr>
          <w:p w14:paraId="7548BA59" w14:textId="77777777" w:rsidR="00174C3B" w:rsidRPr="00F17E14" w:rsidRDefault="00174C3B">
            <w:pPr>
              <w:jc w:val="right"/>
              <w:rPr>
                <w:rFonts w:ascii="Arial" w:hAnsi="Arial"/>
                <w:sz w:val="20"/>
                <w:szCs w:val="20"/>
                <w:lang w:val="fr-FR"/>
              </w:rPr>
            </w:pPr>
          </w:p>
          <w:p w14:paraId="0221CF10" w14:textId="77777777" w:rsidR="00174C3B" w:rsidRPr="00F17E14" w:rsidRDefault="00FD21DA">
            <w:pPr>
              <w:jc w:val="right"/>
              <w:rPr>
                <w:rFonts w:ascii="Arial" w:hAnsi="Arial"/>
                <w:sz w:val="20"/>
                <w:szCs w:val="20"/>
                <w:lang w:val="fr-FR"/>
              </w:rPr>
            </w:pPr>
            <w:r w:rsidRPr="00F17E14">
              <w:rPr>
                <w:rFonts w:ascii="Arial" w:hAnsi="Arial"/>
                <w:sz w:val="20"/>
                <w:szCs w:val="20"/>
                <w:lang w:val="fr-FR"/>
              </w:rPr>
              <w:t>5 842 662</w:t>
            </w:r>
          </w:p>
        </w:tc>
      </w:tr>
      <w:tr w:rsidR="00174C3B" w:rsidRPr="00A619A0" w14:paraId="7CB81286" w14:textId="77777777">
        <w:tc>
          <w:tcPr>
            <w:tcW w:w="1498" w:type="dxa"/>
            <w:tcBorders>
              <w:top w:val="single" w:sz="6" w:space="0" w:color="auto"/>
              <w:left w:val="single" w:sz="6" w:space="0" w:color="auto"/>
              <w:bottom w:val="single" w:sz="6" w:space="0" w:color="auto"/>
              <w:right w:val="single" w:sz="6" w:space="0" w:color="auto"/>
            </w:tcBorders>
          </w:tcPr>
          <w:p w14:paraId="40D6827D" w14:textId="77777777" w:rsidR="00174C3B" w:rsidRPr="00F17E14" w:rsidRDefault="00174C3B" w:rsidP="00174C3B">
            <w:pPr>
              <w:jc w:val="center"/>
              <w:rPr>
                <w:rFonts w:ascii="Arial" w:hAnsi="Arial"/>
                <w:sz w:val="20"/>
                <w:szCs w:val="20"/>
                <w:lang w:val="fr-FR"/>
              </w:rPr>
            </w:pPr>
            <w:r w:rsidRPr="00F17E14">
              <w:rPr>
                <w:rFonts w:ascii="Arial" w:hAnsi="Arial"/>
                <w:sz w:val="20"/>
                <w:szCs w:val="20"/>
                <w:lang w:val="fr-FR"/>
              </w:rPr>
              <w:t>686</w:t>
            </w:r>
          </w:p>
          <w:p w14:paraId="0058CA3C" w14:textId="77777777" w:rsidR="00174C3B" w:rsidRPr="00F17E14" w:rsidRDefault="00174C3B">
            <w:pPr>
              <w:jc w:val="center"/>
              <w:rPr>
                <w:rFonts w:ascii="Arial" w:hAnsi="Arial"/>
                <w:sz w:val="20"/>
                <w:szCs w:val="20"/>
                <w:lang w:val="fr-FR"/>
              </w:rPr>
            </w:pPr>
            <w:r w:rsidRPr="00F17E14">
              <w:rPr>
                <w:rFonts w:ascii="Arial" w:hAnsi="Arial"/>
                <w:sz w:val="20"/>
                <w:szCs w:val="20"/>
                <w:lang w:val="fr-FR"/>
              </w:rPr>
              <w:t>169</w:t>
            </w:r>
          </w:p>
        </w:tc>
        <w:tc>
          <w:tcPr>
            <w:tcW w:w="3969" w:type="dxa"/>
            <w:tcBorders>
              <w:top w:val="single" w:sz="6" w:space="0" w:color="auto"/>
              <w:left w:val="single" w:sz="6" w:space="0" w:color="auto"/>
              <w:bottom w:val="single" w:sz="6" w:space="0" w:color="auto"/>
              <w:right w:val="single" w:sz="6" w:space="0" w:color="auto"/>
            </w:tcBorders>
          </w:tcPr>
          <w:p w14:paraId="69530496" w14:textId="77777777" w:rsidR="00174C3B" w:rsidRPr="00F17E14" w:rsidRDefault="00174C3B">
            <w:pPr>
              <w:rPr>
                <w:rFonts w:ascii="Arial" w:hAnsi="Arial"/>
                <w:sz w:val="20"/>
                <w:szCs w:val="20"/>
                <w:lang w:val="fr-FR"/>
              </w:rPr>
            </w:pPr>
            <w:proofErr w:type="gramStart"/>
            <w:r w:rsidRPr="00F17E14">
              <w:rPr>
                <w:rFonts w:ascii="Arial" w:hAnsi="Arial"/>
                <w:sz w:val="20"/>
                <w:szCs w:val="20"/>
                <w:lang w:val="fr-FR"/>
              </w:rPr>
              <w:t>dotations</w:t>
            </w:r>
            <w:proofErr w:type="gramEnd"/>
            <w:r w:rsidRPr="00F17E14">
              <w:rPr>
                <w:rFonts w:ascii="Arial" w:hAnsi="Arial"/>
                <w:sz w:val="20"/>
                <w:szCs w:val="20"/>
                <w:lang w:val="fr-FR"/>
              </w:rPr>
              <w:t xml:space="preserve"> aux amortissements </w:t>
            </w:r>
          </w:p>
          <w:p w14:paraId="30E3CF74" w14:textId="77777777" w:rsidR="00174C3B" w:rsidRPr="00F17E14" w:rsidRDefault="00174C3B">
            <w:pPr>
              <w:rPr>
                <w:rFonts w:ascii="Arial" w:hAnsi="Arial"/>
                <w:sz w:val="20"/>
                <w:szCs w:val="20"/>
                <w:lang w:val="fr-FR"/>
              </w:rPr>
            </w:pPr>
            <w:proofErr w:type="gramStart"/>
            <w:r w:rsidRPr="00F17E14">
              <w:rPr>
                <w:rFonts w:ascii="Arial" w:hAnsi="Arial"/>
                <w:sz w:val="20"/>
                <w:szCs w:val="20"/>
                <w:lang w:val="fr-FR"/>
              </w:rPr>
              <w:t>prime</w:t>
            </w:r>
            <w:proofErr w:type="gramEnd"/>
            <w:r w:rsidRPr="00F17E14">
              <w:rPr>
                <w:rFonts w:ascii="Arial" w:hAnsi="Arial"/>
                <w:sz w:val="20"/>
                <w:szCs w:val="20"/>
                <w:lang w:val="fr-FR"/>
              </w:rPr>
              <w:t xml:space="preserve"> de remboursement</w:t>
            </w:r>
          </w:p>
          <w:p w14:paraId="2E9A58A7" w14:textId="77777777" w:rsidR="00FD21DA" w:rsidRPr="00F17E14" w:rsidRDefault="009559F7">
            <w:pPr>
              <w:rPr>
                <w:rFonts w:ascii="Arial" w:hAnsi="Arial"/>
                <w:sz w:val="20"/>
                <w:szCs w:val="20"/>
                <w:lang w:val="fr-FR"/>
              </w:rPr>
            </w:pPr>
            <w:r w:rsidRPr="00F17E14">
              <w:rPr>
                <w:rFonts w:ascii="Arial" w:hAnsi="Arial"/>
                <w:sz w:val="20"/>
                <w:szCs w:val="20"/>
                <w:lang w:val="fr-FR"/>
              </w:rPr>
              <w:t xml:space="preserve">160 000/6 = </w:t>
            </w:r>
          </w:p>
        </w:tc>
        <w:tc>
          <w:tcPr>
            <w:tcW w:w="2126" w:type="dxa"/>
            <w:tcBorders>
              <w:top w:val="single" w:sz="6" w:space="0" w:color="auto"/>
              <w:left w:val="single" w:sz="6" w:space="0" w:color="auto"/>
              <w:bottom w:val="single" w:sz="6" w:space="0" w:color="auto"/>
              <w:right w:val="single" w:sz="6" w:space="0" w:color="auto"/>
            </w:tcBorders>
          </w:tcPr>
          <w:p w14:paraId="7247CB64" w14:textId="77777777" w:rsidR="00174C3B" w:rsidRPr="00F17E14" w:rsidRDefault="009559F7">
            <w:pPr>
              <w:jc w:val="right"/>
              <w:rPr>
                <w:rFonts w:ascii="Arial" w:hAnsi="Arial"/>
                <w:sz w:val="20"/>
                <w:szCs w:val="20"/>
                <w:lang w:val="fr-FR"/>
              </w:rPr>
            </w:pPr>
            <w:r w:rsidRPr="00F17E14">
              <w:rPr>
                <w:rFonts w:ascii="Arial" w:hAnsi="Arial"/>
                <w:sz w:val="20"/>
                <w:szCs w:val="20"/>
                <w:lang w:val="fr-FR"/>
              </w:rPr>
              <w:t>26 666,66</w:t>
            </w:r>
          </w:p>
        </w:tc>
        <w:tc>
          <w:tcPr>
            <w:tcW w:w="2019" w:type="dxa"/>
            <w:tcBorders>
              <w:top w:val="single" w:sz="6" w:space="0" w:color="auto"/>
              <w:left w:val="single" w:sz="6" w:space="0" w:color="auto"/>
              <w:bottom w:val="single" w:sz="6" w:space="0" w:color="auto"/>
              <w:right w:val="single" w:sz="6" w:space="0" w:color="auto"/>
            </w:tcBorders>
          </w:tcPr>
          <w:p w14:paraId="4752BB88" w14:textId="77777777" w:rsidR="00174C3B" w:rsidRPr="00F17E14" w:rsidRDefault="00174C3B" w:rsidP="00174C3B">
            <w:pPr>
              <w:rPr>
                <w:rFonts w:ascii="Arial" w:hAnsi="Arial"/>
                <w:sz w:val="20"/>
                <w:szCs w:val="20"/>
                <w:lang w:val="fr-FR"/>
              </w:rPr>
            </w:pPr>
          </w:p>
          <w:p w14:paraId="4BF12227" w14:textId="77777777" w:rsidR="00174C3B" w:rsidRPr="00F17E14" w:rsidRDefault="009559F7">
            <w:pPr>
              <w:jc w:val="right"/>
              <w:rPr>
                <w:rFonts w:ascii="Arial" w:hAnsi="Arial"/>
                <w:sz w:val="20"/>
                <w:szCs w:val="20"/>
                <w:lang w:val="fr-FR"/>
              </w:rPr>
            </w:pPr>
            <w:r w:rsidRPr="00F17E14">
              <w:rPr>
                <w:rFonts w:ascii="Arial" w:hAnsi="Arial"/>
                <w:sz w:val="20"/>
                <w:szCs w:val="20"/>
                <w:lang w:val="fr-FR"/>
              </w:rPr>
              <w:t>26 666,66</w:t>
            </w:r>
          </w:p>
        </w:tc>
      </w:tr>
    </w:tbl>
    <w:p w14:paraId="3CAB8F26" w14:textId="77777777" w:rsidR="00FD21DA" w:rsidRPr="00A619A0" w:rsidRDefault="00FD21DA">
      <w:pPr>
        <w:jc w:val="both"/>
        <w:rPr>
          <w:rFonts w:ascii="Arial" w:hAnsi="Arial"/>
          <w:sz w:val="22"/>
          <w:lang w:val="fr-FR"/>
        </w:rPr>
      </w:pPr>
    </w:p>
    <w:p w14:paraId="2344756C" w14:textId="77777777" w:rsidR="00AE040C" w:rsidRPr="00A619A0" w:rsidRDefault="00AE040C">
      <w:pPr>
        <w:jc w:val="both"/>
        <w:rPr>
          <w:rFonts w:ascii="Arial" w:hAnsi="Arial"/>
          <w:sz w:val="22"/>
          <w:lang w:val="fr-FR"/>
        </w:rPr>
      </w:pPr>
    </w:p>
    <w:p w14:paraId="4E1C5F05" w14:textId="2A7888A3" w:rsidR="007521A5" w:rsidRPr="00A619A0" w:rsidRDefault="009559F7">
      <w:pPr>
        <w:jc w:val="both"/>
        <w:rPr>
          <w:rFonts w:ascii="Arial" w:hAnsi="Arial"/>
          <w:sz w:val="22"/>
          <w:lang w:val="fr-FR"/>
        </w:rPr>
      </w:pPr>
      <w:r w:rsidRPr="00A619A0">
        <w:rPr>
          <w:rFonts w:ascii="Arial" w:hAnsi="Arial"/>
          <w:sz w:val="22"/>
          <w:lang w:val="fr-FR"/>
        </w:rPr>
        <w:t xml:space="preserve">Cet amortissement est donc déconnecté du remboursement réel, mais on doit s’assurer que, chaque année, le montant des amortissements cumulés est bien supérieur au cumul </w:t>
      </w:r>
      <w:r w:rsidR="00522B4F" w:rsidRPr="00A619A0">
        <w:rPr>
          <w:rFonts w:ascii="Arial" w:hAnsi="Arial"/>
          <w:sz w:val="22"/>
          <w:lang w:val="fr-FR"/>
        </w:rPr>
        <w:t>de la prime effectivement payée, ce qui est toujours vérifié dans le cas du remboursement unique « in fine ».</w:t>
      </w:r>
    </w:p>
    <w:p w14:paraId="31763156" w14:textId="77777777" w:rsidR="007521A5" w:rsidRPr="00A619A0" w:rsidRDefault="007521A5">
      <w:pPr>
        <w:jc w:val="both"/>
        <w:rPr>
          <w:rFonts w:ascii="Arial" w:hAnsi="Arial"/>
          <w:sz w:val="22"/>
          <w:lang w:val="fr-FR"/>
        </w:rPr>
      </w:pPr>
    </w:p>
    <w:p w14:paraId="7E77CEC8" w14:textId="77777777" w:rsidR="00174C3B" w:rsidRPr="00A619A0" w:rsidRDefault="00174C3B">
      <w:pPr>
        <w:jc w:val="both"/>
        <w:rPr>
          <w:rFonts w:ascii="Arial" w:hAnsi="Arial"/>
          <w:sz w:val="22"/>
          <w:lang w:val="fr-FR"/>
        </w:rPr>
      </w:pPr>
      <w:r w:rsidRPr="00A619A0">
        <w:rPr>
          <w:rFonts w:ascii="Arial" w:hAnsi="Arial"/>
          <w:sz w:val="22"/>
          <w:lang w:val="fr-FR"/>
        </w:rPr>
        <w:t>Frais de gestion annuels</w:t>
      </w:r>
    </w:p>
    <w:tbl>
      <w:tblPr>
        <w:tblW w:w="9612" w:type="dxa"/>
        <w:tblLayout w:type="fixed"/>
        <w:tblCellMar>
          <w:left w:w="80" w:type="dxa"/>
          <w:right w:w="80" w:type="dxa"/>
        </w:tblCellMar>
        <w:tblLook w:val="0000" w:firstRow="0" w:lastRow="0" w:firstColumn="0" w:lastColumn="0" w:noHBand="0" w:noVBand="0"/>
      </w:tblPr>
      <w:tblGrid>
        <w:gridCol w:w="1498"/>
        <w:gridCol w:w="3969"/>
        <w:gridCol w:w="2126"/>
        <w:gridCol w:w="2019"/>
      </w:tblGrid>
      <w:tr w:rsidR="00174C3B" w:rsidRPr="00A619A0" w14:paraId="4907E499" w14:textId="77777777">
        <w:tc>
          <w:tcPr>
            <w:tcW w:w="1498" w:type="dxa"/>
            <w:tcBorders>
              <w:top w:val="single" w:sz="6" w:space="0" w:color="auto"/>
              <w:left w:val="single" w:sz="6" w:space="0" w:color="auto"/>
              <w:bottom w:val="single" w:sz="6" w:space="0" w:color="auto"/>
              <w:right w:val="single" w:sz="6" w:space="0" w:color="auto"/>
            </w:tcBorders>
          </w:tcPr>
          <w:p w14:paraId="5544DA3F" w14:textId="77777777" w:rsidR="00174C3B" w:rsidRPr="00A619A0" w:rsidRDefault="00174C3B">
            <w:pPr>
              <w:jc w:val="center"/>
              <w:rPr>
                <w:rFonts w:ascii="Arial" w:hAnsi="Arial"/>
                <w:b/>
                <w:sz w:val="22"/>
                <w:lang w:val="fr-FR"/>
              </w:rPr>
            </w:pPr>
            <w:r w:rsidRPr="00A619A0">
              <w:rPr>
                <w:rFonts w:ascii="Arial" w:hAnsi="Arial"/>
                <w:b/>
                <w:sz w:val="22"/>
                <w:lang w:val="fr-FR"/>
              </w:rPr>
              <w:t>N° compte</w:t>
            </w:r>
          </w:p>
        </w:tc>
        <w:tc>
          <w:tcPr>
            <w:tcW w:w="3969" w:type="dxa"/>
            <w:tcBorders>
              <w:top w:val="single" w:sz="6" w:space="0" w:color="auto"/>
              <w:left w:val="single" w:sz="6" w:space="0" w:color="auto"/>
              <w:bottom w:val="single" w:sz="6" w:space="0" w:color="auto"/>
              <w:right w:val="single" w:sz="6" w:space="0" w:color="auto"/>
            </w:tcBorders>
          </w:tcPr>
          <w:p w14:paraId="4D758C03" w14:textId="77777777" w:rsidR="00174C3B" w:rsidRPr="00A619A0" w:rsidRDefault="00174C3B">
            <w:pPr>
              <w:jc w:val="center"/>
              <w:rPr>
                <w:rFonts w:ascii="Arial" w:hAnsi="Arial"/>
                <w:b/>
                <w:sz w:val="22"/>
                <w:lang w:val="fr-FR"/>
              </w:rPr>
            </w:pPr>
            <w:proofErr w:type="gramStart"/>
            <w:r w:rsidRPr="00A619A0">
              <w:rPr>
                <w:rFonts w:ascii="Arial" w:hAnsi="Arial"/>
                <w:b/>
                <w:sz w:val="22"/>
                <w:lang w:val="fr-FR"/>
              </w:rPr>
              <w:t>nom</w:t>
            </w:r>
            <w:proofErr w:type="gramEnd"/>
            <w:r w:rsidRPr="00A619A0">
              <w:rPr>
                <w:rFonts w:ascii="Arial" w:hAnsi="Arial"/>
                <w:b/>
                <w:sz w:val="22"/>
                <w:lang w:val="fr-FR"/>
              </w:rPr>
              <w:t xml:space="preserve"> compte</w:t>
            </w:r>
          </w:p>
        </w:tc>
        <w:tc>
          <w:tcPr>
            <w:tcW w:w="2126" w:type="dxa"/>
            <w:tcBorders>
              <w:top w:val="single" w:sz="6" w:space="0" w:color="auto"/>
              <w:left w:val="single" w:sz="6" w:space="0" w:color="auto"/>
              <w:bottom w:val="single" w:sz="6" w:space="0" w:color="auto"/>
              <w:right w:val="single" w:sz="6" w:space="0" w:color="auto"/>
            </w:tcBorders>
          </w:tcPr>
          <w:p w14:paraId="318922DC" w14:textId="77777777" w:rsidR="00174C3B" w:rsidRPr="00A619A0" w:rsidRDefault="00174C3B">
            <w:pPr>
              <w:jc w:val="center"/>
              <w:rPr>
                <w:rFonts w:ascii="Arial" w:hAnsi="Arial"/>
                <w:b/>
                <w:sz w:val="22"/>
                <w:lang w:val="fr-FR"/>
              </w:rPr>
            </w:pPr>
            <w:proofErr w:type="gramStart"/>
            <w:r w:rsidRPr="00A619A0">
              <w:rPr>
                <w:rFonts w:ascii="Arial" w:hAnsi="Arial"/>
                <w:b/>
                <w:sz w:val="22"/>
                <w:lang w:val="fr-FR"/>
              </w:rPr>
              <w:t>débit</w:t>
            </w:r>
            <w:proofErr w:type="gramEnd"/>
          </w:p>
        </w:tc>
        <w:tc>
          <w:tcPr>
            <w:tcW w:w="2019" w:type="dxa"/>
            <w:tcBorders>
              <w:top w:val="single" w:sz="6" w:space="0" w:color="auto"/>
              <w:left w:val="single" w:sz="6" w:space="0" w:color="auto"/>
              <w:bottom w:val="single" w:sz="6" w:space="0" w:color="auto"/>
              <w:right w:val="single" w:sz="6" w:space="0" w:color="auto"/>
            </w:tcBorders>
          </w:tcPr>
          <w:p w14:paraId="750B2E9B" w14:textId="77777777" w:rsidR="00174C3B" w:rsidRPr="00A619A0" w:rsidRDefault="00174C3B">
            <w:pPr>
              <w:jc w:val="center"/>
              <w:rPr>
                <w:rFonts w:ascii="Arial" w:hAnsi="Arial"/>
                <w:b/>
                <w:sz w:val="22"/>
                <w:lang w:val="fr-FR"/>
              </w:rPr>
            </w:pPr>
            <w:proofErr w:type="gramStart"/>
            <w:r w:rsidRPr="00A619A0">
              <w:rPr>
                <w:rFonts w:ascii="Arial" w:hAnsi="Arial"/>
                <w:b/>
                <w:sz w:val="22"/>
                <w:lang w:val="fr-FR"/>
              </w:rPr>
              <w:t>crédit</w:t>
            </w:r>
            <w:proofErr w:type="gramEnd"/>
          </w:p>
        </w:tc>
      </w:tr>
      <w:tr w:rsidR="00174C3B" w:rsidRPr="00A619A0" w14:paraId="56163ED9" w14:textId="77777777">
        <w:tc>
          <w:tcPr>
            <w:tcW w:w="1498" w:type="dxa"/>
            <w:tcBorders>
              <w:top w:val="single" w:sz="6" w:space="0" w:color="auto"/>
              <w:left w:val="single" w:sz="6" w:space="0" w:color="auto"/>
              <w:bottom w:val="single" w:sz="6" w:space="0" w:color="auto"/>
              <w:right w:val="single" w:sz="6" w:space="0" w:color="auto"/>
            </w:tcBorders>
          </w:tcPr>
          <w:p w14:paraId="4ED997D3" w14:textId="77777777" w:rsidR="00174C3B" w:rsidRPr="00F17E14" w:rsidRDefault="00174C3B">
            <w:pPr>
              <w:jc w:val="center"/>
              <w:rPr>
                <w:rFonts w:ascii="Arial" w:hAnsi="Arial"/>
                <w:sz w:val="20"/>
                <w:szCs w:val="20"/>
                <w:lang w:val="fr-FR"/>
              </w:rPr>
            </w:pPr>
            <w:r w:rsidRPr="00F17E14">
              <w:rPr>
                <w:rFonts w:ascii="Arial" w:hAnsi="Arial"/>
                <w:sz w:val="20"/>
                <w:szCs w:val="20"/>
                <w:lang w:val="fr-FR"/>
              </w:rPr>
              <w:t>6xx</w:t>
            </w:r>
          </w:p>
          <w:p w14:paraId="0CA2561E" w14:textId="77777777" w:rsidR="00174C3B" w:rsidRPr="00F17E14" w:rsidRDefault="00174C3B">
            <w:pPr>
              <w:jc w:val="center"/>
              <w:rPr>
                <w:rFonts w:ascii="Arial" w:hAnsi="Arial"/>
                <w:sz w:val="20"/>
                <w:szCs w:val="20"/>
                <w:lang w:val="fr-FR"/>
              </w:rPr>
            </w:pPr>
            <w:r w:rsidRPr="00F17E14">
              <w:rPr>
                <w:rFonts w:ascii="Arial" w:hAnsi="Arial"/>
                <w:sz w:val="20"/>
                <w:szCs w:val="20"/>
                <w:lang w:val="fr-FR"/>
              </w:rPr>
              <w:t>5xx</w:t>
            </w:r>
          </w:p>
        </w:tc>
        <w:tc>
          <w:tcPr>
            <w:tcW w:w="3969" w:type="dxa"/>
            <w:tcBorders>
              <w:top w:val="single" w:sz="6" w:space="0" w:color="auto"/>
              <w:left w:val="single" w:sz="6" w:space="0" w:color="auto"/>
              <w:bottom w:val="single" w:sz="6" w:space="0" w:color="auto"/>
              <w:right w:val="single" w:sz="6" w:space="0" w:color="auto"/>
            </w:tcBorders>
          </w:tcPr>
          <w:p w14:paraId="4ACE75EB" w14:textId="77777777" w:rsidR="00174C3B" w:rsidRPr="00F17E14" w:rsidRDefault="00174C3B">
            <w:pPr>
              <w:jc w:val="both"/>
              <w:rPr>
                <w:rFonts w:ascii="Arial" w:hAnsi="Arial"/>
                <w:sz w:val="20"/>
                <w:szCs w:val="20"/>
                <w:lang w:val="fr-FR"/>
              </w:rPr>
            </w:pPr>
            <w:proofErr w:type="gramStart"/>
            <w:r w:rsidRPr="00F17E14">
              <w:rPr>
                <w:rFonts w:ascii="Arial" w:hAnsi="Arial"/>
                <w:sz w:val="20"/>
                <w:szCs w:val="20"/>
                <w:lang w:val="fr-FR"/>
              </w:rPr>
              <w:t>charges</w:t>
            </w:r>
            <w:proofErr w:type="gramEnd"/>
          </w:p>
          <w:p w14:paraId="6D8E9AF9" w14:textId="77777777" w:rsidR="00174C3B" w:rsidRPr="00F17E14" w:rsidRDefault="00174C3B">
            <w:pPr>
              <w:jc w:val="both"/>
              <w:rPr>
                <w:rFonts w:ascii="Arial" w:hAnsi="Arial"/>
                <w:sz w:val="20"/>
                <w:szCs w:val="20"/>
                <w:lang w:val="fr-FR"/>
              </w:rPr>
            </w:pPr>
            <w:proofErr w:type="gramStart"/>
            <w:r w:rsidRPr="00F17E14">
              <w:rPr>
                <w:rFonts w:ascii="Arial" w:hAnsi="Arial"/>
                <w:sz w:val="20"/>
                <w:szCs w:val="20"/>
                <w:lang w:val="fr-FR"/>
              </w:rPr>
              <w:t>disponibilités</w:t>
            </w:r>
            <w:proofErr w:type="gramEnd"/>
          </w:p>
        </w:tc>
        <w:tc>
          <w:tcPr>
            <w:tcW w:w="2126" w:type="dxa"/>
            <w:tcBorders>
              <w:top w:val="single" w:sz="6" w:space="0" w:color="auto"/>
              <w:left w:val="single" w:sz="6" w:space="0" w:color="auto"/>
              <w:bottom w:val="single" w:sz="6" w:space="0" w:color="auto"/>
              <w:right w:val="single" w:sz="6" w:space="0" w:color="auto"/>
            </w:tcBorders>
          </w:tcPr>
          <w:p w14:paraId="12DC4429" w14:textId="77777777" w:rsidR="00174C3B" w:rsidRPr="00F17E14" w:rsidRDefault="00174C3B">
            <w:pPr>
              <w:jc w:val="center"/>
              <w:rPr>
                <w:rFonts w:ascii="Arial" w:hAnsi="Arial"/>
                <w:sz w:val="20"/>
                <w:szCs w:val="20"/>
                <w:lang w:val="fr-FR"/>
              </w:rPr>
            </w:pPr>
            <w:r w:rsidRPr="00F17E14">
              <w:rPr>
                <w:rFonts w:ascii="Arial" w:hAnsi="Arial"/>
                <w:sz w:val="20"/>
                <w:szCs w:val="20"/>
                <w:lang w:val="fr-FR"/>
              </w:rPr>
              <w:t>Z</w:t>
            </w:r>
          </w:p>
        </w:tc>
        <w:tc>
          <w:tcPr>
            <w:tcW w:w="2019" w:type="dxa"/>
            <w:tcBorders>
              <w:top w:val="single" w:sz="6" w:space="0" w:color="auto"/>
              <w:left w:val="single" w:sz="6" w:space="0" w:color="auto"/>
              <w:bottom w:val="single" w:sz="6" w:space="0" w:color="auto"/>
              <w:right w:val="single" w:sz="6" w:space="0" w:color="auto"/>
            </w:tcBorders>
          </w:tcPr>
          <w:p w14:paraId="272F9C8E" w14:textId="77777777" w:rsidR="00174C3B" w:rsidRPr="00F17E14" w:rsidRDefault="00174C3B">
            <w:pPr>
              <w:jc w:val="center"/>
              <w:rPr>
                <w:rFonts w:ascii="Arial" w:hAnsi="Arial"/>
                <w:sz w:val="20"/>
                <w:szCs w:val="20"/>
                <w:lang w:val="fr-FR"/>
              </w:rPr>
            </w:pPr>
          </w:p>
          <w:p w14:paraId="6895CE3F" w14:textId="77777777" w:rsidR="00174C3B" w:rsidRPr="00F17E14" w:rsidRDefault="00174C3B">
            <w:pPr>
              <w:jc w:val="center"/>
              <w:rPr>
                <w:rFonts w:ascii="Arial" w:hAnsi="Arial"/>
                <w:sz w:val="20"/>
                <w:szCs w:val="20"/>
                <w:lang w:val="fr-FR"/>
              </w:rPr>
            </w:pPr>
            <w:r w:rsidRPr="00F17E14">
              <w:rPr>
                <w:rFonts w:ascii="Arial" w:hAnsi="Arial"/>
                <w:sz w:val="20"/>
                <w:szCs w:val="20"/>
                <w:lang w:val="fr-FR"/>
              </w:rPr>
              <w:t>Z</w:t>
            </w:r>
          </w:p>
        </w:tc>
      </w:tr>
    </w:tbl>
    <w:p w14:paraId="2E75DD41" w14:textId="77777777" w:rsidR="00174C3B" w:rsidRPr="00A619A0" w:rsidRDefault="00174C3B">
      <w:pPr>
        <w:jc w:val="both"/>
        <w:rPr>
          <w:rFonts w:ascii="Arial" w:hAnsi="Arial"/>
          <w:sz w:val="20"/>
          <w:lang w:val="fr-FR"/>
        </w:rPr>
      </w:pPr>
    </w:p>
    <w:p w14:paraId="2F6EF6DB" w14:textId="77777777" w:rsidR="00C94BF1" w:rsidRPr="00A619A0" w:rsidRDefault="00C94BF1" w:rsidP="00174C3B">
      <w:pPr>
        <w:jc w:val="both"/>
        <w:rPr>
          <w:rFonts w:ascii="Arial" w:hAnsi="Arial"/>
          <w:sz w:val="22"/>
          <w:lang w:val="fr-FR"/>
        </w:rPr>
      </w:pPr>
    </w:p>
    <w:p w14:paraId="5FBA6DDA" w14:textId="77777777" w:rsidR="003C2894" w:rsidRPr="00A619A0" w:rsidRDefault="003C2894" w:rsidP="00174C3B">
      <w:pPr>
        <w:jc w:val="both"/>
        <w:rPr>
          <w:rFonts w:ascii="Arial" w:hAnsi="Arial"/>
          <w:sz w:val="22"/>
          <w:lang w:val="fr-FR"/>
        </w:rPr>
      </w:pPr>
    </w:p>
    <w:p w14:paraId="4F010606" w14:textId="0669966F" w:rsidR="00C94BF1" w:rsidRPr="00330BFC" w:rsidRDefault="003C2894" w:rsidP="00174C3B">
      <w:pPr>
        <w:jc w:val="both"/>
        <w:rPr>
          <w:rFonts w:ascii="Arial" w:hAnsi="Arial"/>
          <w:b/>
          <w:color w:val="000000" w:themeColor="text1"/>
          <w:sz w:val="22"/>
          <w:lang w:val="fr-FR"/>
        </w:rPr>
      </w:pPr>
      <w:r w:rsidRPr="00330BFC">
        <w:rPr>
          <w:rFonts w:ascii="Arial" w:hAnsi="Arial"/>
          <w:b/>
          <w:color w:val="000000" w:themeColor="text1"/>
          <w:sz w:val="22"/>
          <w:lang w:val="fr-FR"/>
        </w:rPr>
        <w:t>IV -</w:t>
      </w:r>
      <w:r w:rsidR="002A59EF" w:rsidRPr="00330BFC">
        <w:rPr>
          <w:rFonts w:ascii="Arial" w:hAnsi="Arial"/>
          <w:b/>
          <w:color w:val="000000" w:themeColor="text1"/>
          <w:sz w:val="22"/>
          <w:lang w:val="fr-FR"/>
        </w:rPr>
        <w:t xml:space="preserve"> 3</w:t>
      </w:r>
      <w:r w:rsidRPr="00330BFC">
        <w:rPr>
          <w:rFonts w:ascii="Arial" w:hAnsi="Arial"/>
          <w:b/>
          <w:color w:val="000000" w:themeColor="text1"/>
          <w:sz w:val="22"/>
          <w:lang w:val="fr-FR"/>
        </w:rPr>
        <w:t xml:space="preserve"> Les titres hybrides</w:t>
      </w:r>
    </w:p>
    <w:p w14:paraId="35ED5AF2" w14:textId="5D587C8F" w:rsidR="004D7A2C" w:rsidRPr="005E01BE" w:rsidRDefault="006431ED" w:rsidP="003C2894">
      <w:pPr>
        <w:pStyle w:val="Paragraphedeliste"/>
        <w:numPr>
          <w:ilvl w:val="0"/>
          <w:numId w:val="15"/>
        </w:numPr>
        <w:jc w:val="both"/>
        <w:rPr>
          <w:rFonts w:ascii="Arial" w:hAnsi="Arial"/>
          <w:b/>
          <w:bCs/>
          <w:color w:val="000000" w:themeColor="text1"/>
          <w:sz w:val="22"/>
          <w:lang w:val="fr-FR"/>
        </w:rPr>
      </w:pPr>
      <w:r w:rsidRPr="006431ED">
        <w:rPr>
          <w:rFonts w:ascii="Arial" w:hAnsi="Arial"/>
          <w:b/>
          <w:bCs/>
          <w:color w:val="000000" w:themeColor="text1"/>
          <w:sz w:val="22"/>
          <w:lang w:val="fr-FR"/>
        </w:rPr>
        <w:t>Analyse comptable</w:t>
      </w:r>
    </w:p>
    <w:p w14:paraId="3CB81060" w14:textId="6F59CBC1" w:rsidR="003C2894" w:rsidRPr="00330BFC" w:rsidRDefault="003C2894" w:rsidP="003C2894">
      <w:pPr>
        <w:jc w:val="both"/>
        <w:rPr>
          <w:rFonts w:ascii="Arial" w:hAnsi="Arial"/>
          <w:color w:val="000000" w:themeColor="text1"/>
          <w:sz w:val="22"/>
          <w:lang w:val="fr-FR"/>
        </w:rPr>
      </w:pPr>
      <w:r w:rsidRPr="00330BFC">
        <w:rPr>
          <w:rFonts w:ascii="Arial" w:hAnsi="Arial"/>
          <w:color w:val="000000" w:themeColor="text1"/>
          <w:sz w:val="22"/>
          <w:lang w:val="fr-FR"/>
        </w:rPr>
        <w:t>La créativité en mati</w:t>
      </w:r>
      <w:r w:rsidR="004D7A2C" w:rsidRPr="00330BFC">
        <w:rPr>
          <w:rFonts w:ascii="Arial" w:hAnsi="Arial"/>
          <w:color w:val="000000" w:themeColor="text1"/>
          <w:sz w:val="22"/>
          <w:lang w:val="fr-FR"/>
        </w:rPr>
        <w:t>ère juridique et financière fait</w:t>
      </w:r>
      <w:r w:rsidRPr="00330BFC">
        <w:rPr>
          <w:rFonts w:ascii="Arial" w:hAnsi="Arial"/>
          <w:color w:val="000000" w:themeColor="text1"/>
          <w:sz w:val="22"/>
          <w:lang w:val="fr-FR"/>
        </w:rPr>
        <w:t xml:space="preserve"> que la réalité est complexe. En pratique, la frontière entre la dette et le capital est souvent poreuse. Les instruments financiers peuvent franchir la ligne de démarcation de plusieurs façons.</w:t>
      </w:r>
    </w:p>
    <w:p w14:paraId="339DC943" w14:textId="1368B5F3" w:rsidR="003C2894" w:rsidRPr="00330BFC" w:rsidRDefault="003C2894" w:rsidP="003C2894">
      <w:pPr>
        <w:jc w:val="both"/>
        <w:rPr>
          <w:rFonts w:ascii="Arial" w:hAnsi="Arial"/>
          <w:color w:val="000000" w:themeColor="text1"/>
          <w:sz w:val="22"/>
          <w:lang w:val="fr-FR"/>
        </w:rPr>
      </w:pPr>
      <w:r w:rsidRPr="00330BFC">
        <w:rPr>
          <w:rFonts w:ascii="Arial" w:hAnsi="Arial"/>
          <w:color w:val="000000" w:themeColor="text1"/>
          <w:sz w:val="22"/>
          <w:lang w:val="fr-FR"/>
        </w:rPr>
        <w:t xml:space="preserve">Certains instruments combinent de façon explicite une part de dette et une part de capital : ce sont les instruments hybrides. </w:t>
      </w:r>
      <w:r w:rsidR="00091486" w:rsidRPr="00330BFC">
        <w:rPr>
          <w:rFonts w:ascii="Arial" w:hAnsi="Arial"/>
          <w:color w:val="000000" w:themeColor="text1"/>
          <w:sz w:val="22"/>
          <w:lang w:val="fr-FR"/>
        </w:rPr>
        <w:t>Ils sont t</w:t>
      </w:r>
      <w:r w:rsidRPr="00330BFC">
        <w:rPr>
          <w:rFonts w:ascii="Arial" w:hAnsi="Arial"/>
          <w:color w:val="000000" w:themeColor="text1"/>
          <w:sz w:val="22"/>
          <w:lang w:val="fr-FR"/>
        </w:rPr>
        <w:t>rès divers quant à leur f</w:t>
      </w:r>
      <w:r w:rsidR="004D7A2C" w:rsidRPr="00330BFC">
        <w:rPr>
          <w:rFonts w:ascii="Arial" w:hAnsi="Arial"/>
          <w:color w:val="000000" w:themeColor="text1"/>
          <w:sz w:val="22"/>
          <w:lang w:val="fr-FR"/>
        </w:rPr>
        <w:t>orme (OBSA, OC, ORA, OCEANE</w:t>
      </w:r>
      <w:r w:rsidR="00C4405F" w:rsidRPr="00330BFC">
        <w:rPr>
          <w:rFonts w:ascii="Arial" w:hAnsi="Arial"/>
          <w:color w:val="000000" w:themeColor="text1"/>
          <w:sz w:val="22"/>
          <w:lang w:val="fr-FR"/>
        </w:rPr>
        <w:t>…</w:t>
      </w:r>
      <w:r w:rsidR="004D7A2C" w:rsidRPr="00330BFC">
        <w:rPr>
          <w:rFonts w:ascii="Arial" w:hAnsi="Arial"/>
          <w:color w:val="000000" w:themeColor="text1"/>
          <w:sz w:val="22"/>
          <w:lang w:val="fr-FR"/>
        </w:rPr>
        <w:t>).</w:t>
      </w:r>
    </w:p>
    <w:p w14:paraId="3178A5EB" w14:textId="77777777" w:rsidR="001E4837" w:rsidRPr="00330BFC" w:rsidRDefault="001E4837">
      <w:pPr>
        <w:rPr>
          <w:rFonts w:ascii="Arial" w:hAnsi="Arial"/>
          <w:color w:val="000000" w:themeColor="text1"/>
          <w:sz w:val="22"/>
          <w:lang w:val="fr-FR"/>
        </w:rPr>
      </w:pPr>
    </w:p>
    <w:p w14:paraId="13A9995B" w14:textId="7A2417FD" w:rsidR="001E4837" w:rsidRPr="00330BFC" w:rsidRDefault="001E4837" w:rsidP="001E4837">
      <w:pPr>
        <w:jc w:val="both"/>
        <w:rPr>
          <w:rFonts w:ascii="Arial" w:hAnsi="Arial"/>
          <w:color w:val="000000" w:themeColor="text1"/>
          <w:sz w:val="22"/>
          <w:lang w:val="fr-FR"/>
        </w:rPr>
      </w:pPr>
      <w:r w:rsidRPr="00330BFC">
        <w:rPr>
          <w:rFonts w:ascii="Arial" w:hAnsi="Arial"/>
          <w:color w:val="000000" w:themeColor="text1"/>
          <w:sz w:val="22"/>
          <w:lang w:val="fr-FR"/>
        </w:rPr>
        <w:t xml:space="preserve">Ces instruments sont </w:t>
      </w:r>
      <w:proofErr w:type="gramStart"/>
      <w:r w:rsidRPr="00330BFC">
        <w:rPr>
          <w:rFonts w:ascii="Arial" w:hAnsi="Arial"/>
          <w:color w:val="000000" w:themeColor="text1"/>
          <w:sz w:val="22"/>
          <w:lang w:val="fr-FR"/>
        </w:rPr>
        <w:t>par contre</w:t>
      </w:r>
      <w:proofErr w:type="gramEnd"/>
      <w:r w:rsidRPr="00330BFC">
        <w:rPr>
          <w:rFonts w:ascii="Arial" w:hAnsi="Arial"/>
          <w:color w:val="000000" w:themeColor="text1"/>
          <w:sz w:val="22"/>
          <w:lang w:val="fr-FR"/>
        </w:rPr>
        <w:t xml:space="preserve"> explicitement reconnus dans le cadre des normes IFRS, sans incidence en France sur la détermination du résultat imposable :</w:t>
      </w:r>
    </w:p>
    <w:p w14:paraId="55B92D49" w14:textId="77777777" w:rsidR="00214B12" w:rsidRPr="00330BFC" w:rsidRDefault="00214B12" w:rsidP="001E4837">
      <w:pPr>
        <w:jc w:val="both"/>
        <w:rPr>
          <w:rFonts w:ascii="Arial" w:hAnsi="Arial"/>
          <w:color w:val="000000" w:themeColor="text1"/>
          <w:sz w:val="22"/>
          <w:lang w:val="fr-FR"/>
        </w:rPr>
      </w:pPr>
    </w:p>
    <w:p w14:paraId="27E5143B" w14:textId="7EC58249" w:rsidR="001E4837" w:rsidRPr="00330BFC" w:rsidRDefault="00214B12" w:rsidP="00214B12">
      <w:pPr>
        <w:jc w:val="center"/>
        <w:rPr>
          <w:rFonts w:ascii="Arial" w:hAnsi="Arial"/>
          <w:b/>
          <w:color w:val="000000" w:themeColor="text1"/>
          <w:sz w:val="22"/>
          <w:lang w:val="fr-FR"/>
        </w:rPr>
      </w:pPr>
      <w:r w:rsidRPr="00330BFC">
        <w:rPr>
          <w:rFonts w:ascii="Arial" w:hAnsi="Arial"/>
          <w:b/>
          <w:color w:val="000000" w:themeColor="text1"/>
          <w:sz w:val="22"/>
          <w:lang w:val="fr-FR"/>
        </w:rPr>
        <w:t>IAS N° 32</w:t>
      </w:r>
    </w:p>
    <w:p w14:paraId="3B197FC6" w14:textId="28DC03A2" w:rsidR="001E4837" w:rsidRPr="00F17E14" w:rsidRDefault="001E4837" w:rsidP="001E4837">
      <w:pPr>
        <w:pBdr>
          <w:top w:val="single" w:sz="4" w:space="1" w:color="auto"/>
          <w:left w:val="single" w:sz="4" w:space="4" w:color="auto"/>
          <w:bottom w:val="single" w:sz="4" w:space="1" w:color="auto"/>
          <w:right w:val="single" w:sz="4" w:space="4" w:color="auto"/>
        </w:pBdr>
        <w:jc w:val="both"/>
        <w:rPr>
          <w:rFonts w:ascii="Arial" w:hAnsi="Arial"/>
          <w:i/>
          <w:color w:val="000000" w:themeColor="text1"/>
          <w:sz w:val="20"/>
          <w:szCs w:val="20"/>
          <w:lang w:val="fr-FR"/>
        </w:rPr>
      </w:pPr>
      <w:r w:rsidRPr="00F17E14">
        <w:rPr>
          <w:rFonts w:ascii="Arial" w:hAnsi="Arial"/>
          <w:i/>
          <w:color w:val="000000" w:themeColor="text1"/>
          <w:sz w:val="20"/>
          <w:szCs w:val="20"/>
          <w:lang w:val="fr-FR"/>
        </w:rPr>
        <w:t>Un instrument financier est un instrument de capitaux propres si et seulement si l’émetteur n’a aucune obligation contractuelle de remettre de la trésorerie ou un autre actif financier à des conditions qui lui seraient potentiellement défavorables.</w:t>
      </w:r>
    </w:p>
    <w:p w14:paraId="1B842CAE" w14:textId="79558C3F" w:rsidR="001E4837" w:rsidRPr="00F17E14" w:rsidRDefault="001E4837" w:rsidP="001E4837">
      <w:pPr>
        <w:pBdr>
          <w:top w:val="single" w:sz="4" w:space="1" w:color="auto"/>
          <w:left w:val="single" w:sz="4" w:space="4" w:color="auto"/>
          <w:bottom w:val="single" w:sz="4" w:space="1" w:color="auto"/>
          <w:right w:val="single" w:sz="4" w:space="4" w:color="auto"/>
        </w:pBdr>
        <w:jc w:val="both"/>
        <w:rPr>
          <w:rFonts w:ascii="Arial" w:hAnsi="Arial"/>
          <w:i/>
          <w:color w:val="000000" w:themeColor="text1"/>
          <w:sz w:val="20"/>
          <w:szCs w:val="20"/>
          <w:lang w:val="fr-FR"/>
        </w:rPr>
      </w:pPr>
      <w:r w:rsidRPr="00F17E14">
        <w:rPr>
          <w:rFonts w:ascii="Arial" w:hAnsi="Arial"/>
          <w:i/>
          <w:color w:val="000000" w:themeColor="text1"/>
          <w:sz w:val="20"/>
          <w:szCs w:val="20"/>
          <w:lang w:val="fr-FR"/>
        </w:rPr>
        <w:t>…</w:t>
      </w:r>
    </w:p>
    <w:p w14:paraId="637D6F7F" w14:textId="77777777" w:rsidR="001E4837" w:rsidRPr="00F17E14" w:rsidRDefault="001E4837" w:rsidP="001E4837">
      <w:pPr>
        <w:pBdr>
          <w:top w:val="single" w:sz="4" w:space="1" w:color="auto"/>
          <w:left w:val="single" w:sz="4" w:space="4" w:color="auto"/>
          <w:bottom w:val="single" w:sz="4" w:space="1" w:color="auto"/>
          <w:right w:val="single" w:sz="4" w:space="4" w:color="auto"/>
        </w:pBdr>
        <w:jc w:val="both"/>
        <w:rPr>
          <w:rFonts w:ascii="Arial" w:hAnsi="Arial"/>
          <w:i/>
          <w:color w:val="000000" w:themeColor="text1"/>
          <w:sz w:val="20"/>
          <w:szCs w:val="20"/>
          <w:lang w:val="fr-FR"/>
        </w:rPr>
      </w:pPr>
      <w:r w:rsidRPr="00F17E14">
        <w:rPr>
          <w:rFonts w:ascii="Arial" w:hAnsi="Arial"/>
          <w:i/>
          <w:color w:val="000000" w:themeColor="text1"/>
          <w:sz w:val="20"/>
          <w:szCs w:val="20"/>
          <w:lang w:val="fr-FR"/>
        </w:rPr>
        <w:t>Si le remboursement du capital est à la discrétion de l’émetteur, le classement des titres émis (dettes ou capitaux propres), est déterminé sur la base des autres droits qui leur sont attachés.</w:t>
      </w:r>
    </w:p>
    <w:p w14:paraId="5E2B3C78" w14:textId="77777777" w:rsidR="001E4837" w:rsidRPr="00F17E14" w:rsidRDefault="001E4837" w:rsidP="001E4837">
      <w:pPr>
        <w:pBdr>
          <w:top w:val="single" w:sz="4" w:space="1" w:color="auto"/>
          <w:left w:val="single" w:sz="4" w:space="4" w:color="auto"/>
          <w:bottom w:val="single" w:sz="4" w:space="1" w:color="auto"/>
          <w:right w:val="single" w:sz="4" w:space="4" w:color="auto"/>
        </w:pBdr>
        <w:jc w:val="both"/>
        <w:rPr>
          <w:rFonts w:ascii="Arial" w:hAnsi="Arial"/>
          <w:i/>
          <w:color w:val="000000" w:themeColor="text1"/>
          <w:sz w:val="20"/>
          <w:szCs w:val="20"/>
          <w:lang w:val="fr-FR"/>
        </w:rPr>
      </w:pPr>
      <w:r w:rsidRPr="00F17E14">
        <w:rPr>
          <w:rFonts w:ascii="Arial" w:hAnsi="Arial"/>
          <w:i/>
          <w:color w:val="000000" w:themeColor="text1"/>
          <w:sz w:val="20"/>
          <w:szCs w:val="20"/>
          <w:lang w:val="fr-FR"/>
        </w:rPr>
        <w:t xml:space="preserve"> Lorsque la rémunération des titres est à la discrétion de l’émetteur, les titres sont des instruments de capitaux propres.</w:t>
      </w:r>
    </w:p>
    <w:p w14:paraId="61F251F5" w14:textId="3BBB9F8F" w:rsidR="001E4837" w:rsidRPr="00330BFC" w:rsidRDefault="001E4837" w:rsidP="001E4837">
      <w:pPr>
        <w:rPr>
          <w:rFonts w:ascii="Arial" w:hAnsi="Arial"/>
          <w:color w:val="000000" w:themeColor="text1"/>
          <w:sz w:val="22"/>
          <w:lang w:val="fr-FR"/>
        </w:rPr>
      </w:pPr>
      <w:r w:rsidRPr="00330BFC">
        <w:rPr>
          <w:rFonts w:ascii="Arial" w:hAnsi="Arial"/>
          <w:color w:val="000000" w:themeColor="text1"/>
          <w:sz w:val="22"/>
          <w:lang w:val="fr-FR"/>
        </w:rPr>
        <w:t xml:space="preserve"> </w:t>
      </w:r>
    </w:p>
    <w:p w14:paraId="62887ACD" w14:textId="29A540DC" w:rsidR="001E4837" w:rsidRDefault="00C65D14" w:rsidP="001E4837">
      <w:pPr>
        <w:rPr>
          <w:rFonts w:ascii="Arial" w:hAnsi="Arial"/>
          <w:color w:val="000000" w:themeColor="text1"/>
          <w:sz w:val="22"/>
          <w:lang w:val="fr-FR"/>
        </w:rPr>
      </w:pPr>
      <w:r>
        <w:rPr>
          <w:rFonts w:ascii="Arial" w:hAnsi="Arial"/>
          <w:color w:val="000000" w:themeColor="text1"/>
          <w:sz w:val="22"/>
          <w:lang w:val="fr-FR"/>
        </w:rPr>
        <w:t>Dans le cadre européen :</w:t>
      </w:r>
    </w:p>
    <w:p w14:paraId="43B5F1C4" w14:textId="6A409817" w:rsidR="00C65D14" w:rsidRDefault="00C65D14" w:rsidP="001E4837">
      <w:pPr>
        <w:rPr>
          <w:rFonts w:ascii="Arial" w:hAnsi="Arial"/>
          <w:color w:val="000000" w:themeColor="text1"/>
          <w:sz w:val="22"/>
          <w:lang w:val="fr-FR"/>
        </w:rPr>
      </w:pPr>
      <w:r w:rsidRPr="00C65D14">
        <w:rPr>
          <w:rFonts w:ascii="Arial" w:hAnsi="Arial"/>
          <w:noProof/>
          <w:color w:val="000000" w:themeColor="text1"/>
          <w:sz w:val="22"/>
          <w:lang w:val="fr-FR"/>
        </w:rPr>
        <w:lastRenderedPageBreak/>
        <w:drawing>
          <wp:inline distT="0" distB="0" distL="0" distR="0" wp14:anchorId="4D15F56F" wp14:editId="36EF1E00">
            <wp:extent cx="5756910" cy="996950"/>
            <wp:effectExtent l="12700" t="12700" r="8890" b="1905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5"/>
                    <a:stretch>
                      <a:fillRect/>
                    </a:stretch>
                  </pic:blipFill>
                  <pic:spPr>
                    <a:xfrm>
                      <a:off x="0" y="0"/>
                      <a:ext cx="5756910" cy="996950"/>
                    </a:xfrm>
                    <a:prstGeom prst="rect">
                      <a:avLst/>
                    </a:prstGeom>
                    <a:ln>
                      <a:solidFill>
                        <a:schemeClr val="tx1"/>
                      </a:solidFill>
                    </a:ln>
                  </pic:spPr>
                </pic:pic>
              </a:graphicData>
            </a:graphic>
          </wp:inline>
        </w:drawing>
      </w:r>
    </w:p>
    <w:p w14:paraId="4B17961A" w14:textId="77777777" w:rsidR="00C65D14" w:rsidRPr="00330BFC" w:rsidRDefault="00C65D14" w:rsidP="001E4837">
      <w:pPr>
        <w:rPr>
          <w:rFonts w:ascii="Arial" w:hAnsi="Arial"/>
          <w:color w:val="000000" w:themeColor="text1"/>
          <w:sz w:val="22"/>
          <w:lang w:val="fr-FR"/>
        </w:rPr>
      </w:pPr>
    </w:p>
    <w:p w14:paraId="7AB5D8F5" w14:textId="6590969D" w:rsidR="00174C3B" w:rsidRPr="00330BFC" w:rsidRDefault="001E4837" w:rsidP="00895012">
      <w:pPr>
        <w:jc w:val="both"/>
        <w:rPr>
          <w:rFonts w:ascii="Arial" w:hAnsi="Arial"/>
          <w:color w:val="000000" w:themeColor="text1"/>
          <w:sz w:val="22"/>
          <w:lang w:val="fr-FR"/>
        </w:rPr>
      </w:pPr>
      <w:r w:rsidRPr="00330BFC">
        <w:rPr>
          <w:rFonts w:ascii="Arial" w:hAnsi="Arial"/>
          <w:color w:val="000000" w:themeColor="text1"/>
          <w:sz w:val="22"/>
          <w:lang w:val="fr-FR"/>
        </w:rPr>
        <w:t xml:space="preserve"> </w:t>
      </w:r>
      <w:r w:rsidR="00C4603B" w:rsidRPr="00330BFC">
        <w:rPr>
          <w:rFonts w:ascii="Arial" w:hAnsi="Arial"/>
          <w:color w:val="000000" w:themeColor="text1"/>
          <w:sz w:val="22"/>
          <w:lang w:val="fr-FR"/>
        </w:rPr>
        <w:t xml:space="preserve">Bien évidemment, ces analyses comptables doivent être adaptées aux </w:t>
      </w:r>
      <w:r w:rsidR="00895012" w:rsidRPr="00330BFC">
        <w:rPr>
          <w:rFonts w:ascii="Arial" w:hAnsi="Arial"/>
          <w:color w:val="000000" w:themeColor="text1"/>
          <w:sz w:val="22"/>
          <w:lang w:val="fr-FR"/>
        </w:rPr>
        <w:t xml:space="preserve">divers </w:t>
      </w:r>
      <w:r w:rsidR="00C4603B" w:rsidRPr="00330BFC">
        <w:rPr>
          <w:rFonts w:ascii="Arial" w:hAnsi="Arial"/>
          <w:color w:val="000000" w:themeColor="text1"/>
          <w:sz w:val="22"/>
          <w:lang w:val="fr-FR"/>
        </w:rPr>
        <w:t>modèles financiers</w:t>
      </w:r>
      <w:r w:rsidR="009413F7" w:rsidRPr="00330BFC">
        <w:rPr>
          <w:rFonts w:ascii="Arial" w:hAnsi="Arial"/>
          <w:color w:val="000000" w:themeColor="text1"/>
          <w:sz w:val="22"/>
          <w:lang w:val="fr-FR"/>
        </w:rPr>
        <w:t xml:space="preserve"> (</w:t>
      </w:r>
      <w:r w:rsidR="009D72FD">
        <w:rPr>
          <w:rFonts w:ascii="Arial" w:hAnsi="Arial"/>
          <w:color w:val="000000" w:themeColor="text1"/>
          <w:sz w:val="22"/>
          <w:lang w:val="fr-FR"/>
        </w:rPr>
        <w:t xml:space="preserve">OCA, </w:t>
      </w:r>
      <w:r w:rsidR="009413F7" w:rsidRPr="00330BFC">
        <w:rPr>
          <w:rFonts w:ascii="Arial" w:hAnsi="Arial"/>
          <w:color w:val="000000" w:themeColor="text1"/>
          <w:sz w:val="22"/>
          <w:lang w:val="fr-FR"/>
        </w:rPr>
        <w:t>OBSA, OBSAR, OBSO, OCEANE, …)</w:t>
      </w:r>
    </w:p>
    <w:p w14:paraId="7551058B" w14:textId="77777777" w:rsidR="00C94BF1" w:rsidRPr="00330BFC" w:rsidRDefault="00C94BF1" w:rsidP="00895012">
      <w:pPr>
        <w:jc w:val="both"/>
        <w:rPr>
          <w:rFonts w:ascii="Arial" w:hAnsi="Arial"/>
          <w:color w:val="000000" w:themeColor="text1"/>
          <w:sz w:val="22"/>
          <w:lang w:val="fr-FR"/>
        </w:rPr>
      </w:pPr>
    </w:p>
    <w:p w14:paraId="404E9EE1" w14:textId="52CE271A" w:rsidR="00C94BF1" w:rsidRPr="00330BFC" w:rsidRDefault="00C94BF1" w:rsidP="00895012">
      <w:pPr>
        <w:jc w:val="both"/>
        <w:rPr>
          <w:rFonts w:ascii="Arial" w:hAnsi="Arial"/>
          <w:color w:val="000000" w:themeColor="text1"/>
          <w:sz w:val="22"/>
          <w:lang w:val="fr-FR"/>
        </w:rPr>
      </w:pPr>
      <w:r w:rsidRPr="00330BFC">
        <w:rPr>
          <w:rFonts w:ascii="Arial" w:hAnsi="Arial"/>
          <w:color w:val="000000" w:themeColor="text1"/>
          <w:sz w:val="22"/>
          <w:lang w:val="fr-FR"/>
        </w:rPr>
        <w:t>Les enregistrements des emprunts avec bon de souscription diffèrent chez l’émetteur et le souscripteur :</w:t>
      </w:r>
    </w:p>
    <w:p w14:paraId="49BEE617" w14:textId="77777777" w:rsidR="00C94BF1" w:rsidRPr="00330BFC" w:rsidRDefault="00C94BF1" w:rsidP="00174C3B">
      <w:pPr>
        <w:jc w:val="both"/>
        <w:rPr>
          <w:rFonts w:ascii="Arial" w:hAnsi="Arial"/>
          <w:color w:val="000000" w:themeColor="text1"/>
          <w:sz w:val="22"/>
          <w:lang w:val="fr-FR"/>
        </w:rPr>
      </w:pPr>
    </w:p>
    <w:tbl>
      <w:tblPr>
        <w:tblStyle w:val="Grilledutableau"/>
        <w:tblW w:w="0" w:type="auto"/>
        <w:tblLook w:val="04A0" w:firstRow="1" w:lastRow="0" w:firstColumn="1" w:lastColumn="0" w:noHBand="0" w:noVBand="1"/>
      </w:tblPr>
      <w:tblGrid>
        <w:gridCol w:w="1701"/>
        <w:gridCol w:w="1763"/>
        <w:gridCol w:w="509"/>
        <w:gridCol w:w="2926"/>
        <w:gridCol w:w="2157"/>
      </w:tblGrid>
      <w:tr w:rsidR="00330BFC" w:rsidRPr="00330BFC" w14:paraId="74384E1F" w14:textId="77777777" w:rsidTr="00C94BF1">
        <w:tc>
          <w:tcPr>
            <w:tcW w:w="3552" w:type="dxa"/>
            <w:gridSpan w:val="2"/>
          </w:tcPr>
          <w:p w14:paraId="37654397" w14:textId="5F2162BE" w:rsidR="00C94BF1" w:rsidRPr="00330BFC" w:rsidRDefault="00C94BF1" w:rsidP="00C94BF1">
            <w:pPr>
              <w:jc w:val="center"/>
              <w:rPr>
                <w:rFonts w:ascii="Arial" w:hAnsi="Arial"/>
                <w:b/>
                <w:color w:val="000000" w:themeColor="text1"/>
                <w:sz w:val="22"/>
                <w:lang w:val="fr-FR"/>
              </w:rPr>
            </w:pPr>
            <w:r w:rsidRPr="00330BFC">
              <w:rPr>
                <w:rFonts w:ascii="Arial" w:hAnsi="Arial"/>
                <w:b/>
                <w:color w:val="000000" w:themeColor="text1"/>
                <w:sz w:val="22"/>
                <w:lang w:val="fr-FR"/>
              </w:rPr>
              <w:t>BILAN DE L’ÉMETTEUR</w:t>
            </w:r>
          </w:p>
        </w:tc>
        <w:tc>
          <w:tcPr>
            <w:tcW w:w="525" w:type="dxa"/>
            <w:tcBorders>
              <w:top w:val="nil"/>
              <w:bottom w:val="nil"/>
            </w:tcBorders>
          </w:tcPr>
          <w:p w14:paraId="42DEB7D8" w14:textId="77777777" w:rsidR="00C94BF1" w:rsidRPr="00330BFC" w:rsidRDefault="00C94BF1" w:rsidP="00C94BF1">
            <w:pPr>
              <w:jc w:val="center"/>
              <w:rPr>
                <w:rFonts w:ascii="Arial" w:hAnsi="Arial"/>
                <w:b/>
                <w:color w:val="000000" w:themeColor="text1"/>
                <w:sz w:val="22"/>
                <w:lang w:val="fr-FR"/>
              </w:rPr>
            </w:pPr>
          </w:p>
        </w:tc>
        <w:tc>
          <w:tcPr>
            <w:tcW w:w="5205" w:type="dxa"/>
            <w:gridSpan w:val="2"/>
          </w:tcPr>
          <w:p w14:paraId="2880E75B" w14:textId="100C4A8A" w:rsidR="00C94BF1" w:rsidRPr="00330BFC" w:rsidRDefault="00C94BF1" w:rsidP="00C94BF1">
            <w:pPr>
              <w:jc w:val="center"/>
              <w:rPr>
                <w:rFonts w:ascii="Arial" w:hAnsi="Arial"/>
                <w:b/>
                <w:color w:val="000000" w:themeColor="text1"/>
                <w:sz w:val="22"/>
                <w:lang w:val="fr-FR"/>
              </w:rPr>
            </w:pPr>
            <w:r w:rsidRPr="00330BFC">
              <w:rPr>
                <w:rFonts w:ascii="Arial" w:hAnsi="Arial"/>
                <w:b/>
                <w:color w:val="000000" w:themeColor="text1"/>
                <w:sz w:val="22"/>
                <w:lang w:val="fr-FR"/>
              </w:rPr>
              <w:t>BILAN DU SOUSCRIPTEUR</w:t>
            </w:r>
          </w:p>
        </w:tc>
      </w:tr>
      <w:tr w:rsidR="00330BFC" w:rsidRPr="00330BFC" w14:paraId="459D8750" w14:textId="77777777" w:rsidTr="00C94BF1">
        <w:tc>
          <w:tcPr>
            <w:tcW w:w="1755" w:type="dxa"/>
            <w:tcBorders>
              <w:bottom w:val="single" w:sz="4" w:space="0" w:color="auto"/>
            </w:tcBorders>
          </w:tcPr>
          <w:p w14:paraId="2F19E0B7" w14:textId="6A50DB2E" w:rsidR="00C94BF1" w:rsidRPr="00330BFC" w:rsidRDefault="00C94BF1" w:rsidP="00C94BF1">
            <w:pPr>
              <w:jc w:val="center"/>
              <w:rPr>
                <w:rFonts w:ascii="Arial" w:hAnsi="Arial"/>
                <w:b/>
                <w:color w:val="000000" w:themeColor="text1"/>
                <w:sz w:val="22"/>
                <w:lang w:val="fr-FR"/>
              </w:rPr>
            </w:pPr>
            <w:r w:rsidRPr="00330BFC">
              <w:rPr>
                <w:rFonts w:ascii="Arial" w:hAnsi="Arial"/>
                <w:b/>
                <w:color w:val="000000" w:themeColor="text1"/>
                <w:sz w:val="22"/>
                <w:lang w:val="fr-FR"/>
              </w:rPr>
              <w:t>Actif</w:t>
            </w:r>
          </w:p>
        </w:tc>
        <w:tc>
          <w:tcPr>
            <w:tcW w:w="1797" w:type="dxa"/>
            <w:tcBorders>
              <w:bottom w:val="single" w:sz="4" w:space="0" w:color="auto"/>
            </w:tcBorders>
          </w:tcPr>
          <w:p w14:paraId="0ECEA43A" w14:textId="72C13CB0" w:rsidR="00C94BF1" w:rsidRPr="00330BFC" w:rsidRDefault="00C94BF1" w:rsidP="00C94BF1">
            <w:pPr>
              <w:jc w:val="center"/>
              <w:rPr>
                <w:rFonts w:ascii="Arial" w:hAnsi="Arial"/>
                <w:b/>
                <w:color w:val="000000" w:themeColor="text1"/>
                <w:sz w:val="22"/>
                <w:lang w:val="fr-FR"/>
              </w:rPr>
            </w:pPr>
            <w:r w:rsidRPr="00330BFC">
              <w:rPr>
                <w:rFonts w:ascii="Arial" w:hAnsi="Arial"/>
                <w:b/>
                <w:color w:val="000000" w:themeColor="text1"/>
                <w:sz w:val="22"/>
                <w:lang w:val="fr-FR"/>
              </w:rPr>
              <w:t>Passif</w:t>
            </w:r>
          </w:p>
        </w:tc>
        <w:tc>
          <w:tcPr>
            <w:tcW w:w="525" w:type="dxa"/>
            <w:tcBorders>
              <w:top w:val="nil"/>
              <w:bottom w:val="nil"/>
            </w:tcBorders>
          </w:tcPr>
          <w:p w14:paraId="287EED15" w14:textId="77777777" w:rsidR="00C94BF1" w:rsidRPr="00330BFC" w:rsidRDefault="00C94BF1" w:rsidP="00C94BF1">
            <w:pPr>
              <w:jc w:val="center"/>
              <w:rPr>
                <w:rFonts w:ascii="Arial" w:hAnsi="Arial"/>
                <w:b/>
                <w:color w:val="000000" w:themeColor="text1"/>
                <w:sz w:val="22"/>
                <w:lang w:val="fr-FR"/>
              </w:rPr>
            </w:pPr>
          </w:p>
        </w:tc>
        <w:tc>
          <w:tcPr>
            <w:tcW w:w="2977" w:type="dxa"/>
            <w:tcBorders>
              <w:bottom w:val="single" w:sz="4" w:space="0" w:color="auto"/>
            </w:tcBorders>
          </w:tcPr>
          <w:p w14:paraId="285A1852" w14:textId="4DED5562" w:rsidR="00C94BF1" w:rsidRPr="00330BFC" w:rsidRDefault="00C94BF1" w:rsidP="00C94BF1">
            <w:pPr>
              <w:jc w:val="center"/>
              <w:rPr>
                <w:rFonts w:ascii="Arial" w:hAnsi="Arial"/>
                <w:b/>
                <w:color w:val="000000" w:themeColor="text1"/>
                <w:sz w:val="22"/>
                <w:lang w:val="fr-FR"/>
              </w:rPr>
            </w:pPr>
            <w:r w:rsidRPr="00330BFC">
              <w:rPr>
                <w:rFonts w:ascii="Arial" w:hAnsi="Arial"/>
                <w:b/>
                <w:color w:val="000000" w:themeColor="text1"/>
                <w:sz w:val="22"/>
                <w:lang w:val="fr-FR"/>
              </w:rPr>
              <w:t>Actif</w:t>
            </w:r>
          </w:p>
        </w:tc>
        <w:tc>
          <w:tcPr>
            <w:tcW w:w="2228" w:type="dxa"/>
            <w:tcBorders>
              <w:bottom w:val="single" w:sz="4" w:space="0" w:color="auto"/>
            </w:tcBorders>
          </w:tcPr>
          <w:p w14:paraId="2363C587" w14:textId="6ECFA4F7" w:rsidR="00C94BF1" w:rsidRPr="00330BFC" w:rsidRDefault="00C94BF1" w:rsidP="00C94BF1">
            <w:pPr>
              <w:jc w:val="center"/>
              <w:rPr>
                <w:rFonts w:ascii="Arial" w:hAnsi="Arial"/>
                <w:b/>
                <w:color w:val="000000" w:themeColor="text1"/>
                <w:sz w:val="22"/>
                <w:lang w:val="fr-FR"/>
              </w:rPr>
            </w:pPr>
            <w:r w:rsidRPr="00330BFC">
              <w:rPr>
                <w:rFonts w:ascii="Arial" w:hAnsi="Arial"/>
                <w:b/>
                <w:color w:val="000000" w:themeColor="text1"/>
                <w:sz w:val="22"/>
                <w:lang w:val="fr-FR"/>
              </w:rPr>
              <w:t>Passif</w:t>
            </w:r>
          </w:p>
        </w:tc>
      </w:tr>
      <w:tr w:rsidR="00330BFC" w:rsidRPr="00330BFC" w14:paraId="2C5A7C2B" w14:textId="77777777" w:rsidTr="00C94BF1">
        <w:tc>
          <w:tcPr>
            <w:tcW w:w="1755" w:type="dxa"/>
            <w:tcBorders>
              <w:bottom w:val="single" w:sz="4" w:space="0" w:color="auto"/>
            </w:tcBorders>
          </w:tcPr>
          <w:p w14:paraId="475CD58A" w14:textId="77777777" w:rsidR="00C94BF1" w:rsidRPr="00F17E14" w:rsidRDefault="00C94BF1" w:rsidP="00174C3B">
            <w:pPr>
              <w:jc w:val="both"/>
              <w:rPr>
                <w:rFonts w:ascii="Arial" w:hAnsi="Arial"/>
                <w:color w:val="000000" w:themeColor="text1"/>
                <w:sz w:val="20"/>
                <w:szCs w:val="20"/>
                <w:lang w:val="fr-FR"/>
              </w:rPr>
            </w:pPr>
          </w:p>
        </w:tc>
        <w:tc>
          <w:tcPr>
            <w:tcW w:w="1797" w:type="dxa"/>
            <w:tcBorders>
              <w:bottom w:val="single" w:sz="4" w:space="0" w:color="auto"/>
            </w:tcBorders>
          </w:tcPr>
          <w:p w14:paraId="4F78E1EE" w14:textId="2BFB260A" w:rsidR="00C94BF1" w:rsidRPr="00F17E14" w:rsidRDefault="00C94BF1" w:rsidP="00174C3B">
            <w:pPr>
              <w:jc w:val="both"/>
              <w:rPr>
                <w:rFonts w:ascii="Arial" w:hAnsi="Arial"/>
                <w:color w:val="000000" w:themeColor="text1"/>
                <w:sz w:val="20"/>
                <w:szCs w:val="20"/>
                <w:lang w:val="fr-FR"/>
              </w:rPr>
            </w:pPr>
            <w:r w:rsidRPr="00F17E14">
              <w:rPr>
                <w:rFonts w:ascii="Arial" w:hAnsi="Arial"/>
                <w:color w:val="000000" w:themeColor="text1"/>
                <w:sz w:val="20"/>
                <w:szCs w:val="20"/>
                <w:lang w:val="fr-FR"/>
              </w:rPr>
              <w:t>Dette : emprunt obligataire</w:t>
            </w:r>
          </w:p>
        </w:tc>
        <w:tc>
          <w:tcPr>
            <w:tcW w:w="525" w:type="dxa"/>
            <w:tcBorders>
              <w:top w:val="nil"/>
              <w:bottom w:val="nil"/>
            </w:tcBorders>
          </w:tcPr>
          <w:p w14:paraId="6B803648" w14:textId="77777777" w:rsidR="00C94BF1" w:rsidRPr="00F17E14" w:rsidRDefault="00C94BF1" w:rsidP="00174C3B">
            <w:pPr>
              <w:jc w:val="both"/>
              <w:rPr>
                <w:rFonts w:ascii="Arial" w:hAnsi="Arial"/>
                <w:color w:val="000000" w:themeColor="text1"/>
                <w:sz w:val="20"/>
                <w:szCs w:val="20"/>
                <w:lang w:val="fr-FR"/>
              </w:rPr>
            </w:pPr>
          </w:p>
        </w:tc>
        <w:tc>
          <w:tcPr>
            <w:tcW w:w="2977" w:type="dxa"/>
            <w:tcBorders>
              <w:bottom w:val="single" w:sz="4" w:space="0" w:color="auto"/>
            </w:tcBorders>
          </w:tcPr>
          <w:p w14:paraId="5CEF2812" w14:textId="20392F01" w:rsidR="00C94BF1" w:rsidRPr="00F17E14" w:rsidRDefault="00C94BF1" w:rsidP="00C94BF1">
            <w:pPr>
              <w:pStyle w:val="Paragraphedeliste"/>
              <w:numPr>
                <w:ilvl w:val="0"/>
                <w:numId w:val="8"/>
              </w:numPr>
              <w:jc w:val="both"/>
              <w:rPr>
                <w:rFonts w:ascii="Arial" w:hAnsi="Arial"/>
                <w:color w:val="000000" w:themeColor="text1"/>
                <w:sz w:val="20"/>
                <w:szCs w:val="20"/>
                <w:lang w:val="fr-FR"/>
              </w:rPr>
            </w:pPr>
            <w:proofErr w:type="gramStart"/>
            <w:r w:rsidRPr="00F17E14">
              <w:rPr>
                <w:rFonts w:ascii="Arial" w:hAnsi="Arial"/>
                <w:color w:val="000000" w:themeColor="text1"/>
                <w:sz w:val="20"/>
                <w:szCs w:val="20"/>
                <w:lang w:val="fr-FR"/>
              </w:rPr>
              <w:t>obligation</w:t>
            </w:r>
            <w:proofErr w:type="gramEnd"/>
          </w:p>
          <w:p w14:paraId="30AF6BA8" w14:textId="672BD705" w:rsidR="00C94BF1" w:rsidRPr="00F17E14" w:rsidRDefault="00C94BF1" w:rsidP="00C94BF1">
            <w:pPr>
              <w:pStyle w:val="Paragraphedeliste"/>
              <w:numPr>
                <w:ilvl w:val="0"/>
                <w:numId w:val="8"/>
              </w:numPr>
              <w:jc w:val="both"/>
              <w:rPr>
                <w:rFonts w:ascii="Arial" w:hAnsi="Arial"/>
                <w:color w:val="000000" w:themeColor="text1"/>
                <w:sz w:val="20"/>
                <w:szCs w:val="20"/>
                <w:lang w:val="fr-FR"/>
              </w:rPr>
            </w:pPr>
            <w:proofErr w:type="gramStart"/>
            <w:r w:rsidRPr="00F17E14">
              <w:rPr>
                <w:rFonts w:ascii="Arial" w:hAnsi="Arial"/>
                <w:color w:val="000000" w:themeColor="text1"/>
                <w:sz w:val="20"/>
                <w:szCs w:val="20"/>
                <w:lang w:val="fr-FR"/>
              </w:rPr>
              <w:t>bon</w:t>
            </w:r>
            <w:proofErr w:type="gramEnd"/>
            <w:r w:rsidRPr="00F17E14">
              <w:rPr>
                <w:rFonts w:ascii="Arial" w:hAnsi="Arial"/>
                <w:color w:val="000000" w:themeColor="text1"/>
                <w:sz w:val="20"/>
                <w:szCs w:val="20"/>
                <w:lang w:val="fr-FR"/>
              </w:rPr>
              <w:t xml:space="preserve"> de souscription</w:t>
            </w:r>
          </w:p>
        </w:tc>
        <w:tc>
          <w:tcPr>
            <w:tcW w:w="2228" w:type="dxa"/>
            <w:tcBorders>
              <w:bottom w:val="single" w:sz="4" w:space="0" w:color="auto"/>
            </w:tcBorders>
          </w:tcPr>
          <w:p w14:paraId="54C1DD7A" w14:textId="77777777" w:rsidR="00C94BF1" w:rsidRPr="00F17E14" w:rsidRDefault="00C94BF1" w:rsidP="00174C3B">
            <w:pPr>
              <w:jc w:val="both"/>
              <w:rPr>
                <w:rFonts w:ascii="Arial" w:hAnsi="Arial"/>
                <w:color w:val="000000" w:themeColor="text1"/>
                <w:sz w:val="20"/>
                <w:szCs w:val="20"/>
                <w:lang w:val="fr-FR"/>
              </w:rPr>
            </w:pPr>
          </w:p>
        </w:tc>
      </w:tr>
      <w:tr w:rsidR="00C94BF1" w:rsidRPr="00330BFC" w14:paraId="61B2B334" w14:textId="77777777" w:rsidTr="00C94BF1">
        <w:tc>
          <w:tcPr>
            <w:tcW w:w="3552" w:type="dxa"/>
            <w:gridSpan w:val="2"/>
            <w:tcBorders>
              <w:top w:val="single" w:sz="4" w:space="0" w:color="auto"/>
              <w:left w:val="nil"/>
              <w:bottom w:val="nil"/>
              <w:right w:val="nil"/>
            </w:tcBorders>
          </w:tcPr>
          <w:p w14:paraId="72F6DA3E" w14:textId="1040C570" w:rsidR="00C94BF1" w:rsidRPr="00330BFC" w:rsidRDefault="00C94BF1" w:rsidP="00174C3B">
            <w:pPr>
              <w:jc w:val="both"/>
              <w:rPr>
                <w:rFonts w:ascii="Arial" w:hAnsi="Arial"/>
                <w:color w:val="000000" w:themeColor="text1"/>
                <w:sz w:val="22"/>
                <w:lang w:val="fr-FR"/>
              </w:rPr>
            </w:pPr>
            <w:r w:rsidRPr="00330BFC">
              <w:rPr>
                <w:rFonts w:ascii="Arial" w:hAnsi="Arial"/>
                <w:color w:val="000000" w:themeColor="text1"/>
                <w:sz w:val="22"/>
                <w:lang w:val="fr-FR"/>
              </w:rPr>
              <w:t>Un seul passif, les bons n’apparaissent pas distinctement</w:t>
            </w:r>
          </w:p>
        </w:tc>
        <w:tc>
          <w:tcPr>
            <w:tcW w:w="525" w:type="dxa"/>
            <w:tcBorders>
              <w:top w:val="nil"/>
              <w:left w:val="nil"/>
              <w:bottom w:val="nil"/>
              <w:right w:val="nil"/>
            </w:tcBorders>
          </w:tcPr>
          <w:p w14:paraId="031F796F" w14:textId="77777777" w:rsidR="00C94BF1" w:rsidRPr="00330BFC" w:rsidRDefault="00C94BF1" w:rsidP="00174C3B">
            <w:pPr>
              <w:jc w:val="both"/>
              <w:rPr>
                <w:rFonts w:ascii="Arial" w:hAnsi="Arial"/>
                <w:color w:val="000000" w:themeColor="text1"/>
                <w:sz w:val="22"/>
                <w:lang w:val="fr-FR"/>
              </w:rPr>
            </w:pPr>
          </w:p>
        </w:tc>
        <w:tc>
          <w:tcPr>
            <w:tcW w:w="5205" w:type="dxa"/>
            <w:gridSpan w:val="2"/>
            <w:tcBorders>
              <w:top w:val="single" w:sz="4" w:space="0" w:color="auto"/>
              <w:left w:val="nil"/>
              <w:bottom w:val="nil"/>
              <w:right w:val="nil"/>
            </w:tcBorders>
          </w:tcPr>
          <w:p w14:paraId="45517999" w14:textId="77460597" w:rsidR="00C94BF1" w:rsidRPr="00330BFC" w:rsidRDefault="00C94BF1" w:rsidP="00174C3B">
            <w:pPr>
              <w:jc w:val="both"/>
              <w:rPr>
                <w:rFonts w:ascii="Arial" w:hAnsi="Arial"/>
                <w:color w:val="000000" w:themeColor="text1"/>
                <w:sz w:val="22"/>
                <w:lang w:val="fr-FR"/>
              </w:rPr>
            </w:pPr>
            <w:r w:rsidRPr="00330BFC">
              <w:rPr>
                <w:rFonts w:ascii="Arial" w:hAnsi="Arial"/>
                <w:color w:val="000000" w:themeColor="text1"/>
                <w:sz w:val="22"/>
                <w:lang w:val="fr-FR"/>
              </w:rPr>
              <w:t>Le souscripteur détient deux catégories autonomes de valeurs mobilières</w:t>
            </w:r>
          </w:p>
        </w:tc>
      </w:tr>
    </w:tbl>
    <w:p w14:paraId="3B8DCB6F" w14:textId="512AC872" w:rsidR="00C94BF1" w:rsidRDefault="00C94BF1" w:rsidP="00174C3B">
      <w:pPr>
        <w:jc w:val="both"/>
        <w:rPr>
          <w:rFonts w:ascii="Arial" w:hAnsi="Arial"/>
          <w:color w:val="000000" w:themeColor="text1"/>
          <w:sz w:val="22"/>
          <w:lang w:val="fr-FR"/>
        </w:rPr>
      </w:pPr>
    </w:p>
    <w:p w14:paraId="715898F9" w14:textId="77777777" w:rsidR="00433A7B" w:rsidRPr="00330BFC" w:rsidRDefault="00433A7B" w:rsidP="00174C3B">
      <w:pPr>
        <w:jc w:val="both"/>
        <w:rPr>
          <w:rFonts w:ascii="Arial" w:hAnsi="Arial"/>
          <w:color w:val="000000" w:themeColor="text1"/>
          <w:sz w:val="22"/>
          <w:lang w:val="fr-FR"/>
        </w:rPr>
      </w:pPr>
    </w:p>
    <w:p w14:paraId="29780365" w14:textId="7BB2EBC8" w:rsidR="006E50C2" w:rsidRPr="006431ED" w:rsidRDefault="00D703C2" w:rsidP="006431ED">
      <w:pPr>
        <w:pStyle w:val="Paragraphedeliste"/>
        <w:numPr>
          <w:ilvl w:val="0"/>
          <w:numId w:val="15"/>
        </w:numPr>
        <w:jc w:val="both"/>
        <w:rPr>
          <w:rFonts w:ascii="Arial" w:hAnsi="Arial"/>
          <w:b/>
          <w:bCs/>
          <w:color w:val="000000" w:themeColor="text1"/>
          <w:sz w:val="22"/>
          <w:u w:val="single"/>
          <w:lang w:val="fr-FR"/>
        </w:rPr>
      </w:pPr>
      <w:r w:rsidRPr="006431ED">
        <w:rPr>
          <w:rFonts w:ascii="Arial" w:hAnsi="Arial"/>
          <w:b/>
          <w:bCs/>
          <w:color w:val="000000" w:themeColor="text1"/>
          <w:sz w:val="22"/>
          <w:u w:val="single"/>
          <w:lang w:val="fr-FR"/>
        </w:rPr>
        <w:t>Directive ATAD 2</w:t>
      </w:r>
    </w:p>
    <w:p w14:paraId="3DA07351" w14:textId="2D76BD48" w:rsidR="00D703C2" w:rsidRDefault="00D703C2" w:rsidP="00174C3B">
      <w:pPr>
        <w:jc w:val="both"/>
        <w:rPr>
          <w:rFonts w:ascii="Arial" w:hAnsi="Arial"/>
          <w:color w:val="000000" w:themeColor="text1"/>
          <w:sz w:val="22"/>
          <w:lang w:val="fr-FR"/>
        </w:rPr>
      </w:pPr>
      <w:r w:rsidRPr="00330BFC">
        <w:rPr>
          <w:rFonts w:ascii="Arial" w:hAnsi="Arial"/>
          <w:color w:val="000000" w:themeColor="text1"/>
          <w:sz w:val="22"/>
          <w:lang w:val="fr-FR"/>
        </w:rPr>
        <w:t>L</w:t>
      </w:r>
      <w:r w:rsidR="00F17E14">
        <w:rPr>
          <w:rFonts w:ascii="Arial" w:hAnsi="Arial"/>
          <w:color w:val="000000" w:themeColor="text1"/>
          <w:sz w:val="22"/>
          <w:lang w:val="fr-FR"/>
        </w:rPr>
        <w:t>a</w:t>
      </w:r>
      <w:r w:rsidRPr="00330BFC">
        <w:rPr>
          <w:rFonts w:ascii="Arial" w:hAnsi="Arial"/>
          <w:color w:val="000000" w:themeColor="text1"/>
          <w:sz w:val="22"/>
          <w:lang w:val="fr-FR"/>
        </w:rPr>
        <w:t xml:space="preserve"> France a transposé la directive dans le CGI : articles 205</w:t>
      </w:r>
      <w:r w:rsidR="00330BFC" w:rsidRPr="00330BFC">
        <w:rPr>
          <w:rFonts w:ascii="Arial" w:hAnsi="Arial"/>
          <w:color w:val="000000" w:themeColor="text1"/>
          <w:sz w:val="22"/>
          <w:lang w:val="fr-FR"/>
        </w:rPr>
        <w:t xml:space="preserve"> </w:t>
      </w:r>
      <w:r w:rsidR="005E01BE">
        <w:rPr>
          <w:rFonts w:ascii="Arial" w:hAnsi="Arial"/>
          <w:color w:val="000000" w:themeColor="text1"/>
          <w:sz w:val="22"/>
          <w:lang w:val="fr-FR"/>
        </w:rPr>
        <w:t xml:space="preserve">A, </w:t>
      </w:r>
      <w:r w:rsidRPr="00330BFC">
        <w:rPr>
          <w:rFonts w:ascii="Arial" w:hAnsi="Arial"/>
          <w:color w:val="000000" w:themeColor="text1"/>
          <w:sz w:val="22"/>
          <w:lang w:val="fr-FR"/>
        </w:rPr>
        <w:t>B</w:t>
      </w:r>
      <w:r w:rsidR="00B55BD4">
        <w:rPr>
          <w:rFonts w:ascii="Arial" w:hAnsi="Arial"/>
          <w:color w:val="000000" w:themeColor="text1"/>
          <w:sz w:val="22"/>
          <w:lang w:val="fr-FR"/>
        </w:rPr>
        <w:t>, C</w:t>
      </w:r>
      <w:r w:rsidRPr="00330BFC">
        <w:rPr>
          <w:rFonts w:ascii="Arial" w:hAnsi="Arial"/>
          <w:color w:val="000000" w:themeColor="text1"/>
          <w:sz w:val="22"/>
          <w:lang w:val="fr-FR"/>
        </w:rPr>
        <w:t xml:space="preserve"> et D.</w:t>
      </w:r>
    </w:p>
    <w:p w14:paraId="35C92C18" w14:textId="15EB22C5" w:rsidR="00D01FC3" w:rsidRPr="00D01FC3" w:rsidRDefault="00D01FC3" w:rsidP="00D01FC3">
      <w:pPr>
        <w:rPr>
          <w:rFonts w:ascii="Arial" w:hAnsi="Arial" w:cs="Arial"/>
          <w:color w:val="000000" w:themeColor="text1"/>
          <w:sz w:val="22"/>
          <w:szCs w:val="22"/>
          <w:lang w:val="fr-FR"/>
        </w:rPr>
      </w:pPr>
      <w:r w:rsidRPr="00D01FC3">
        <w:rPr>
          <w:rFonts w:ascii="Arial" w:hAnsi="Arial" w:cs="Arial"/>
          <w:color w:val="000000" w:themeColor="text1"/>
          <w:sz w:val="22"/>
          <w:szCs w:val="22"/>
          <w:shd w:val="clear" w:color="auto" w:fill="FFFFFF"/>
          <w:lang w:val="fr-FR"/>
        </w:rPr>
        <w:t>Directive européenne de lutte contre les pratiques d'évasion fiscale</w:t>
      </w:r>
      <w:r>
        <w:rPr>
          <w:rFonts w:ascii="Arial" w:hAnsi="Arial" w:cs="Arial"/>
          <w:color w:val="000000" w:themeColor="text1"/>
          <w:sz w:val="22"/>
          <w:szCs w:val="22"/>
          <w:shd w:val="clear" w:color="auto" w:fill="FFFFFF"/>
          <w:lang w:val="fr-FR"/>
        </w:rPr>
        <w:t> :</w:t>
      </w:r>
    </w:p>
    <w:p w14:paraId="1BE98A06" w14:textId="77777777" w:rsidR="00D01FC3" w:rsidRPr="00330BFC" w:rsidRDefault="00D01FC3" w:rsidP="00174C3B">
      <w:pPr>
        <w:jc w:val="both"/>
        <w:rPr>
          <w:rFonts w:ascii="Arial" w:hAnsi="Arial"/>
          <w:color w:val="000000" w:themeColor="text1"/>
          <w:sz w:val="22"/>
          <w:lang w:val="fr-FR"/>
        </w:rPr>
      </w:pPr>
    </w:p>
    <w:p w14:paraId="37883E06" w14:textId="1322FFF6" w:rsidR="00D703C2" w:rsidRPr="00F17E14" w:rsidRDefault="00D703C2" w:rsidP="00330BFC">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0"/>
          <w:lang w:val="fr-FR"/>
        </w:rPr>
      </w:pPr>
      <w:r w:rsidRPr="00F17E14">
        <w:rPr>
          <w:rFonts w:ascii="Arial" w:hAnsi="Arial" w:cs="Arial"/>
          <w:i/>
          <w:iCs/>
          <w:color w:val="000000" w:themeColor="text1"/>
          <w:sz w:val="20"/>
          <w:szCs w:val="20"/>
          <w:lang w:val="fr-FR"/>
        </w:rPr>
        <w:t xml:space="preserve">1. La présente directive s'applique </w:t>
      </w:r>
      <w:proofErr w:type="spellStart"/>
      <w:r w:rsidRPr="00F17E14">
        <w:rPr>
          <w:rFonts w:ascii="Arial" w:hAnsi="Arial" w:cs="Arial"/>
          <w:i/>
          <w:iCs/>
          <w:color w:val="000000" w:themeColor="text1"/>
          <w:sz w:val="20"/>
          <w:szCs w:val="20"/>
          <w:lang w:val="fr-FR"/>
        </w:rPr>
        <w:t>a</w:t>
      </w:r>
      <w:proofErr w:type="spellEnd"/>
      <w:r w:rsidRPr="00F17E14">
        <w:rPr>
          <w:rFonts w:ascii="Arial" w:hAnsi="Arial" w:cs="Arial"/>
          <w:i/>
          <w:iCs/>
          <w:color w:val="000000" w:themeColor="text1"/>
          <w:sz w:val="20"/>
          <w:szCs w:val="20"/>
          <w:lang w:val="fr-FR"/>
        </w:rPr>
        <w:t xml:space="preserve">̀ tous les contribuables soumis à l'impôt sur les sociétés dans un ou plusieurs États membres, y compris les établissements stables, lorsqu'ils sont situés dans un ou plusieurs États membres, d'entités ayant leur résidence fiscale dans un pays tiers. </w:t>
      </w:r>
      <w:r w:rsidRPr="00F17E14">
        <w:rPr>
          <w:rStyle w:val="Appelnotedebasdep"/>
          <w:rFonts w:ascii="Arial" w:hAnsi="Arial" w:cs="Arial"/>
          <w:i/>
          <w:iCs/>
          <w:color w:val="000000" w:themeColor="text1"/>
          <w:sz w:val="20"/>
          <w:szCs w:val="20"/>
          <w:lang w:val="fr-FR"/>
        </w:rPr>
        <w:footnoteReference w:id="4"/>
      </w:r>
    </w:p>
    <w:p w14:paraId="73BC5D7E" w14:textId="77777777" w:rsidR="001143B4" w:rsidRPr="00330BFC" w:rsidRDefault="001143B4" w:rsidP="00D703C2">
      <w:pPr>
        <w:rPr>
          <w:rFonts w:ascii="Arial" w:hAnsi="Arial" w:cs="Arial"/>
          <w:color w:val="000000" w:themeColor="text1"/>
          <w:sz w:val="20"/>
          <w:szCs w:val="20"/>
        </w:rPr>
      </w:pPr>
    </w:p>
    <w:p w14:paraId="47B8EBEE" w14:textId="6F91CBC6" w:rsidR="006431ED" w:rsidRPr="00F17E14" w:rsidRDefault="00F17E14" w:rsidP="00F17E14">
      <w:pPr>
        <w:jc w:val="both"/>
        <w:rPr>
          <w:rFonts w:ascii="Arial" w:hAnsi="Arial" w:cs="Arial"/>
          <w:color w:val="000000" w:themeColor="text1"/>
          <w:sz w:val="22"/>
          <w:szCs w:val="22"/>
          <w:lang w:val="fr-FR"/>
        </w:rPr>
      </w:pPr>
      <w:r w:rsidRPr="00F17E14">
        <w:rPr>
          <w:rFonts w:ascii="Arial" w:hAnsi="Arial" w:cs="Arial"/>
          <w:color w:val="000000" w:themeColor="text1"/>
          <w:sz w:val="22"/>
          <w:szCs w:val="22"/>
          <w:lang w:val="fr-FR"/>
        </w:rPr>
        <w:t>Ces nouvelles règles concernent donc les titres hybrides faisant l’objet d’un service transfrontière</w:t>
      </w:r>
    </w:p>
    <w:p w14:paraId="58D4E018" w14:textId="77777777" w:rsidR="006431ED" w:rsidRDefault="006431ED" w:rsidP="001143B4">
      <w:pPr>
        <w:jc w:val="center"/>
        <w:rPr>
          <w:rFonts w:ascii="Arial" w:hAnsi="Arial" w:cs="Arial"/>
          <w:b/>
          <w:bCs/>
          <w:color w:val="000000" w:themeColor="text1"/>
          <w:sz w:val="20"/>
          <w:szCs w:val="20"/>
          <w:lang w:val="fr-FR"/>
        </w:rPr>
      </w:pPr>
    </w:p>
    <w:p w14:paraId="4F4E4114" w14:textId="1C3FDB83" w:rsidR="00D703C2" w:rsidRPr="006431ED" w:rsidRDefault="00D703C2" w:rsidP="001143B4">
      <w:pPr>
        <w:jc w:val="center"/>
        <w:rPr>
          <w:rFonts w:ascii="Arial" w:hAnsi="Arial" w:cs="Arial"/>
          <w:b/>
          <w:bCs/>
          <w:color w:val="000000" w:themeColor="text1"/>
          <w:sz w:val="22"/>
          <w:szCs w:val="22"/>
          <w:lang w:val="fr-FR"/>
        </w:rPr>
      </w:pPr>
      <w:r w:rsidRPr="006431ED">
        <w:rPr>
          <w:rFonts w:ascii="Arial" w:hAnsi="Arial" w:cs="Arial"/>
          <w:b/>
          <w:bCs/>
          <w:color w:val="000000" w:themeColor="text1"/>
          <w:sz w:val="22"/>
          <w:szCs w:val="22"/>
          <w:lang w:val="fr-FR"/>
        </w:rPr>
        <w:t xml:space="preserve">CGI </w:t>
      </w:r>
      <w:r w:rsidR="0049240A" w:rsidRPr="006431ED">
        <w:rPr>
          <w:rFonts w:ascii="Arial" w:hAnsi="Arial" w:cs="Arial"/>
          <w:b/>
          <w:bCs/>
          <w:color w:val="000000" w:themeColor="text1"/>
          <w:sz w:val="22"/>
          <w:szCs w:val="22"/>
          <w:lang w:val="fr-FR"/>
        </w:rPr>
        <w:t>A</w:t>
      </w:r>
      <w:r w:rsidRPr="006431ED">
        <w:rPr>
          <w:rFonts w:ascii="Arial" w:hAnsi="Arial" w:cs="Arial"/>
          <w:b/>
          <w:bCs/>
          <w:color w:val="000000" w:themeColor="text1"/>
          <w:sz w:val="22"/>
          <w:szCs w:val="22"/>
          <w:lang w:val="fr-FR"/>
        </w:rPr>
        <w:t>rticle 205 A</w:t>
      </w:r>
    </w:p>
    <w:p w14:paraId="1372D62E" w14:textId="07721C4F" w:rsidR="00D703C2" w:rsidRPr="00CE4384" w:rsidRDefault="00D703C2" w:rsidP="008A367C">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0"/>
          <w:lang w:val="fr-FR"/>
        </w:rPr>
      </w:pPr>
      <w:r w:rsidRPr="00CE4384">
        <w:rPr>
          <w:rFonts w:ascii="Arial" w:hAnsi="Arial" w:cs="Arial"/>
          <w:i/>
          <w:iCs/>
          <w:color w:val="000000" w:themeColor="text1"/>
          <w:sz w:val="20"/>
          <w:szCs w:val="20"/>
          <w:lang w:val="fr-FR"/>
        </w:rPr>
        <w:t>Pour l'établissement de l'impôt sur les sociétés</w:t>
      </w:r>
      <w:r w:rsidRPr="009C775D">
        <w:rPr>
          <w:rFonts w:ascii="Arial" w:hAnsi="Arial" w:cs="Arial"/>
          <w:b/>
          <w:bCs/>
          <w:i/>
          <w:iCs/>
          <w:color w:val="000000" w:themeColor="text1"/>
          <w:sz w:val="20"/>
          <w:szCs w:val="20"/>
          <w:lang w:val="fr-FR"/>
        </w:rPr>
        <w:t>, il n'est pas tenu compte d'un montage ou d'une série de montages qui, ayant été mis en place pour obtenir, à titre d'objectif principal ou au titre d'un des objectifs principaux, un avantage fiscal</w:t>
      </w:r>
      <w:r w:rsidRPr="00CE4384">
        <w:rPr>
          <w:rFonts w:ascii="Arial" w:hAnsi="Arial" w:cs="Arial"/>
          <w:i/>
          <w:iCs/>
          <w:color w:val="000000" w:themeColor="text1"/>
          <w:sz w:val="20"/>
          <w:szCs w:val="20"/>
          <w:lang w:val="fr-FR"/>
        </w:rPr>
        <w:t xml:space="preserve"> allant à l'encontre de l'objet ou de la finalité du droit fiscal applicable, ne sont pas authentiques compte tenu de l'ensemble des faits et circonstances pertinents.</w:t>
      </w:r>
    </w:p>
    <w:p w14:paraId="55282D27" w14:textId="77777777" w:rsidR="008A367C" w:rsidRPr="00CE4384" w:rsidRDefault="008A367C" w:rsidP="00561B46">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0"/>
          <w:lang w:val="fr-FR"/>
        </w:rPr>
      </w:pPr>
      <w:r w:rsidRPr="00CE4384">
        <w:rPr>
          <w:rFonts w:ascii="Arial" w:hAnsi="Arial" w:cs="Arial"/>
          <w:i/>
          <w:iCs/>
          <w:color w:val="000000" w:themeColor="text1"/>
          <w:sz w:val="20"/>
          <w:szCs w:val="20"/>
          <w:lang w:val="fr-FR"/>
        </w:rPr>
        <w:t>Un montage peut comprendre plusieurs étapes ou parties. </w:t>
      </w:r>
    </w:p>
    <w:p w14:paraId="3FB4C17D" w14:textId="26708612" w:rsidR="008A367C" w:rsidRPr="00CE4384" w:rsidRDefault="008A367C" w:rsidP="00561B46">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0"/>
          <w:lang w:val="fr-FR"/>
        </w:rPr>
      </w:pPr>
      <w:r w:rsidRPr="00CE4384">
        <w:rPr>
          <w:rFonts w:ascii="Arial" w:hAnsi="Arial" w:cs="Arial"/>
          <w:i/>
          <w:iCs/>
          <w:color w:val="000000" w:themeColor="text1"/>
          <w:sz w:val="20"/>
          <w:szCs w:val="20"/>
          <w:lang w:val="fr-FR"/>
        </w:rPr>
        <w:t>Aux fins du présent article, un montage ou une série de montages est considéré comme non authentique dans la mesure où ce montage ou cette série de montages n'est pas mis en place pour des motifs commerciaux valables qui reflètent la réalité économique. </w:t>
      </w:r>
    </w:p>
    <w:p w14:paraId="4580D556" w14:textId="77777777" w:rsidR="001143B4" w:rsidRPr="00330BFC" w:rsidRDefault="001143B4" w:rsidP="00174C3B">
      <w:pPr>
        <w:jc w:val="both"/>
        <w:rPr>
          <w:rFonts w:ascii="Arial" w:hAnsi="Arial" w:cs="Arial"/>
          <w:b/>
          <w:bCs/>
          <w:color w:val="000000" w:themeColor="text1"/>
          <w:sz w:val="22"/>
          <w:szCs w:val="22"/>
        </w:rPr>
      </w:pPr>
    </w:p>
    <w:p w14:paraId="188412A4" w14:textId="77777777" w:rsidR="001143B4" w:rsidRPr="00330BFC" w:rsidRDefault="001143B4" w:rsidP="00174C3B">
      <w:pPr>
        <w:jc w:val="both"/>
        <w:rPr>
          <w:rFonts w:ascii="Arial" w:hAnsi="Arial" w:cs="Arial"/>
          <w:b/>
          <w:bCs/>
          <w:color w:val="000000" w:themeColor="text1"/>
          <w:sz w:val="22"/>
          <w:szCs w:val="22"/>
        </w:rPr>
      </w:pPr>
    </w:p>
    <w:p w14:paraId="402FC65F" w14:textId="022F43E7" w:rsidR="002155F6" w:rsidRPr="00330BFC" w:rsidRDefault="002155F6" w:rsidP="002155F6">
      <w:pPr>
        <w:jc w:val="center"/>
        <w:rPr>
          <w:rFonts w:ascii="Arial" w:hAnsi="Arial" w:cs="Arial"/>
          <w:b/>
          <w:bCs/>
          <w:color w:val="000000" w:themeColor="text1"/>
          <w:sz w:val="22"/>
          <w:szCs w:val="22"/>
          <w:lang w:val="fr-FR"/>
        </w:rPr>
      </w:pPr>
      <w:r w:rsidRPr="00330BFC">
        <w:rPr>
          <w:rFonts w:ascii="Arial" w:hAnsi="Arial" w:cs="Arial"/>
          <w:b/>
          <w:bCs/>
          <w:color w:val="000000" w:themeColor="text1"/>
          <w:sz w:val="22"/>
          <w:szCs w:val="22"/>
          <w:lang w:val="fr-FR"/>
        </w:rPr>
        <w:t>CGI article 205 B</w:t>
      </w:r>
    </w:p>
    <w:p w14:paraId="15625150" w14:textId="53AA0216" w:rsidR="004D27CC" w:rsidRPr="00CE4384" w:rsidRDefault="004D27CC" w:rsidP="00CE4384">
      <w:pPr>
        <w:pBdr>
          <w:top w:val="single" w:sz="4" w:space="1" w:color="auto"/>
          <w:left w:val="single" w:sz="4" w:space="4" w:color="auto"/>
          <w:bottom w:val="single" w:sz="4" w:space="1" w:color="auto"/>
          <w:right w:val="single" w:sz="4" w:space="4" w:color="auto"/>
        </w:pBdr>
        <w:rPr>
          <w:rFonts w:ascii="Arial" w:hAnsi="Arial" w:cs="Arial"/>
          <w:i/>
          <w:iCs/>
          <w:color w:val="000000" w:themeColor="text1"/>
          <w:sz w:val="20"/>
          <w:szCs w:val="20"/>
          <w:lang w:val="fr-FR"/>
        </w:rPr>
      </w:pPr>
      <w:r w:rsidRPr="00CE4384">
        <w:rPr>
          <w:rFonts w:ascii="Arial" w:hAnsi="Arial" w:cs="Arial"/>
          <w:color w:val="000000"/>
          <w:sz w:val="20"/>
          <w:szCs w:val="20"/>
          <w:lang w:val="fr-FR"/>
        </w:rPr>
        <w:t>I.- Pour l'application du présent article… est entendu par :</w:t>
      </w:r>
    </w:p>
    <w:p w14:paraId="4B4FCBCE" w14:textId="7848A156" w:rsidR="00330BFC" w:rsidRPr="00CE4384" w:rsidRDefault="001143B4" w:rsidP="00CE4384">
      <w:pPr>
        <w:pBdr>
          <w:top w:val="single" w:sz="4" w:space="1" w:color="auto"/>
          <w:left w:val="single" w:sz="4" w:space="4" w:color="auto"/>
          <w:bottom w:val="single" w:sz="4" w:space="1" w:color="auto"/>
          <w:right w:val="single" w:sz="4" w:space="4" w:color="auto"/>
        </w:pBdr>
        <w:rPr>
          <w:rFonts w:ascii="Arial" w:hAnsi="Arial" w:cs="Arial"/>
          <w:i/>
          <w:iCs/>
          <w:color w:val="000000" w:themeColor="text1"/>
          <w:sz w:val="20"/>
          <w:szCs w:val="20"/>
          <w:lang w:val="fr-FR"/>
        </w:rPr>
      </w:pPr>
      <w:r w:rsidRPr="009C775D">
        <w:rPr>
          <w:rFonts w:ascii="Arial" w:hAnsi="Arial" w:cs="Arial"/>
          <w:b/>
          <w:bCs/>
          <w:i/>
          <w:iCs/>
          <w:color w:val="000000" w:themeColor="text1"/>
          <w:sz w:val="20"/>
          <w:szCs w:val="20"/>
          <w:lang w:val="fr-FR"/>
        </w:rPr>
        <w:t>Dispositif hybride</w:t>
      </w:r>
      <w:r w:rsidRPr="00CE4384">
        <w:rPr>
          <w:rFonts w:ascii="Arial" w:hAnsi="Arial" w:cs="Arial"/>
          <w:i/>
          <w:iCs/>
          <w:color w:val="000000" w:themeColor="text1"/>
          <w:sz w:val="20"/>
          <w:szCs w:val="20"/>
          <w:lang w:val="fr-FR"/>
        </w:rPr>
        <w:t xml:space="preserve"> : une situation dans laquelle :</w:t>
      </w:r>
      <w:r w:rsidRPr="00CE4384">
        <w:rPr>
          <w:rFonts w:ascii="Arial" w:hAnsi="Arial" w:cs="Arial"/>
          <w:i/>
          <w:iCs/>
          <w:color w:val="000000" w:themeColor="text1"/>
          <w:sz w:val="20"/>
          <w:szCs w:val="20"/>
          <w:lang w:val="fr-FR"/>
        </w:rPr>
        <w:br/>
        <w:t xml:space="preserve">a) Un paiement effectué au titre d'un instrument financier donne lieu à une </w:t>
      </w:r>
      <w:r w:rsidRPr="009C775D">
        <w:rPr>
          <w:rFonts w:ascii="Arial" w:hAnsi="Arial" w:cs="Arial"/>
          <w:b/>
          <w:bCs/>
          <w:i/>
          <w:iCs/>
          <w:color w:val="000000" w:themeColor="text1"/>
          <w:sz w:val="20"/>
          <w:szCs w:val="20"/>
          <w:lang w:val="fr-FR"/>
        </w:rPr>
        <w:t>charge déductible dans l'État de résidence du débiteur sans être inclus dans les revenus imposables dans l'État de résidence du bénéficiaire</w:t>
      </w:r>
      <w:r w:rsidRPr="00CE4384">
        <w:rPr>
          <w:rFonts w:ascii="Arial" w:hAnsi="Arial" w:cs="Arial"/>
          <w:i/>
          <w:iCs/>
          <w:color w:val="000000" w:themeColor="text1"/>
          <w:sz w:val="20"/>
          <w:szCs w:val="20"/>
          <w:lang w:val="fr-FR"/>
        </w:rPr>
        <w:t>, lorsque cet effet d'asymétrie est imputable aux différences de qualification fiscale de l'instrument ou du paiement lui-même ;</w:t>
      </w:r>
    </w:p>
    <w:p w14:paraId="6ADBEF23" w14:textId="7DE5C780" w:rsidR="008A367C" w:rsidRPr="00CE4384" w:rsidRDefault="008A367C" w:rsidP="00CE4384">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0"/>
          <w:lang w:val="fr-FR"/>
        </w:rPr>
      </w:pPr>
      <w:r w:rsidRPr="00CE4384">
        <w:rPr>
          <w:rFonts w:ascii="Arial" w:hAnsi="Arial" w:cs="Arial"/>
          <w:i/>
          <w:iCs/>
          <w:color w:val="000000" w:themeColor="text1"/>
          <w:sz w:val="20"/>
          <w:szCs w:val="20"/>
          <w:lang w:val="fr-FR"/>
        </w:rPr>
        <w:lastRenderedPageBreak/>
        <w:t xml:space="preserve">b) </w:t>
      </w:r>
      <w:r w:rsidR="00330BFC" w:rsidRPr="00CE4384">
        <w:rPr>
          <w:rFonts w:ascii="Arial" w:hAnsi="Arial" w:cs="Arial"/>
          <w:i/>
          <w:iCs/>
          <w:color w:val="000000" w:themeColor="text1"/>
          <w:sz w:val="20"/>
          <w:szCs w:val="20"/>
          <w:lang w:val="fr-FR"/>
        </w:rPr>
        <w:t xml:space="preserve">… </w:t>
      </w:r>
      <w:r w:rsidRPr="00CE4384">
        <w:rPr>
          <w:rFonts w:ascii="Arial" w:hAnsi="Arial" w:cs="Arial"/>
          <w:i/>
          <w:iCs/>
          <w:color w:val="000000" w:themeColor="text1"/>
          <w:sz w:val="20"/>
          <w:szCs w:val="20"/>
          <w:lang w:val="fr-FR"/>
        </w:rPr>
        <w:t>lorsque cet effet d'asymétrie est imputable aux différences dans l'attribution des paiements versés à l'entité hybride en application des règles de l'État de résidence de l'entité hybride et des règles de l'État de résidence de toute personne détentrice d'une participation dans cette entité hybride ;</w:t>
      </w:r>
    </w:p>
    <w:p w14:paraId="382FAF48" w14:textId="1E244DC9" w:rsidR="008A367C" w:rsidRPr="00CE4384" w:rsidRDefault="008A367C" w:rsidP="00CE4384">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0"/>
          <w:lang w:val="fr-FR"/>
        </w:rPr>
      </w:pPr>
      <w:r w:rsidRPr="00CE4384">
        <w:rPr>
          <w:rFonts w:ascii="Arial" w:hAnsi="Arial" w:cs="Arial"/>
          <w:i/>
          <w:iCs/>
          <w:color w:val="000000" w:themeColor="text1"/>
          <w:sz w:val="20"/>
          <w:szCs w:val="20"/>
          <w:lang w:val="fr-FR"/>
        </w:rPr>
        <w:t xml:space="preserve">c) </w:t>
      </w:r>
      <w:r w:rsidR="00330BFC" w:rsidRPr="00CE4384">
        <w:rPr>
          <w:rFonts w:ascii="Arial" w:hAnsi="Arial" w:cs="Arial"/>
          <w:i/>
          <w:iCs/>
          <w:color w:val="000000" w:themeColor="text1"/>
          <w:sz w:val="20"/>
          <w:szCs w:val="20"/>
          <w:lang w:val="fr-FR"/>
        </w:rPr>
        <w:t xml:space="preserve">… </w:t>
      </w:r>
      <w:r w:rsidRPr="00CE4384">
        <w:rPr>
          <w:rFonts w:ascii="Arial" w:hAnsi="Arial" w:cs="Arial"/>
          <w:i/>
          <w:iCs/>
          <w:color w:val="000000" w:themeColor="text1"/>
          <w:sz w:val="20"/>
          <w:szCs w:val="20"/>
          <w:lang w:val="fr-FR"/>
        </w:rPr>
        <w:t>lorsque cet effet d'asymétrie est imputable aux différences dans l'attribution des paiements entre le siège et l'établissement ou entre deux ou plusieurs établissements de la même entité en application des règles des États dans lesquels l'entité exerce ses activités ;</w:t>
      </w:r>
    </w:p>
    <w:p w14:paraId="559C1D75" w14:textId="77777777" w:rsidR="008A367C" w:rsidRPr="00CE4384" w:rsidRDefault="008A367C" w:rsidP="00CE4384">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0"/>
          <w:lang w:val="fr-FR"/>
        </w:rPr>
      </w:pPr>
      <w:r w:rsidRPr="00CE4384">
        <w:rPr>
          <w:rFonts w:ascii="Arial" w:hAnsi="Arial" w:cs="Arial"/>
          <w:i/>
          <w:iCs/>
          <w:color w:val="000000" w:themeColor="text1"/>
          <w:sz w:val="20"/>
          <w:szCs w:val="20"/>
          <w:lang w:val="fr-FR"/>
        </w:rPr>
        <w:t>d) Un paiement en faveur d'un établissement donne lieu à une charge déductible dans l'État de résidence du débiteur sans être inclus dans les revenus imposables de cet établissement dans un autre État du fait de la non prise en compte de cet établissement par cet autre État ;</w:t>
      </w:r>
    </w:p>
    <w:p w14:paraId="3A123FD3" w14:textId="444AC91E" w:rsidR="008A367C" w:rsidRPr="00CE4384" w:rsidRDefault="008A367C" w:rsidP="00CE4384">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0"/>
          <w:lang w:val="fr-FR"/>
        </w:rPr>
      </w:pPr>
      <w:r w:rsidRPr="00CE4384">
        <w:rPr>
          <w:rFonts w:ascii="Arial" w:hAnsi="Arial" w:cs="Arial"/>
          <w:i/>
          <w:iCs/>
          <w:color w:val="000000" w:themeColor="text1"/>
          <w:sz w:val="20"/>
          <w:szCs w:val="20"/>
          <w:lang w:val="fr-FR"/>
        </w:rPr>
        <w:t xml:space="preserve">e) </w:t>
      </w:r>
      <w:r w:rsidR="00330BFC" w:rsidRPr="00CE4384">
        <w:rPr>
          <w:rFonts w:ascii="Arial" w:hAnsi="Arial" w:cs="Arial"/>
          <w:i/>
          <w:iCs/>
          <w:color w:val="000000" w:themeColor="text1"/>
          <w:sz w:val="20"/>
          <w:szCs w:val="20"/>
          <w:lang w:val="fr-FR"/>
        </w:rPr>
        <w:t xml:space="preserve">… </w:t>
      </w:r>
      <w:r w:rsidRPr="00CE4384">
        <w:rPr>
          <w:rFonts w:ascii="Arial" w:hAnsi="Arial" w:cs="Arial"/>
          <w:i/>
          <w:iCs/>
          <w:color w:val="000000" w:themeColor="text1"/>
          <w:sz w:val="20"/>
          <w:szCs w:val="20"/>
          <w:lang w:val="fr-FR"/>
        </w:rPr>
        <w:t>lorsque cet effet d'asymétrie est imputable à la non prise en compte du paiement par l'État de résidence du bénéficiaire ;</w:t>
      </w:r>
    </w:p>
    <w:p w14:paraId="04126409" w14:textId="40A2983D" w:rsidR="00330BFC" w:rsidRPr="00CE4384" w:rsidRDefault="00330BFC" w:rsidP="00CE4384">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0"/>
          <w:lang w:val="fr-FR"/>
        </w:rPr>
      </w:pPr>
      <w:r w:rsidRPr="00CE4384">
        <w:rPr>
          <w:rFonts w:ascii="Arial" w:hAnsi="Arial" w:cs="Arial"/>
          <w:i/>
          <w:iCs/>
          <w:color w:val="000000" w:themeColor="text1"/>
          <w:sz w:val="20"/>
          <w:szCs w:val="20"/>
          <w:lang w:val="fr-FR"/>
        </w:rPr>
        <w:t>…</w:t>
      </w:r>
    </w:p>
    <w:p w14:paraId="47E40B3D" w14:textId="2FC24BC3" w:rsidR="00515F79" w:rsidRPr="00CE4384" w:rsidRDefault="00515F79" w:rsidP="00CE4384">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0"/>
          <w:lang w:val="fr-FR"/>
        </w:rPr>
      </w:pPr>
      <w:r w:rsidRPr="00CE4384">
        <w:rPr>
          <w:rFonts w:ascii="Arial" w:hAnsi="Arial" w:cs="Arial"/>
          <w:i/>
          <w:iCs/>
          <w:color w:val="000000" w:themeColor="text1"/>
          <w:sz w:val="20"/>
          <w:szCs w:val="20"/>
          <w:lang w:val="fr-FR"/>
        </w:rPr>
        <w:t>III.-1. Lorsqu'un paiement effectué dans le cadre d'un dispositif hybride mentionné aux a à f du 1° du I donne lieu à :</w:t>
      </w:r>
    </w:p>
    <w:p w14:paraId="38B72285" w14:textId="54AED739" w:rsidR="00515F79" w:rsidRPr="00CE4384" w:rsidRDefault="00515F79" w:rsidP="00CE4384">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0"/>
          <w:lang w:val="fr-FR"/>
        </w:rPr>
      </w:pPr>
      <w:r w:rsidRPr="00CE4384">
        <w:rPr>
          <w:rFonts w:ascii="Arial" w:hAnsi="Arial" w:cs="Arial"/>
          <w:i/>
          <w:iCs/>
          <w:color w:val="000000" w:themeColor="text1"/>
          <w:sz w:val="20"/>
          <w:szCs w:val="20"/>
          <w:lang w:val="fr-FR"/>
        </w:rPr>
        <w:t>a) une charge déductible de l'assiette de l'impôt sur les sociétés dans les conditions de droit commun, sans être inclus dans les résultats soumis à un impôt équivalent à l'impôt sur les sociétés dans l'État de résidence du bénéficiaire, cette charge n'est pas admise en déduction</w:t>
      </w:r>
    </w:p>
    <w:p w14:paraId="5AE71FA4" w14:textId="0B50A478" w:rsidR="00515F79" w:rsidRPr="00CE4384" w:rsidRDefault="00515F79" w:rsidP="00CE4384">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0"/>
          <w:lang w:val="fr-FR"/>
        </w:rPr>
      </w:pPr>
      <w:r w:rsidRPr="00CE4384">
        <w:rPr>
          <w:rFonts w:ascii="Arial" w:hAnsi="Arial" w:cs="Arial"/>
          <w:i/>
          <w:iCs/>
          <w:color w:val="000000" w:themeColor="text1"/>
          <w:sz w:val="20"/>
          <w:szCs w:val="20"/>
          <w:lang w:val="fr-FR"/>
        </w:rPr>
        <w:t>…</w:t>
      </w:r>
    </w:p>
    <w:p w14:paraId="2A8DB7A6" w14:textId="65842BA1" w:rsidR="00515F79" w:rsidRPr="00515F79" w:rsidRDefault="00515F79" w:rsidP="00515F79">
      <w:pPr>
        <w:jc w:val="both"/>
        <w:rPr>
          <w:rFonts w:ascii="Arial" w:hAnsi="Arial" w:cs="Arial"/>
          <w:i/>
          <w:iCs/>
          <w:color w:val="000000" w:themeColor="text1"/>
          <w:sz w:val="22"/>
          <w:szCs w:val="22"/>
          <w:lang w:val="fr-FR"/>
        </w:rPr>
      </w:pPr>
    </w:p>
    <w:p w14:paraId="3C70E558" w14:textId="64206AB5" w:rsidR="00330BFC" w:rsidRPr="002507A7" w:rsidRDefault="00982D71" w:rsidP="00330BFC">
      <w:pPr>
        <w:jc w:val="both"/>
        <w:rPr>
          <w:rFonts w:ascii="Arial" w:hAnsi="Arial" w:cs="Arial"/>
          <w:b/>
          <w:bCs/>
          <w:caps/>
          <w:color w:val="000000" w:themeColor="text1"/>
          <w:sz w:val="22"/>
          <w:szCs w:val="22"/>
          <w:lang w:val="fr-FR"/>
        </w:rPr>
      </w:pPr>
      <w:r w:rsidRPr="002507A7">
        <w:rPr>
          <w:rFonts w:ascii="Arial" w:hAnsi="Arial" w:cs="Arial"/>
          <w:b/>
          <w:bCs/>
          <w:caps/>
          <w:color w:val="000000" w:themeColor="text1"/>
          <w:sz w:val="22"/>
          <w:szCs w:val="22"/>
          <w:lang w:val="fr-FR"/>
        </w:rPr>
        <w:t>Dispositif structur</w:t>
      </w:r>
      <w:r w:rsidR="00C65D14">
        <w:rPr>
          <w:rFonts w:ascii="Arial" w:hAnsi="Arial" w:cs="Arial"/>
          <w:b/>
          <w:bCs/>
          <w:caps/>
          <w:color w:val="000000" w:themeColor="text1"/>
          <w:sz w:val="22"/>
          <w:szCs w:val="22"/>
          <w:lang w:val="fr-FR"/>
        </w:rPr>
        <w:t>É</w:t>
      </w:r>
    </w:p>
    <w:p w14:paraId="4FF5EFE4" w14:textId="6C3AFC9F" w:rsidR="005E01BE" w:rsidRDefault="00982D71" w:rsidP="00330BFC">
      <w:pPr>
        <w:jc w:val="both"/>
        <w:rPr>
          <w:rFonts w:ascii="Arial" w:hAnsi="Arial" w:cs="Arial"/>
          <w:color w:val="262626"/>
          <w:sz w:val="22"/>
          <w:szCs w:val="22"/>
          <w:u w:color="0A3257"/>
          <w:lang w:val="fr-FR"/>
        </w:rPr>
      </w:pPr>
      <w:r w:rsidRPr="00982D71">
        <w:rPr>
          <w:rFonts w:ascii="Arial" w:hAnsi="Arial" w:cs="Arial"/>
          <w:color w:val="262626"/>
          <w:sz w:val="22"/>
          <w:szCs w:val="22"/>
          <w:u w:color="0A3257"/>
          <w:lang w:val="fr-FR"/>
        </w:rPr>
        <w:t>Constitue un dispositif structuré le dispositif utilisant un dispositif hybride et dont les termes intègrent la valorisation de l'effet d'asymétrie</w:t>
      </w:r>
      <w:r>
        <w:rPr>
          <w:rFonts w:ascii="Arial" w:hAnsi="Arial" w:cs="Arial"/>
          <w:color w:val="262626"/>
          <w:sz w:val="22"/>
          <w:szCs w:val="22"/>
          <w:u w:color="0A3257"/>
          <w:lang w:val="fr-FR"/>
        </w:rPr>
        <w:t xml:space="preserve">. </w:t>
      </w:r>
      <w:r w:rsidRPr="00982D71">
        <w:rPr>
          <w:rFonts w:ascii="Arial" w:hAnsi="Arial" w:cs="Arial"/>
          <w:color w:val="262626"/>
          <w:sz w:val="22"/>
          <w:szCs w:val="22"/>
          <w:u w:color="0A3257"/>
          <w:lang w:val="fr-FR"/>
        </w:rPr>
        <w:t xml:space="preserve">A titre d'exemple, un prêt qui serait traité dans un autre </w:t>
      </w:r>
      <w:r w:rsidR="00825F26" w:rsidRPr="00982D71">
        <w:rPr>
          <w:rFonts w:ascii="Arial" w:hAnsi="Arial" w:cs="Arial"/>
          <w:color w:val="262626"/>
          <w:sz w:val="22"/>
          <w:szCs w:val="22"/>
          <w:u w:color="0A3257"/>
          <w:lang w:val="fr-FR"/>
        </w:rPr>
        <w:t>État</w:t>
      </w:r>
      <w:r w:rsidRPr="00982D71">
        <w:rPr>
          <w:rFonts w:ascii="Arial" w:hAnsi="Arial" w:cs="Arial"/>
          <w:color w:val="262626"/>
          <w:sz w:val="22"/>
          <w:szCs w:val="22"/>
          <w:u w:color="0A3257"/>
          <w:lang w:val="fr-FR"/>
        </w:rPr>
        <w:t xml:space="preserve"> comme un instrument de capitaux propres et dont la rémunération est minorée d'un montant correspondant à l'économie d'impôt que réalise l'emprunteur en raison de l'asymétrie hybride générée par le prêt doit être considéré comme un dispositif structuré.</w:t>
      </w:r>
      <w:r>
        <w:rPr>
          <w:rStyle w:val="Appelnotedebasdep"/>
          <w:rFonts w:ascii="Arial" w:hAnsi="Arial" w:cs="Arial"/>
          <w:color w:val="262626"/>
          <w:sz w:val="22"/>
          <w:szCs w:val="22"/>
          <w:u w:color="0A3257"/>
          <w:lang w:val="fr-FR"/>
        </w:rPr>
        <w:footnoteReference w:id="5"/>
      </w:r>
    </w:p>
    <w:p w14:paraId="2DFA3E53" w14:textId="3DBDAD02" w:rsidR="00825F26" w:rsidRDefault="00825F26" w:rsidP="00330BFC">
      <w:pPr>
        <w:jc w:val="both"/>
        <w:rPr>
          <w:rFonts w:ascii="Arial" w:hAnsi="Arial" w:cs="Arial"/>
          <w:color w:val="262626"/>
          <w:sz w:val="22"/>
          <w:szCs w:val="22"/>
          <w:u w:color="0A3257"/>
          <w:lang w:val="fr-FR"/>
        </w:rPr>
      </w:pPr>
    </w:p>
    <w:p w14:paraId="30A308EF" w14:textId="2DFF674B" w:rsidR="002507A7" w:rsidRPr="002507A7" w:rsidRDefault="002507A7" w:rsidP="00330BFC">
      <w:pPr>
        <w:jc w:val="both"/>
        <w:rPr>
          <w:rFonts w:ascii="Arial" w:hAnsi="Arial" w:cs="Arial"/>
          <w:b/>
          <w:bCs/>
          <w:color w:val="262626"/>
          <w:sz w:val="22"/>
          <w:szCs w:val="22"/>
          <w:u w:color="0A3257"/>
          <w:lang w:val="fr-FR"/>
        </w:rPr>
      </w:pPr>
      <w:r w:rsidRPr="002507A7">
        <w:rPr>
          <w:rFonts w:ascii="Arial" w:hAnsi="Arial" w:cs="Arial"/>
          <w:b/>
          <w:bCs/>
          <w:color w:val="262626"/>
          <w:sz w:val="22"/>
          <w:szCs w:val="22"/>
          <w:u w:color="0A3257"/>
          <w:lang w:val="fr-FR"/>
        </w:rPr>
        <w:t>INCLUSION</w:t>
      </w:r>
    </w:p>
    <w:p w14:paraId="02695F4B" w14:textId="15BB6126" w:rsidR="002507A7" w:rsidRPr="002507A7" w:rsidRDefault="002507A7" w:rsidP="002507A7">
      <w:pPr>
        <w:jc w:val="both"/>
        <w:rPr>
          <w:rFonts w:ascii="Arial" w:hAnsi="Arial" w:cs="Arial"/>
          <w:color w:val="262626"/>
          <w:sz w:val="22"/>
          <w:szCs w:val="22"/>
          <w:u w:color="0A3257"/>
          <w:lang w:val="fr-FR"/>
        </w:rPr>
      </w:pPr>
      <w:r w:rsidRPr="002507A7">
        <w:rPr>
          <w:rFonts w:ascii="Arial" w:hAnsi="Arial" w:cs="Arial"/>
          <w:color w:val="262626"/>
          <w:sz w:val="22"/>
          <w:szCs w:val="22"/>
          <w:u w:color="0A3257"/>
          <w:lang w:val="fr-FR"/>
        </w:rPr>
        <w:t>L</w:t>
      </w:r>
      <w:r>
        <w:rPr>
          <w:rFonts w:ascii="Arial" w:hAnsi="Arial" w:cs="Arial"/>
          <w:color w:val="262626"/>
          <w:sz w:val="22"/>
          <w:szCs w:val="22"/>
          <w:u w:color="0A3257"/>
          <w:lang w:val="fr-FR"/>
        </w:rPr>
        <w:t>’</w:t>
      </w:r>
      <w:r w:rsidRPr="002507A7">
        <w:rPr>
          <w:rFonts w:ascii="Arial" w:hAnsi="Arial" w:cs="Arial"/>
          <w:color w:val="262626"/>
          <w:sz w:val="22"/>
          <w:szCs w:val="22"/>
          <w:u w:color="0A3257"/>
          <w:lang w:val="fr-FR"/>
        </w:rPr>
        <w:t xml:space="preserve">inclusion consiste en la prise en compte d'un paiement dans le revenu imposable de son bénéficiaire en application des règles de son </w:t>
      </w:r>
      <w:r w:rsidR="00167C1F" w:rsidRPr="002507A7">
        <w:rPr>
          <w:rFonts w:ascii="Arial" w:hAnsi="Arial" w:cs="Arial"/>
          <w:color w:val="262626"/>
          <w:sz w:val="22"/>
          <w:szCs w:val="22"/>
          <w:u w:color="0A3257"/>
          <w:lang w:val="fr-FR"/>
        </w:rPr>
        <w:t>État</w:t>
      </w:r>
      <w:r w:rsidRPr="002507A7">
        <w:rPr>
          <w:rFonts w:ascii="Arial" w:hAnsi="Arial" w:cs="Arial"/>
          <w:color w:val="262626"/>
          <w:sz w:val="22"/>
          <w:szCs w:val="22"/>
          <w:u w:color="0A3257"/>
          <w:lang w:val="fr-FR"/>
        </w:rPr>
        <w:t xml:space="preserve"> de résidence.</w:t>
      </w:r>
    </w:p>
    <w:p w14:paraId="6B5C4CF2" w14:textId="77777777" w:rsidR="002507A7" w:rsidRPr="002507A7" w:rsidRDefault="002507A7" w:rsidP="002507A7">
      <w:pPr>
        <w:jc w:val="both"/>
        <w:rPr>
          <w:rFonts w:ascii="Arial" w:hAnsi="Arial" w:cs="Arial"/>
          <w:color w:val="262626"/>
          <w:sz w:val="22"/>
          <w:szCs w:val="22"/>
          <w:u w:color="0A3257"/>
          <w:lang w:val="fr-FR"/>
        </w:rPr>
      </w:pPr>
      <w:r w:rsidRPr="002507A7">
        <w:rPr>
          <w:rFonts w:ascii="Arial" w:hAnsi="Arial" w:cs="Arial"/>
          <w:color w:val="262626"/>
          <w:sz w:val="22"/>
          <w:szCs w:val="22"/>
          <w:u w:color="0A3257"/>
          <w:lang w:val="fr-FR"/>
        </w:rPr>
        <w:t>Ainsi, il y a déduction sans inclusion lorsqu’un paiement donne lieu à une déduction chez le débiteur du paiement sans entraîner la constatation d'un produit imposable dans le résultat fiscal du bénéficiaire du paiement au titre de l’exercice au cours duquel le paiement a été déduit par le débiteur.</w:t>
      </w:r>
    </w:p>
    <w:p w14:paraId="3A2A7978" w14:textId="77777777" w:rsidR="002507A7" w:rsidRDefault="002507A7" w:rsidP="00330BFC">
      <w:pPr>
        <w:jc w:val="both"/>
        <w:rPr>
          <w:rFonts w:ascii="Arial" w:hAnsi="Arial" w:cs="Arial"/>
          <w:color w:val="262626"/>
          <w:sz w:val="22"/>
          <w:szCs w:val="22"/>
          <w:u w:color="0A3257"/>
          <w:lang w:val="fr-FR"/>
        </w:rPr>
      </w:pPr>
    </w:p>
    <w:p w14:paraId="4B1247A4" w14:textId="7AA0DA2A" w:rsidR="00825F26" w:rsidRPr="002507A7" w:rsidRDefault="002507A7" w:rsidP="00330BFC">
      <w:pPr>
        <w:jc w:val="both"/>
        <w:rPr>
          <w:rFonts w:ascii="Arial" w:hAnsi="Arial" w:cs="Arial"/>
          <w:b/>
          <w:bCs/>
          <w:color w:val="000000" w:themeColor="text1"/>
          <w:sz w:val="22"/>
          <w:szCs w:val="22"/>
          <w:lang w:val="fr-FR"/>
        </w:rPr>
      </w:pPr>
      <w:r w:rsidRPr="002507A7">
        <w:rPr>
          <w:rFonts w:ascii="Arial" w:hAnsi="Arial" w:cs="Arial"/>
          <w:b/>
          <w:bCs/>
          <w:color w:val="000000" w:themeColor="text1"/>
          <w:sz w:val="22"/>
          <w:szCs w:val="22"/>
          <w:lang w:val="fr-FR"/>
        </w:rPr>
        <w:t>DISPOSITIF HYBRIDE INVERSÉ</w:t>
      </w:r>
    </w:p>
    <w:p w14:paraId="5A65C0C4" w14:textId="1C109F45" w:rsidR="002507A7" w:rsidRPr="002507A7" w:rsidRDefault="002507A7" w:rsidP="002507A7">
      <w:pPr>
        <w:jc w:val="both"/>
        <w:rPr>
          <w:rFonts w:ascii="Arial" w:hAnsi="Arial" w:cs="Arial"/>
          <w:color w:val="000000" w:themeColor="text1"/>
          <w:sz w:val="22"/>
          <w:szCs w:val="22"/>
          <w:lang w:val="fr-FR"/>
        </w:rPr>
      </w:pPr>
      <w:r w:rsidRPr="002507A7">
        <w:rPr>
          <w:rFonts w:ascii="Arial" w:hAnsi="Arial" w:cs="Arial"/>
          <w:color w:val="000000" w:themeColor="text1"/>
          <w:sz w:val="22"/>
          <w:szCs w:val="22"/>
          <w:lang w:val="fr-FR"/>
        </w:rPr>
        <w:t xml:space="preserve">On convient habituellement que l’entité hybride devrait être implantée dans un état tiers permettant de bénéficier d’un régime fiscal favorable. </w:t>
      </w:r>
      <w:r>
        <w:rPr>
          <w:rFonts w:ascii="Arial" w:hAnsi="Arial" w:cs="Arial"/>
          <w:color w:val="000000" w:themeColor="text1"/>
          <w:sz w:val="22"/>
          <w:szCs w:val="22"/>
          <w:lang w:val="fr-FR"/>
        </w:rPr>
        <w:t xml:space="preserve">La pratique a cependant conçu le dispositif inversé : </w:t>
      </w:r>
      <w:r w:rsidRPr="002507A7">
        <w:rPr>
          <w:rFonts w:ascii="Arial" w:hAnsi="Arial" w:cs="Arial"/>
          <w:color w:val="000000" w:themeColor="text1"/>
          <w:sz w:val="22"/>
          <w:szCs w:val="22"/>
          <w:lang w:val="fr-FR"/>
        </w:rPr>
        <w:t>Dispositif dans lequel une ou plusieurs entreprises associées détenant ensemble un intérêt direct ou indirect dans au moins 50 % du capital, des droits de vote ou des droits aux bénéfices d'une entité hybride constituée ou établie dans un État membre de l'Union européenne, sont établies dans un ou plusieurs États qui considèrent cette entité comme une personne imposable</w:t>
      </w:r>
    </w:p>
    <w:p w14:paraId="07DE724D" w14:textId="509B33AA" w:rsidR="002507A7" w:rsidRDefault="002507A7" w:rsidP="002507A7">
      <w:pPr>
        <w:jc w:val="both"/>
        <w:rPr>
          <w:rFonts w:ascii="Arial" w:hAnsi="Arial" w:cs="Arial"/>
          <w:color w:val="000000" w:themeColor="text1"/>
          <w:sz w:val="22"/>
          <w:szCs w:val="22"/>
          <w:lang w:val="fr-FR"/>
        </w:rPr>
      </w:pPr>
      <w:r w:rsidRPr="002507A7">
        <w:rPr>
          <w:rFonts w:ascii="Arial" w:hAnsi="Arial" w:cs="Arial"/>
          <w:color w:val="000000" w:themeColor="text1"/>
          <w:sz w:val="22"/>
          <w:szCs w:val="22"/>
          <w:lang w:val="fr-FR"/>
        </w:rPr>
        <w:t>Un dispositif hybride inversé suppose donc que l'entité hybride résidente d'un État membre de l’Union européenne soit considérée par la législation de ce même État comme non imposable.</w:t>
      </w:r>
    </w:p>
    <w:p w14:paraId="3AE1AED1" w14:textId="1EA1C95E" w:rsidR="002507A7" w:rsidRDefault="002507A7" w:rsidP="00330BFC">
      <w:pPr>
        <w:jc w:val="both"/>
        <w:rPr>
          <w:rFonts w:ascii="Arial" w:hAnsi="Arial" w:cs="Arial"/>
          <w:color w:val="000000" w:themeColor="text1"/>
          <w:sz w:val="22"/>
          <w:szCs w:val="22"/>
          <w:lang w:val="fr-FR"/>
        </w:rPr>
      </w:pPr>
    </w:p>
    <w:p w14:paraId="3FB6E6D4" w14:textId="77777777" w:rsidR="00584DDB" w:rsidRPr="002507A7" w:rsidRDefault="00584DDB" w:rsidP="00330BFC">
      <w:pPr>
        <w:jc w:val="both"/>
        <w:rPr>
          <w:rFonts w:ascii="Arial" w:hAnsi="Arial" w:cs="Arial"/>
          <w:color w:val="000000" w:themeColor="text1"/>
          <w:sz w:val="22"/>
          <w:szCs w:val="22"/>
          <w:lang w:val="fr-FR"/>
        </w:rPr>
      </w:pPr>
    </w:p>
    <w:p w14:paraId="78E7A954" w14:textId="66FCDCFD" w:rsidR="00174C3B" w:rsidRPr="005B4F3F" w:rsidRDefault="00182FCE" w:rsidP="00A619A0">
      <w:pPr>
        <w:pStyle w:val="Titre1"/>
        <w:spacing w:before="0"/>
        <w:rPr>
          <w:rFonts w:ascii="Arial" w:hAnsi="Arial"/>
          <w:caps/>
          <w:color w:val="auto"/>
          <w:sz w:val="28"/>
          <w:szCs w:val="28"/>
          <w:lang w:val="fr-FR"/>
        </w:rPr>
      </w:pPr>
      <w:r w:rsidRPr="005B4F3F">
        <w:rPr>
          <w:rFonts w:ascii="Arial" w:hAnsi="Arial"/>
          <w:caps/>
          <w:color w:val="auto"/>
          <w:sz w:val="28"/>
          <w:szCs w:val="28"/>
          <w:lang w:val="fr-FR"/>
        </w:rPr>
        <w:t>V</w:t>
      </w:r>
      <w:r w:rsidR="00174C3B" w:rsidRPr="005B4F3F">
        <w:rPr>
          <w:rFonts w:ascii="Arial" w:hAnsi="Arial"/>
          <w:caps/>
          <w:color w:val="auto"/>
          <w:sz w:val="28"/>
          <w:szCs w:val="28"/>
          <w:lang w:val="fr-FR"/>
        </w:rPr>
        <w:t xml:space="preserve"> </w:t>
      </w:r>
      <w:r w:rsidR="00E00962">
        <w:rPr>
          <w:rFonts w:ascii="Arial" w:hAnsi="Arial"/>
          <w:caps/>
          <w:color w:val="auto"/>
          <w:sz w:val="28"/>
          <w:szCs w:val="28"/>
          <w:lang w:val="fr-FR"/>
        </w:rPr>
        <w:t>-</w:t>
      </w:r>
      <w:r w:rsidR="00174C3B" w:rsidRPr="005B4F3F">
        <w:rPr>
          <w:rFonts w:ascii="Arial" w:hAnsi="Arial"/>
          <w:caps/>
          <w:color w:val="auto"/>
          <w:sz w:val="28"/>
          <w:szCs w:val="28"/>
          <w:lang w:val="fr-FR"/>
        </w:rPr>
        <w:t xml:space="preserve"> Aspects fiscaux</w:t>
      </w:r>
    </w:p>
    <w:p w14:paraId="6A57EC48" w14:textId="77777777" w:rsidR="00174C3B" w:rsidRPr="00A619A0" w:rsidRDefault="00174C3B" w:rsidP="00174C3B">
      <w:pPr>
        <w:jc w:val="both"/>
        <w:rPr>
          <w:rFonts w:ascii="Arial" w:hAnsi="Arial"/>
          <w:sz w:val="22"/>
          <w:lang w:val="fr-FR"/>
        </w:rPr>
      </w:pPr>
    </w:p>
    <w:p w14:paraId="4A106E3B" w14:textId="75AC79F9" w:rsidR="00174C3B" w:rsidRPr="00A619A0" w:rsidRDefault="00182FCE" w:rsidP="00174C3B">
      <w:pPr>
        <w:jc w:val="both"/>
        <w:rPr>
          <w:rFonts w:ascii="Arial" w:hAnsi="Arial"/>
          <w:b/>
          <w:sz w:val="22"/>
          <w:lang w:val="fr-FR"/>
        </w:rPr>
      </w:pPr>
      <w:r w:rsidRPr="00A619A0">
        <w:rPr>
          <w:rFonts w:ascii="Arial" w:hAnsi="Arial"/>
          <w:b/>
          <w:sz w:val="22"/>
          <w:lang w:val="fr-FR"/>
        </w:rPr>
        <w:t>V</w:t>
      </w:r>
      <w:r w:rsidR="00174C3B" w:rsidRPr="00A619A0">
        <w:rPr>
          <w:rFonts w:ascii="Arial" w:hAnsi="Arial"/>
          <w:b/>
          <w:sz w:val="22"/>
          <w:lang w:val="fr-FR"/>
        </w:rPr>
        <w:t xml:space="preserve"> - 1 Revenu des obligataires :</w:t>
      </w:r>
    </w:p>
    <w:p w14:paraId="7361B2BC" w14:textId="77777777" w:rsidR="00174C3B" w:rsidRPr="00A619A0" w:rsidRDefault="00174C3B" w:rsidP="00174C3B">
      <w:pPr>
        <w:jc w:val="both"/>
        <w:rPr>
          <w:rFonts w:ascii="Arial" w:hAnsi="Arial"/>
          <w:sz w:val="22"/>
          <w:lang w:val="fr-FR"/>
        </w:rPr>
      </w:pPr>
      <w:r w:rsidRPr="00A619A0">
        <w:rPr>
          <w:rFonts w:ascii="Arial" w:hAnsi="Arial"/>
          <w:sz w:val="22"/>
          <w:lang w:val="fr-FR"/>
        </w:rPr>
        <w:t>Pour ce qui concerne les obligataires, les intérêts et primes constituent des revenus :</w:t>
      </w:r>
    </w:p>
    <w:p w14:paraId="0612C652" w14:textId="77777777" w:rsidR="00174C3B" w:rsidRPr="00A619A0" w:rsidRDefault="00174C3B" w:rsidP="00174C3B">
      <w:pPr>
        <w:numPr>
          <w:ilvl w:val="0"/>
          <w:numId w:val="2"/>
        </w:numPr>
        <w:tabs>
          <w:tab w:val="left" w:pos="900"/>
          <w:tab w:val="left" w:pos="1580"/>
        </w:tabs>
        <w:jc w:val="both"/>
        <w:rPr>
          <w:rFonts w:ascii="Arial" w:hAnsi="Arial"/>
          <w:sz w:val="22"/>
          <w:lang w:val="fr-FR"/>
        </w:rPr>
      </w:pPr>
      <w:r w:rsidRPr="00A619A0">
        <w:rPr>
          <w:rFonts w:ascii="Arial" w:hAnsi="Arial"/>
          <w:sz w:val="22"/>
          <w:u w:val="single"/>
          <w:lang w:val="fr-FR"/>
        </w:rPr>
        <w:t>Si l'obligataire est une société imposée à l'IS</w:t>
      </w:r>
      <w:r w:rsidRPr="00A619A0">
        <w:rPr>
          <w:rFonts w:ascii="Arial" w:hAnsi="Arial"/>
          <w:sz w:val="22"/>
          <w:lang w:val="fr-FR"/>
        </w:rPr>
        <w:t>, les intérêts et primes sont imposables quels que soient leur montant et la date d'émission des titres, selon des modalités qui différent en fonction de la date d'émission de l'emprunt :</w:t>
      </w:r>
    </w:p>
    <w:p w14:paraId="194EDA2F" w14:textId="53176C87" w:rsidR="00174C3B" w:rsidRDefault="00174C3B" w:rsidP="00174C3B">
      <w:pPr>
        <w:pStyle w:val="GENEVA"/>
        <w:rPr>
          <w:rFonts w:ascii="Arial" w:hAnsi="Arial"/>
        </w:rPr>
      </w:pPr>
    </w:p>
    <w:p w14:paraId="44AB49FD" w14:textId="77777777" w:rsidR="00CC0BF3" w:rsidRPr="00A619A0" w:rsidRDefault="00CC0BF3" w:rsidP="00174C3B">
      <w:pPr>
        <w:pStyle w:val="GENEVA"/>
        <w:rPr>
          <w:rFonts w:ascii="Arial" w:hAnsi="Arial"/>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8056"/>
      </w:tblGrid>
      <w:tr w:rsidR="00174C3B" w:rsidRPr="00091C0E" w14:paraId="586EA697" w14:textId="77777777" w:rsidTr="000676F8">
        <w:tc>
          <w:tcPr>
            <w:tcW w:w="1696" w:type="dxa"/>
          </w:tcPr>
          <w:p w14:paraId="2E4F8AC1" w14:textId="1E1454EB" w:rsidR="00174C3B" w:rsidRPr="00091C0E" w:rsidRDefault="00174C3B" w:rsidP="00D02E7E">
            <w:pPr>
              <w:pStyle w:val="GENEVA"/>
              <w:spacing w:line="360" w:lineRule="auto"/>
              <w:jc w:val="center"/>
              <w:rPr>
                <w:rFonts w:ascii="Arial" w:hAnsi="Arial"/>
                <w:b/>
                <w:sz w:val="20"/>
                <w:szCs w:val="20"/>
              </w:rPr>
            </w:pPr>
            <w:r w:rsidRPr="00091C0E">
              <w:rPr>
                <w:rFonts w:ascii="Arial" w:hAnsi="Arial"/>
                <w:b/>
                <w:sz w:val="20"/>
                <w:szCs w:val="20"/>
              </w:rPr>
              <w:t>Émission</w:t>
            </w:r>
          </w:p>
          <w:p w14:paraId="4FD35ACE" w14:textId="77777777" w:rsidR="00174C3B" w:rsidRDefault="00174C3B" w:rsidP="00D02E7E">
            <w:pPr>
              <w:pStyle w:val="GENEVA"/>
              <w:spacing w:line="360" w:lineRule="auto"/>
              <w:jc w:val="center"/>
              <w:rPr>
                <w:rFonts w:ascii="Arial" w:hAnsi="Arial"/>
                <w:b/>
                <w:sz w:val="20"/>
                <w:szCs w:val="20"/>
              </w:rPr>
            </w:pPr>
            <w:r w:rsidRPr="00091C0E">
              <w:rPr>
                <w:rFonts w:ascii="Arial" w:hAnsi="Arial"/>
                <w:b/>
                <w:sz w:val="20"/>
                <w:szCs w:val="20"/>
              </w:rPr>
              <w:t>&gt; 01/01/92</w:t>
            </w:r>
          </w:p>
          <w:p w14:paraId="3C8AE33B" w14:textId="6FEC032C" w:rsidR="00091C0E" w:rsidRPr="00091C0E" w:rsidRDefault="00091C0E" w:rsidP="00D02E7E">
            <w:pPr>
              <w:pStyle w:val="GENEVA"/>
              <w:spacing w:line="360" w:lineRule="auto"/>
              <w:jc w:val="center"/>
              <w:rPr>
                <w:rFonts w:ascii="Arial" w:hAnsi="Arial"/>
                <w:b/>
                <w:sz w:val="20"/>
                <w:szCs w:val="20"/>
              </w:rPr>
            </w:pPr>
            <w:r>
              <w:rPr>
                <w:rStyle w:val="Appelnotedebasdep"/>
                <w:rFonts w:ascii="Arial" w:hAnsi="Arial"/>
                <w:b/>
                <w:sz w:val="20"/>
                <w:szCs w:val="20"/>
              </w:rPr>
              <w:footnoteReference w:id="6"/>
            </w:r>
          </w:p>
        </w:tc>
        <w:tc>
          <w:tcPr>
            <w:tcW w:w="8056" w:type="dxa"/>
          </w:tcPr>
          <w:p w14:paraId="373C3576" w14:textId="17BA34F8" w:rsidR="00174C3B" w:rsidRPr="00091C0E" w:rsidRDefault="00174C3B">
            <w:pPr>
              <w:pStyle w:val="GENEVA"/>
              <w:numPr>
                <w:ilvl w:val="0"/>
                <w:numId w:val="2"/>
              </w:numPr>
              <w:rPr>
                <w:rFonts w:ascii="Arial" w:hAnsi="Arial"/>
                <w:sz w:val="20"/>
                <w:szCs w:val="20"/>
              </w:rPr>
            </w:pPr>
            <w:proofErr w:type="gramStart"/>
            <w:r w:rsidRPr="00091C0E">
              <w:rPr>
                <w:rFonts w:ascii="Arial" w:hAnsi="Arial"/>
                <w:sz w:val="20"/>
                <w:szCs w:val="20"/>
              </w:rPr>
              <w:t>imposition</w:t>
            </w:r>
            <w:proofErr w:type="gramEnd"/>
            <w:r w:rsidRPr="00091C0E">
              <w:rPr>
                <w:rFonts w:ascii="Arial" w:hAnsi="Arial"/>
                <w:sz w:val="20"/>
                <w:szCs w:val="20"/>
              </w:rPr>
              <w:t xml:space="preserve"> par répartition actuarielle  si : E &lt;</w:t>
            </w:r>
            <w:r w:rsidR="00156223" w:rsidRPr="00091C0E">
              <w:rPr>
                <w:rFonts w:ascii="Arial" w:hAnsi="Arial"/>
                <w:sz w:val="20"/>
                <w:szCs w:val="20"/>
              </w:rPr>
              <w:t xml:space="preserve"> </w:t>
            </w:r>
            <w:r w:rsidRPr="00091C0E">
              <w:rPr>
                <w:rFonts w:ascii="Arial" w:hAnsi="Arial"/>
                <w:sz w:val="20"/>
                <w:szCs w:val="20"/>
              </w:rPr>
              <w:t xml:space="preserve">90% </w:t>
            </w:r>
            <w:r w:rsidR="00BF26D6" w:rsidRPr="00091C0E">
              <w:rPr>
                <w:rFonts w:ascii="Arial" w:hAnsi="Arial"/>
                <w:sz w:val="20"/>
                <w:szCs w:val="20"/>
              </w:rPr>
              <w:t xml:space="preserve">* </w:t>
            </w:r>
            <w:r w:rsidRPr="00091C0E">
              <w:rPr>
                <w:rFonts w:ascii="Arial" w:hAnsi="Arial"/>
                <w:sz w:val="20"/>
                <w:szCs w:val="20"/>
              </w:rPr>
              <w:t>R  et Prime  &gt; 10% du prix</w:t>
            </w:r>
          </w:p>
          <w:p w14:paraId="1BDBC058" w14:textId="77777777" w:rsidR="00174C3B" w:rsidRPr="00091C0E" w:rsidRDefault="00174C3B">
            <w:pPr>
              <w:pStyle w:val="GENEVA"/>
              <w:numPr>
                <w:ilvl w:val="0"/>
                <w:numId w:val="2"/>
              </w:numPr>
              <w:rPr>
                <w:rFonts w:ascii="Arial" w:hAnsi="Arial"/>
                <w:sz w:val="20"/>
                <w:szCs w:val="20"/>
              </w:rPr>
            </w:pPr>
            <w:proofErr w:type="gramStart"/>
            <w:r w:rsidRPr="00091C0E">
              <w:rPr>
                <w:rFonts w:ascii="Arial" w:hAnsi="Arial"/>
                <w:sz w:val="20"/>
                <w:szCs w:val="20"/>
              </w:rPr>
              <w:t>sinon</w:t>
            </w:r>
            <w:proofErr w:type="gramEnd"/>
            <w:r w:rsidRPr="00091C0E">
              <w:rPr>
                <w:rFonts w:ascii="Arial" w:hAnsi="Arial"/>
                <w:sz w:val="20"/>
                <w:szCs w:val="20"/>
              </w:rPr>
              <w:t xml:space="preserve"> imposable lors du remboursement</w:t>
            </w:r>
          </w:p>
        </w:tc>
      </w:tr>
    </w:tbl>
    <w:p w14:paraId="27F9D8A8" w14:textId="77777777" w:rsidR="00174C3B" w:rsidRPr="00091C0E" w:rsidRDefault="00174C3B" w:rsidP="00174C3B">
      <w:pPr>
        <w:tabs>
          <w:tab w:val="left" w:pos="900"/>
          <w:tab w:val="left" w:pos="1580"/>
        </w:tabs>
        <w:jc w:val="both"/>
        <w:rPr>
          <w:rFonts w:ascii="Arial" w:hAnsi="Arial"/>
          <w:sz w:val="20"/>
          <w:szCs w:val="20"/>
          <w:lang w:val="fr-FR"/>
        </w:rPr>
      </w:pPr>
    </w:p>
    <w:p w14:paraId="7BD6301F" w14:textId="5E48C07F" w:rsidR="00A85D54" w:rsidRDefault="00174C3B" w:rsidP="00A85D54">
      <w:pPr>
        <w:pStyle w:val="Paragraphedeliste"/>
        <w:numPr>
          <w:ilvl w:val="0"/>
          <w:numId w:val="2"/>
        </w:numPr>
        <w:tabs>
          <w:tab w:val="left" w:pos="900"/>
          <w:tab w:val="left" w:pos="1580"/>
        </w:tabs>
        <w:jc w:val="both"/>
        <w:rPr>
          <w:rFonts w:ascii="Arial" w:hAnsi="Arial"/>
          <w:sz w:val="22"/>
          <w:lang w:val="fr-FR"/>
        </w:rPr>
      </w:pPr>
      <w:r w:rsidRPr="00A85D54">
        <w:rPr>
          <w:rFonts w:ascii="Arial" w:hAnsi="Arial"/>
          <w:sz w:val="22"/>
          <w:u w:val="single"/>
          <w:lang w:val="fr-FR"/>
        </w:rPr>
        <w:t>Si l'obligataire est soumis à l'IR</w:t>
      </w:r>
      <w:r w:rsidRPr="00A85D54">
        <w:rPr>
          <w:rFonts w:ascii="Arial" w:hAnsi="Arial"/>
          <w:sz w:val="22"/>
          <w:lang w:val="fr-FR"/>
        </w:rPr>
        <w:t xml:space="preserve">, </w:t>
      </w:r>
      <w:r w:rsidR="00AA29CE">
        <w:rPr>
          <w:rFonts w:ascii="Arial" w:hAnsi="Arial"/>
          <w:sz w:val="22"/>
          <w:lang w:val="fr-FR"/>
        </w:rPr>
        <w:t xml:space="preserve">le prélèvement </w:t>
      </w:r>
      <w:r w:rsidR="001573B3">
        <w:rPr>
          <w:rFonts w:ascii="Arial" w:hAnsi="Arial"/>
          <w:sz w:val="22"/>
          <w:lang w:val="fr-FR"/>
        </w:rPr>
        <w:t>forfaitaire unique (PFU)</w:t>
      </w:r>
      <w:r w:rsidR="00A85D54">
        <w:rPr>
          <w:rFonts w:ascii="Arial" w:hAnsi="Arial"/>
          <w:sz w:val="22"/>
          <w:lang w:val="fr-FR"/>
        </w:rPr>
        <w:t xml:space="preserve"> est effectué à la source par l’établissement payeur</w:t>
      </w:r>
      <w:r w:rsidR="001573B3">
        <w:rPr>
          <w:rFonts w:ascii="Arial" w:hAnsi="Arial"/>
          <w:sz w:val="22"/>
          <w:lang w:val="fr-FR"/>
        </w:rPr>
        <w:t>, sauf option de l’obligataire pour l’IR progressif.</w:t>
      </w:r>
    </w:p>
    <w:p w14:paraId="280DA965" w14:textId="20AB48F4" w:rsidR="001573B3" w:rsidRDefault="001573B3" w:rsidP="001573B3">
      <w:pPr>
        <w:tabs>
          <w:tab w:val="left" w:pos="900"/>
          <w:tab w:val="left" w:pos="1580"/>
        </w:tabs>
        <w:jc w:val="both"/>
        <w:rPr>
          <w:rFonts w:ascii="Arial" w:hAnsi="Arial"/>
          <w:sz w:val="22"/>
          <w:lang w:val="fr-FR"/>
        </w:rPr>
      </w:pPr>
    </w:p>
    <w:tbl>
      <w:tblPr>
        <w:tblStyle w:val="Grilledutableau"/>
        <w:tblW w:w="0" w:type="auto"/>
        <w:tblLook w:val="04A0" w:firstRow="1" w:lastRow="0" w:firstColumn="1" w:lastColumn="0" w:noHBand="0" w:noVBand="1"/>
      </w:tblPr>
      <w:tblGrid>
        <w:gridCol w:w="4528"/>
        <w:gridCol w:w="4528"/>
      </w:tblGrid>
      <w:tr w:rsidR="001573B3" w14:paraId="4F1001A1" w14:textId="77777777" w:rsidTr="001102F1">
        <w:tc>
          <w:tcPr>
            <w:tcW w:w="9206" w:type="dxa"/>
            <w:gridSpan w:val="2"/>
          </w:tcPr>
          <w:p w14:paraId="0BE0EDD0" w14:textId="0AD16FA3" w:rsidR="001573B3" w:rsidRDefault="001573B3" w:rsidP="001573B3">
            <w:pPr>
              <w:tabs>
                <w:tab w:val="left" w:pos="900"/>
                <w:tab w:val="left" w:pos="1580"/>
              </w:tabs>
              <w:jc w:val="center"/>
              <w:rPr>
                <w:rFonts w:ascii="Arial" w:hAnsi="Arial"/>
                <w:sz w:val="22"/>
                <w:lang w:val="fr-FR"/>
              </w:rPr>
            </w:pPr>
            <w:r>
              <w:rPr>
                <w:rFonts w:ascii="Arial" w:hAnsi="Arial"/>
                <w:sz w:val="22"/>
                <w:lang w:val="fr-FR"/>
              </w:rPr>
              <w:t>RÉGIME APPLICABLE DEPUIS LE  01/01/2018</w:t>
            </w:r>
          </w:p>
        </w:tc>
      </w:tr>
      <w:tr w:rsidR="001573B3" w14:paraId="7BE48891" w14:textId="77777777" w:rsidTr="001573B3">
        <w:tc>
          <w:tcPr>
            <w:tcW w:w="4603" w:type="dxa"/>
          </w:tcPr>
          <w:p w14:paraId="464673FC" w14:textId="124CE046" w:rsidR="001573B3" w:rsidRPr="00091C0E" w:rsidRDefault="001573B3" w:rsidP="001573B3">
            <w:pPr>
              <w:tabs>
                <w:tab w:val="left" w:pos="900"/>
                <w:tab w:val="left" w:pos="1580"/>
              </w:tabs>
              <w:jc w:val="center"/>
              <w:rPr>
                <w:rFonts w:ascii="Arial" w:hAnsi="Arial"/>
                <w:sz w:val="20"/>
                <w:szCs w:val="20"/>
                <w:lang w:val="fr-FR"/>
              </w:rPr>
            </w:pPr>
            <w:r w:rsidRPr="00091C0E">
              <w:rPr>
                <w:rFonts w:ascii="Arial" w:hAnsi="Arial"/>
                <w:sz w:val="20"/>
                <w:szCs w:val="20"/>
                <w:lang w:val="fr-FR"/>
              </w:rPr>
              <w:t>Coupons d’intérêt</w:t>
            </w:r>
          </w:p>
        </w:tc>
        <w:tc>
          <w:tcPr>
            <w:tcW w:w="4603" w:type="dxa"/>
          </w:tcPr>
          <w:p w14:paraId="17DC5CE5" w14:textId="0A79A316" w:rsidR="001573B3" w:rsidRPr="00091C0E" w:rsidRDefault="001573B3" w:rsidP="001573B3">
            <w:pPr>
              <w:tabs>
                <w:tab w:val="left" w:pos="900"/>
                <w:tab w:val="left" w:pos="1580"/>
              </w:tabs>
              <w:jc w:val="center"/>
              <w:rPr>
                <w:rFonts w:ascii="Arial" w:hAnsi="Arial"/>
                <w:sz w:val="20"/>
                <w:szCs w:val="20"/>
                <w:lang w:val="fr-FR"/>
              </w:rPr>
            </w:pPr>
            <w:r w:rsidRPr="00091C0E">
              <w:rPr>
                <w:rFonts w:ascii="Arial" w:hAnsi="Arial"/>
                <w:sz w:val="20"/>
                <w:szCs w:val="20"/>
                <w:lang w:val="fr-FR"/>
              </w:rPr>
              <w:t>Plus-values</w:t>
            </w:r>
          </w:p>
        </w:tc>
      </w:tr>
      <w:tr w:rsidR="001573B3" w14:paraId="36B4D77E" w14:textId="77777777" w:rsidTr="001573B3">
        <w:tc>
          <w:tcPr>
            <w:tcW w:w="4603" w:type="dxa"/>
          </w:tcPr>
          <w:p w14:paraId="3B4AF402" w14:textId="24202CD5" w:rsidR="001573B3" w:rsidRPr="00091C0E" w:rsidRDefault="001573B3" w:rsidP="001573B3">
            <w:pPr>
              <w:pStyle w:val="Paragraphedeliste"/>
              <w:numPr>
                <w:ilvl w:val="0"/>
                <w:numId w:val="2"/>
              </w:numPr>
              <w:tabs>
                <w:tab w:val="left" w:pos="900"/>
                <w:tab w:val="left" w:pos="1580"/>
              </w:tabs>
              <w:jc w:val="both"/>
              <w:rPr>
                <w:rFonts w:ascii="Arial" w:hAnsi="Arial"/>
                <w:sz w:val="20"/>
                <w:szCs w:val="20"/>
                <w:lang w:val="fr-FR"/>
              </w:rPr>
            </w:pPr>
            <w:r w:rsidRPr="00091C0E">
              <w:rPr>
                <w:rFonts w:ascii="Arial" w:hAnsi="Arial"/>
                <w:sz w:val="20"/>
                <w:szCs w:val="20"/>
                <w:lang w:val="fr-FR"/>
              </w:rPr>
              <w:t>PFU</w:t>
            </w:r>
            <w:r w:rsidR="00573213">
              <w:rPr>
                <w:rStyle w:val="Appelnotedebasdep"/>
                <w:rFonts w:ascii="Arial" w:hAnsi="Arial"/>
                <w:sz w:val="20"/>
                <w:szCs w:val="20"/>
                <w:lang w:val="fr-FR"/>
              </w:rPr>
              <w:footnoteReference w:id="7"/>
            </w:r>
            <w:r w:rsidRPr="00091C0E">
              <w:rPr>
                <w:rFonts w:ascii="Arial" w:hAnsi="Arial"/>
                <w:sz w:val="20"/>
                <w:szCs w:val="20"/>
                <w:lang w:val="fr-FR"/>
              </w:rPr>
              <w:t xml:space="preserve"> 30% (12,8% + 17,2%)</w:t>
            </w:r>
          </w:p>
          <w:p w14:paraId="6A08659F" w14:textId="3946F4DB" w:rsidR="001573B3" w:rsidRPr="00091C0E" w:rsidRDefault="001573B3" w:rsidP="001573B3">
            <w:pPr>
              <w:tabs>
                <w:tab w:val="left" w:pos="900"/>
                <w:tab w:val="left" w:pos="1580"/>
              </w:tabs>
              <w:jc w:val="center"/>
              <w:rPr>
                <w:rFonts w:ascii="Arial" w:hAnsi="Arial"/>
                <w:sz w:val="20"/>
                <w:szCs w:val="20"/>
                <w:lang w:val="fr-FR"/>
              </w:rPr>
            </w:pPr>
            <w:proofErr w:type="gramStart"/>
            <w:r w:rsidRPr="00091C0E">
              <w:rPr>
                <w:rFonts w:ascii="Arial" w:hAnsi="Arial"/>
                <w:sz w:val="20"/>
                <w:szCs w:val="20"/>
                <w:lang w:val="fr-FR"/>
              </w:rPr>
              <w:t>Ou</w:t>
            </w:r>
            <w:proofErr w:type="gramEnd"/>
          </w:p>
          <w:p w14:paraId="0958188B" w14:textId="0A43F3BE" w:rsidR="001573B3" w:rsidRPr="00091C0E" w:rsidRDefault="001573B3" w:rsidP="001573B3">
            <w:pPr>
              <w:pStyle w:val="Paragraphedeliste"/>
              <w:numPr>
                <w:ilvl w:val="0"/>
                <w:numId w:val="2"/>
              </w:numPr>
              <w:tabs>
                <w:tab w:val="left" w:pos="900"/>
                <w:tab w:val="left" w:pos="1580"/>
              </w:tabs>
              <w:jc w:val="both"/>
              <w:rPr>
                <w:rFonts w:ascii="Arial" w:hAnsi="Arial"/>
                <w:sz w:val="20"/>
                <w:szCs w:val="20"/>
                <w:lang w:val="fr-FR"/>
              </w:rPr>
            </w:pPr>
            <w:r w:rsidRPr="00091C0E">
              <w:rPr>
                <w:rFonts w:ascii="Arial" w:hAnsi="Arial"/>
                <w:sz w:val="20"/>
                <w:szCs w:val="20"/>
                <w:lang w:val="fr-FR"/>
              </w:rPr>
              <w:t>Imposition IR progressif et déduction partielle CSG</w:t>
            </w:r>
          </w:p>
        </w:tc>
        <w:tc>
          <w:tcPr>
            <w:tcW w:w="4603" w:type="dxa"/>
          </w:tcPr>
          <w:p w14:paraId="5D3BD9DF" w14:textId="77777777" w:rsidR="001573B3" w:rsidRPr="00091C0E" w:rsidRDefault="001573B3" w:rsidP="001573B3">
            <w:pPr>
              <w:pStyle w:val="Paragraphedeliste"/>
              <w:numPr>
                <w:ilvl w:val="0"/>
                <w:numId w:val="2"/>
              </w:numPr>
              <w:tabs>
                <w:tab w:val="left" w:pos="900"/>
                <w:tab w:val="left" w:pos="1580"/>
              </w:tabs>
              <w:jc w:val="both"/>
              <w:rPr>
                <w:rFonts w:ascii="Arial" w:hAnsi="Arial"/>
                <w:sz w:val="20"/>
                <w:szCs w:val="20"/>
                <w:lang w:val="fr-FR"/>
              </w:rPr>
            </w:pPr>
            <w:r w:rsidRPr="00091C0E">
              <w:rPr>
                <w:rFonts w:ascii="Arial" w:hAnsi="Arial"/>
                <w:sz w:val="20"/>
                <w:szCs w:val="20"/>
                <w:lang w:val="fr-FR"/>
              </w:rPr>
              <w:t>PFU 30% (12,8% + 17,2%)</w:t>
            </w:r>
          </w:p>
          <w:p w14:paraId="5C223353" w14:textId="77777777" w:rsidR="001573B3" w:rsidRPr="00091C0E" w:rsidRDefault="001573B3" w:rsidP="001573B3">
            <w:pPr>
              <w:tabs>
                <w:tab w:val="left" w:pos="900"/>
                <w:tab w:val="left" w:pos="1580"/>
              </w:tabs>
              <w:jc w:val="center"/>
              <w:rPr>
                <w:rFonts w:ascii="Arial" w:hAnsi="Arial"/>
                <w:sz w:val="20"/>
                <w:szCs w:val="20"/>
                <w:lang w:val="fr-FR"/>
              </w:rPr>
            </w:pPr>
            <w:proofErr w:type="gramStart"/>
            <w:r w:rsidRPr="00091C0E">
              <w:rPr>
                <w:rFonts w:ascii="Arial" w:hAnsi="Arial"/>
                <w:sz w:val="20"/>
                <w:szCs w:val="20"/>
                <w:lang w:val="fr-FR"/>
              </w:rPr>
              <w:t>Ou</w:t>
            </w:r>
            <w:proofErr w:type="gramEnd"/>
          </w:p>
          <w:p w14:paraId="13B23556" w14:textId="7D3AC352" w:rsidR="001573B3" w:rsidRPr="00091C0E" w:rsidRDefault="001573B3" w:rsidP="001573B3">
            <w:pPr>
              <w:pStyle w:val="Paragraphedeliste"/>
              <w:numPr>
                <w:ilvl w:val="0"/>
                <w:numId w:val="2"/>
              </w:numPr>
              <w:tabs>
                <w:tab w:val="left" w:pos="900"/>
                <w:tab w:val="left" w:pos="1580"/>
              </w:tabs>
              <w:jc w:val="both"/>
              <w:rPr>
                <w:rFonts w:ascii="Arial" w:hAnsi="Arial"/>
                <w:sz w:val="20"/>
                <w:szCs w:val="20"/>
                <w:lang w:val="fr-FR"/>
              </w:rPr>
            </w:pPr>
            <w:r w:rsidRPr="00091C0E">
              <w:rPr>
                <w:rFonts w:ascii="Arial" w:hAnsi="Arial"/>
                <w:sz w:val="20"/>
                <w:szCs w:val="20"/>
                <w:lang w:val="fr-FR"/>
              </w:rPr>
              <w:t>Imposition IR progressif</w:t>
            </w:r>
          </w:p>
        </w:tc>
      </w:tr>
    </w:tbl>
    <w:p w14:paraId="661A7C4D" w14:textId="77777777" w:rsidR="001573B3" w:rsidRPr="001573B3" w:rsidRDefault="001573B3" w:rsidP="001573B3">
      <w:pPr>
        <w:tabs>
          <w:tab w:val="left" w:pos="900"/>
          <w:tab w:val="left" w:pos="1580"/>
        </w:tabs>
        <w:jc w:val="both"/>
        <w:rPr>
          <w:rFonts w:ascii="Arial" w:hAnsi="Arial"/>
          <w:sz w:val="22"/>
          <w:lang w:val="fr-FR"/>
        </w:rPr>
      </w:pPr>
    </w:p>
    <w:p w14:paraId="185BBA26" w14:textId="1200F69C" w:rsidR="001573B3" w:rsidRDefault="001573B3" w:rsidP="00174C3B">
      <w:pPr>
        <w:jc w:val="both"/>
        <w:rPr>
          <w:rFonts w:ascii="Arial" w:hAnsi="Arial"/>
          <w:color w:val="FF0000"/>
          <w:sz w:val="22"/>
          <w:lang w:val="fr-FR"/>
        </w:rPr>
      </w:pPr>
    </w:p>
    <w:p w14:paraId="09AA4ABC" w14:textId="49D8C42B" w:rsidR="00FD11FF" w:rsidRDefault="00FD11FF">
      <w:pPr>
        <w:rPr>
          <w:rFonts w:ascii="Arial" w:hAnsi="Arial"/>
          <w:b/>
          <w:sz w:val="22"/>
          <w:lang w:val="fr-FR"/>
        </w:rPr>
      </w:pPr>
    </w:p>
    <w:p w14:paraId="65F1CB94" w14:textId="49A0515A" w:rsidR="00931E43" w:rsidRPr="00A619A0" w:rsidRDefault="00FD11FF" w:rsidP="00931E43">
      <w:pPr>
        <w:jc w:val="center"/>
        <w:rPr>
          <w:rFonts w:ascii="Arial" w:hAnsi="Arial"/>
          <w:b/>
          <w:sz w:val="22"/>
          <w:lang w:val="fr-FR"/>
        </w:rPr>
      </w:pPr>
      <w:r>
        <w:rPr>
          <w:rFonts w:ascii="Arial" w:hAnsi="Arial"/>
          <w:b/>
          <w:sz w:val="22"/>
          <w:lang w:val="fr-FR"/>
        </w:rPr>
        <w:t>T</w:t>
      </w:r>
      <w:r w:rsidR="000137A4" w:rsidRPr="00A619A0">
        <w:rPr>
          <w:rFonts w:ascii="Arial" w:hAnsi="Arial"/>
          <w:b/>
          <w:sz w:val="22"/>
          <w:lang w:val="fr-FR"/>
        </w:rPr>
        <w:t>ABLEAU I -</w:t>
      </w:r>
      <w:r w:rsidR="00931E43" w:rsidRPr="00A619A0">
        <w:rPr>
          <w:rFonts w:ascii="Arial" w:hAnsi="Arial"/>
          <w:b/>
          <w:sz w:val="22"/>
          <w:lang w:val="fr-FR"/>
        </w:rPr>
        <w:t xml:space="preserve"> PÉRIODE D’IMPOSITION </w:t>
      </w:r>
      <w:r w:rsidR="00931E43" w:rsidRPr="000676F8">
        <w:rPr>
          <w:rFonts w:ascii="Arial" w:hAnsi="Arial"/>
          <w:b/>
          <w:sz w:val="22"/>
          <w:u w:val="single"/>
          <w:lang w:val="fr-FR"/>
        </w:rPr>
        <w:t xml:space="preserve">POUR LES ENTREPRISES </w:t>
      </w:r>
      <w:r w:rsidR="00931E43" w:rsidRPr="00A619A0">
        <w:rPr>
          <w:rFonts w:ascii="Arial" w:hAnsi="Arial"/>
          <w:b/>
          <w:sz w:val="22"/>
          <w:lang w:val="fr-FR"/>
        </w:rPr>
        <w:t xml:space="preserve">(IR OU IS) DES </w:t>
      </w:r>
      <w:r w:rsidR="0018048E">
        <w:rPr>
          <w:rFonts w:ascii="Arial" w:hAnsi="Arial"/>
          <w:b/>
          <w:sz w:val="22"/>
          <w:lang w:val="fr-FR"/>
        </w:rPr>
        <w:t>INTÉRÊTS CAPITALISÉS ET DES</w:t>
      </w:r>
      <w:r w:rsidR="00931E43" w:rsidRPr="00A619A0">
        <w:rPr>
          <w:rFonts w:ascii="Arial" w:hAnsi="Arial"/>
          <w:b/>
          <w:sz w:val="22"/>
          <w:lang w:val="fr-FR"/>
        </w:rPr>
        <w:t xml:space="preserve"> PRIMES</w:t>
      </w:r>
    </w:p>
    <w:p w14:paraId="6852C335" w14:textId="77777777" w:rsidR="00931E43" w:rsidRPr="00A619A0" w:rsidRDefault="00931E43" w:rsidP="00174C3B">
      <w:pPr>
        <w:jc w:val="both"/>
        <w:rPr>
          <w:rFonts w:ascii="Arial" w:hAnsi="Arial"/>
          <w:sz w:val="22"/>
          <w:lang w:val="fr-FR"/>
        </w:rPr>
      </w:pPr>
    </w:p>
    <w:tbl>
      <w:tblPr>
        <w:tblStyle w:val="Grilledutableau"/>
        <w:tblW w:w="0" w:type="auto"/>
        <w:tblLook w:val="04A0" w:firstRow="1" w:lastRow="0" w:firstColumn="1" w:lastColumn="0" w:noHBand="0" w:noVBand="1"/>
      </w:tblPr>
      <w:tblGrid>
        <w:gridCol w:w="2235"/>
        <w:gridCol w:w="2409"/>
        <w:gridCol w:w="3686"/>
      </w:tblGrid>
      <w:tr w:rsidR="001217CD" w:rsidRPr="00D65643" w14:paraId="60C87F63" w14:textId="77777777" w:rsidTr="000F6901">
        <w:trPr>
          <w:trHeight w:val="720"/>
        </w:trPr>
        <w:tc>
          <w:tcPr>
            <w:tcW w:w="2235" w:type="dxa"/>
            <w:vMerge w:val="restart"/>
            <w:tcBorders>
              <w:top w:val="single" w:sz="12" w:space="0" w:color="auto"/>
              <w:left w:val="single" w:sz="12" w:space="0" w:color="auto"/>
              <w:bottom w:val="single" w:sz="12" w:space="0" w:color="auto"/>
              <w:right w:val="single" w:sz="12" w:space="0" w:color="auto"/>
            </w:tcBorders>
          </w:tcPr>
          <w:p w14:paraId="0A220855" w14:textId="77777777" w:rsidR="001217CD" w:rsidRPr="001217CD" w:rsidRDefault="001217CD" w:rsidP="00972B99">
            <w:pPr>
              <w:jc w:val="center"/>
              <w:rPr>
                <w:rFonts w:ascii="Arial" w:hAnsi="Arial"/>
                <w:sz w:val="20"/>
                <w:szCs w:val="20"/>
                <w:lang w:val="fr-FR"/>
              </w:rPr>
            </w:pPr>
          </w:p>
          <w:p w14:paraId="56A64BFE" w14:textId="77777777" w:rsidR="001217CD" w:rsidRPr="001217CD" w:rsidRDefault="001217CD" w:rsidP="00972B99">
            <w:pPr>
              <w:jc w:val="center"/>
              <w:rPr>
                <w:rFonts w:ascii="Arial" w:hAnsi="Arial"/>
                <w:sz w:val="20"/>
                <w:szCs w:val="20"/>
                <w:lang w:val="fr-FR"/>
              </w:rPr>
            </w:pPr>
          </w:p>
          <w:p w14:paraId="44BE2212" w14:textId="77777777" w:rsidR="001217CD" w:rsidRPr="001217CD" w:rsidRDefault="001217CD" w:rsidP="00972B99">
            <w:pPr>
              <w:jc w:val="center"/>
              <w:rPr>
                <w:rFonts w:ascii="Arial" w:hAnsi="Arial"/>
                <w:sz w:val="20"/>
                <w:szCs w:val="20"/>
                <w:lang w:val="fr-FR"/>
              </w:rPr>
            </w:pPr>
            <w:r w:rsidRPr="001217CD">
              <w:rPr>
                <w:rFonts w:ascii="Arial" w:hAnsi="Arial"/>
                <w:sz w:val="20"/>
                <w:szCs w:val="20"/>
                <w:lang w:val="fr-FR"/>
              </w:rPr>
              <w:t>Prime</w:t>
            </w:r>
          </w:p>
        </w:tc>
        <w:tc>
          <w:tcPr>
            <w:tcW w:w="6095" w:type="dxa"/>
            <w:gridSpan w:val="2"/>
            <w:tcBorders>
              <w:left w:val="single" w:sz="12" w:space="0" w:color="auto"/>
            </w:tcBorders>
          </w:tcPr>
          <w:p w14:paraId="5E003B6C" w14:textId="4E951E06" w:rsidR="001217CD" w:rsidRPr="001217CD" w:rsidRDefault="001217CD" w:rsidP="00972B99">
            <w:pPr>
              <w:jc w:val="center"/>
              <w:rPr>
                <w:rFonts w:ascii="Arial" w:hAnsi="Arial"/>
                <w:sz w:val="20"/>
                <w:szCs w:val="20"/>
                <w:lang w:val="fr-FR"/>
              </w:rPr>
            </w:pPr>
            <w:r w:rsidRPr="001217CD">
              <w:rPr>
                <w:rFonts w:ascii="Arial" w:hAnsi="Arial"/>
                <w:sz w:val="20"/>
                <w:szCs w:val="20"/>
                <w:lang w:val="fr-FR"/>
              </w:rPr>
              <w:t>Émission à compter du 01/01/9</w:t>
            </w:r>
            <w:r w:rsidR="00395183">
              <w:rPr>
                <w:rFonts w:ascii="Arial" w:hAnsi="Arial"/>
                <w:sz w:val="20"/>
                <w:szCs w:val="20"/>
                <w:lang w:val="fr-FR"/>
              </w:rPr>
              <w:t>3</w:t>
            </w:r>
          </w:p>
          <w:p w14:paraId="3D2F75D7" w14:textId="49F490E0" w:rsidR="001217CD" w:rsidRPr="001217CD" w:rsidRDefault="001217CD" w:rsidP="00972B99">
            <w:pPr>
              <w:jc w:val="center"/>
              <w:rPr>
                <w:rFonts w:ascii="Arial" w:hAnsi="Arial"/>
                <w:sz w:val="20"/>
                <w:szCs w:val="20"/>
                <w:lang w:val="fr-FR"/>
              </w:rPr>
            </w:pPr>
            <w:r w:rsidRPr="001217CD">
              <w:rPr>
                <w:rFonts w:ascii="Arial" w:hAnsi="Arial"/>
                <w:sz w:val="20"/>
                <w:szCs w:val="20"/>
                <w:lang w:val="fr-FR"/>
              </w:rPr>
              <w:t>Valeur E/R</w:t>
            </w:r>
          </w:p>
        </w:tc>
      </w:tr>
      <w:tr w:rsidR="001217CD" w:rsidRPr="00D65643" w14:paraId="658CD4AC" w14:textId="77777777" w:rsidTr="001217CD">
        <w:tc>
          <w:tcPr>
            <w:tcW w:w="2235" w:type="dxa"/>
            <w:vMerge/>
            <w:tcBorders>
              <w:top w:val="single" w:sz="12" w:space="0" w:color="auto"/>
              <w:left w:val="single" w:sz="12" w:space="0" w:color="auto"/>
              <w:bottom w:val="single" w:sz="12" w:space="0" w:color="auto"/>
              <w:right w:val="single" w:sz="12" w:space="0" w:color="auto"/>
            </w:tcBorders>
          </w:tcPr>
          <w:p w14:paraId="63C19C53" w14:textId="77777777" w:rsidR="001217CD" w:rsidRPr="001217CD" w:rsidRDefault="001217CD" w:rsidP="00972B99">
            <w:pPr>
              <w:jc w:val="center"/>
              <w:rPr>
                <w:rFonts w:ascii="Arial" w:hAnsi="Arial"/>
                <w:sz w:val="20"/>
                <w:szCs w:val="20"/>
                <w:lang w:val="fr-FR"/>
              </w:rPr>
            </w:pPr>
          </w:p>
        </w:tc>
        <w:tc>
          <w:tcPr>
            <w:tcW w:w="2409" w:type="dxa"/>
            <w:tcBorders>
              <w:left w:val="single" w:sz="12" w:space="0" w:color="auto"/>
            </w:tcBorders>
          </w:tcPr>
          <w:p w14:paraId="38B9877E" w14:textId="77777777" w:rsidR="001217CD" w:rsidRPr="001217CD" w:rsidRDefault="001217CD" w:rsidP="00972B99">
            <w:pPr>
              <w:jc w:val="center"/>
              <w:rPr>
                <w:rFonts w:ascii="Arial" w:hAnsi="Arial"/>
                <w:sz w:val="20"/>
                <w:szCs w:val="20"/>
                <w:lang w:val="fr-FR"/>
              </w:rPr>
            </w:pPr>
            <w:r w:rsidRPr="001217CD">
              <w:rPr>
                <w:rFonts w:ascii="Arial" w:hAnsi="Arial"/>
                <w:sz w:val="20"/>
                <w:szCs w:val="20"/>
                <w:lang w:val="fr-FR"/>
              </w:rPr>
              <w:t>&gt; 90%</w:t>
            </w:r>
          </w:p>
        </w:tc>
        <w:tc>
          <w:tcPr>
            <w:tcW w:w="3686" w:type="dxa"/>
          </w:tcPr>
          <w:p w14:paraId="408FBE85" w14:textId="77777777" w:rsidR="001217CD" w:rsidRPr="001217CD" w:rsidRDefault="001217CD" w:rsidP="00972B99">
            <w:pPr>
              <w:jc w:val="center"/>
              <w:rPr>
                <w:rFonts w:ascii="Arial" w:hAnsi="Arial"/>
                <w:sz w:val="20"/>
                <w:szCs w:val="20"/>
                <w:lang w:val="fr-FR"/>
              </w:rPr>
            </w:pPr>
            <w:r w:rsidRPr="001217CD">
              <w:rPr>
                <w:rFonts w:ascii="Arial" w:hAnsi="Arial"/>
                <w:sz w:val="20"/>
                <w:szCs w:val="20"/>
                <w:lang w:val="fr-FR"/>
              </w:rPr>
              <w:t>≤ 90%</w:t>
            </w:r>
          </w:p>
        </w:tc>
      </w:tr>
      <w:tr w:rsidR="001217CD" w:rsidRPr="00D65643" w14:paraId="650443FD" w14:textId="77777777" w:rsidTr="001217CD">
        <w:tc>
          <w:tcPr>
            <w:tcW w:w="2235" w:type="dxa"/>
            <w:tcBorders>
              <w:top w:val="single" w:sz="12" w:space="0" w:color="auto"/>
            </w:tcBorders>
          </w:tcPr>
          <w:p w14:paraId="66C7BAF3" w14:textId="77777777" w:rsidR="001217CD" w:rsidRPr="001217CD" w:rsidRDefault="001217CD" w:rsidP="00972B99">
            <w:pPr>
              <w:jc w:val="center"/>
              <w:rPr>
                <w:rFonts w:ascii="Arial" w:hAnsi="Arial"/>
                <w:sz w:val="20"/>
                <w:szCs w:val="20"/>
                <w:lang w:val="fr-FR"/>
              </w:rPr>
            </w:pPr>
            <w:r w:rsidRPr="001217CD">
              <w:rPr>
                <w:rFonts w:ascii="Arial" w:hAnsi="Arial"/>
                <w:sz w:val="20"/>
                <w:szCs w:val="20"/>
                <w:lang w:val="fr-FR"/>
              </w:rPr>
              <w:t>&lt; 10% du prix d’acquisition</w:t>
            </w:r>
          </w:p>
        </w:tc>
        <w:tc>
          <w:tcPr>
            <w:tcW w:w="2409" w:type="dxa"/>
            <w:vMerge w:val="restart"/>
          </w:tcPr>
          <w:p w14:paraId="2A0CECE6" w14:textId="77777777" w:rsidR="001217CD" w:rsidRPr="001217CD" w:rsidRDefault="001217CD" w:rsidP="00972B99">
            <w:pPr>
              <w:jc w:val="center"/>
              <w:rPr>
                <w:rFonts w:ascii="Arial" w:hAnsi="Arial"/>
                <w:sz w:val="20"/>
                <w:szCs w:val="20"/>
                <w:lang w:val="fr-FR"/>
              </w:rPr>
            </w:pPr>
          </w:p>
          <w:p w14:paraId="4CE8F797" w14:textId="77777777" w:rsidR="001217CD" w:rsidRPr="001217CD" w:rsidRDefault="001217CD" w:rsidP="00972B99">
            <w:pPr>
              <w:jc w:val="center"/>
              <w:rPr>
                <w:rFonts w:ascii="Arial" w:hAnsi="Arial"/>
                <w:sz w:val="20"/>
                <w:szCs w:val="20"/>
                <w:lang w:val="fr-FR"/>
              </w:rPr>
            </w:pPr>
            <w:r w:rsidRPr="001217CD">
              <w:rPr>
                <w:rFonts w:ascii="Arial" w:hAnsi="Arial"/>
                <w:sz w:val="20"/>
                <w:szCs w:val="20"/>
                <w:lang w:val="fr-FR"/>
              </w:rPr>
              <w:t>Imposition lors du remboursement</w:t>
            </w:r>
          </w:p>
        </w:tc>
        <w:tc>
          <w:tcPr>
            <w:tcW w:w="3686" w:type="dxa"/>
          </w:tcPr>
          <w:p w14:paraId="206F3300" w14:textId="77777777" w:rsidR="001217CD" w:rsidRPr="001217CD" w:rsidRDefault="001217CD" w:rsidP="00972B99">
            <w:pPr>
              <w:jc w:val="center"/>
              <w:rPr>
                <w:rFonts w:ascii="Arial" w:hAnsi="Arial"/>
                <w:sz w:val="20"/>
                <w:szCs w:val="20"/>
                <w:lang w:val="fr-FR"/>
              </w:rPr>
            </w:pPr>
            <w:r w:rsidRPr="001217CD">
              <w:rPr>
                <w:rFonts w:ascii="Arial" w:hAnsi="Arial"/>
                <w:sz w:val="20"/>
                <w:szCs w:val="20"/>
                <w:lang w:val="fr-FR"/>
              </w:rPr>
              <w:t>Imposition lors du remboursement</w:t>
            </w:r>
          </w:p>
        </w:tc>
      </w:tr>
      <w:tr w:rsidR="001217CD" w:rsidRPr="00D65643" w14:paraId="0FB39BAB" w14:textId="77777777" w:rsidTr="001217CD">
        <w:tc>
          <w:tcPr>
            <w:tcW w:w="2235" w:type="dxa"/>
          </w:tcPr>
          <w:p w14:paraId="6FB13B91" w14:textId="77777777" w:rsidR="001217CD" w:rsidRPr="001217CD" w:rsidRDefault="001217CD" w:rsidP="00972B99">
            <w:pPr>
              <w:jc w:val="center"/>
              <w:rPr>
                <w:rFonts w:ascii="Arial" w:hAnsi="Arial"/>
                <w:sz w:val="20"/>
                <w:szCs w:val="20"/>
                <w:lang w:val="fr-FR"/>
              </w:rPr>
            </w:pPr>
            <w:r w:rsidRPr="001217CD">
              <w:rPr>
                <w:rFonts w:ascii="Arial" w:hAnsi="Arial"/>
                <w:sz w:val="20"/>
                <w:szCs w:val="20"/>
                <w:lang w:val="fr-FR"/>
              </w:rPr>
              <w:t>&gt; 10% du prix d’acquisition</w:t>
            </w:r>
          </w:p>
        </w:tc>
        <w:tc>
          <w:tcPr>
            <w:tcW w:w="2409" w:type="dxa"/>
            <w:vMerge/>
          </w:tcPr>
          <w:p w14:paraId="1259FA3D" w14:textId="77777777" w:rsidR="001217CD" w:rsidRPr="001217CD" w:rsidRDefault="001217CD" w:rsidP="00972B99">
            <w:pPr>
              <w:jc w:val="center"/>
              <w:rPr>
                <w:rFonts w:ascii="Arial" w:hAnsi="Arial"/>
                <w:sz w:val="20"/>
                <w:szCs w:val="20"/>
                <w:lang w:val="fr-FR"/>
              </w:rPr>
            </w:pPr>
          </w:p>
        </w:tc>
        <w:tc>
          <w:tcPr>
            <w:tcW w:w="3686" w:type="dxa"/>
          </w:tcPr>
          <w:p w14:paraId="20E1C0F1" w14:textId="62D4CB3A" w:rsidR="001217CD" w:rsidRPr="00FF56F4" w:rsidRDefault="001217CD" w:rsidP="00972B99">
            <w:pPr>
              <w:jc w:val="center"/>
              <w:rPr>
                <w:rFonts w:ascii="Arial" w:hAnsi="Arial"/>
                <w:i/>
                <w:sz w:val="20"/>
                <w:szCs w:val="20"/>
                <w:lang w:val="fr-FR"/>
              </w:rPr>
            </w:pPr>
            <w:r w:rsidRPr="00FF56F4">
              <w:rPr>
                <w:rFonts w:ascii="Arial" w:hAnsi="Arial"/>
                <w:i/>
                <w:sz w:val="20"/>
                <w:szCs w:val="20"/>
                <w:lang w:val="fr-FR"/>
              </w:rPr>
              <w:t>Imposition annuelle actuarielle progressive</w:t>
            </w:r>
            <w:r w:rsidR="005770D1">
              <w:rPr>
                <w:rStyle w:val="Appelnotedebasdep"/>
                <w:rFonts w:ascii="Arial" w:hAnsi="Arial"/>
                <w:i/>
                <w:sz w:val="20"/>
                <w:szCs w:val="20"/>
                <w:lang w:val="fr-FR"/>
              </w:rPr>
              <w:footnoteReference w:id="8"/>
            </w:r>
          </w:p>
        </w:tc>
      </w:tr>
    </w:tbl>
    <w:p w14:paraId="7867B8D9" w14:textId="77777777" w:rsidR="00931E43" w:rsidRPr="00A619A0" w:rsidRDefault="00931E43" w:rsidP="00931E43">
      <w:pPr>
        <w:jc w:val="both"/>
        <w:rPr>
          <w:rFonts w:ascii="Arial" w:hAnsi="Arial"/>
          <w:sz w:val="22"/>
          <w:lang w:val="fr-FR"/>
        </w:rPr>
      </w:pPr>
    </w:p>
    <w:p w14:paraId="2B5BF08E" w14:textId="77777777" w:rsidR="001573B3" w:rsidRDefault="001573B3" w:rsidP="00CB2288">
      <w:pPr>
        <w:rPr>
          <w:rFonts w:ascii="Arial" w:hAnsi="Arial"/>
          <w:b/>
          <w:sz w:val="22"/>
          <w:lang w:val="fr-FR"/>
        </w:rPr>
      </w:pPr>
    </w:p>
    <w:p w14:paraId="756D7E5B" w14:textId="0B51543F" w:rsidR="00E34AA6" w:rsidRPr="00A619A0" w:rsidRDefault="00E34AA6" w:rsidP="00E34AA6">
      <w:pPr>
        <w:jc w:val="center"/>
        <w:rPr>
          <w:rFonts w:ascii="Arial" w:hAnsi="Arial"/>
          <w:b/>
          <w:sz w:val="22"/>
          <w:lang w:val="fr-FR"/>
        </w:rPr>
      </w:pPr>
      <w:r w:rsidRPr="00A619A0">
        <w:rPr>
          <w:rFonts w:ascii="Arial" w:hAnsi="Arial"/>
          <w:b/>
          <w:sz w:val="22"/>
          <w:lang w:val="fr-FR"/>
        </w:rPr>
        <w:t>TABLEAU II -</w:t>
      </w:r>
      <w:r w:rsidR="007521A5" w:rsidRPr="00A619A0">
        <w:rPr>
          <w:rFonts w:ascii="Arial" w:hAnsi="Arial"/>
          <w:b/>
          <w:sz w:val="22"/>
          <w:lang w:val="fr-FR"/>
        </w:rPr>
        <w:t xml:space="preserve"> PÉRIODE D’IMPOSITION </w:t>
      </w:r>
      <w:r w:rsidR="007521A5" w:rsidRPr="000676F8">
        <w:rPr>
          <w:rFonts w:ascii="Arial" w:hAnsi="Arial"/>
          <w:b/>
          <w:sz w:val="22"/>
          <w:u w:val="single"/>
          <w:lang w:val="fr-FR"/>
        </w:rPr>
        <w:t>POUR LE</w:t>
      </w:r>
      <w:r w:rsidRPr="000676F8">
        <w:rPr>
          <w:rFonts w:ascii="Arial" w:hAnsi="Arial"/>
          <w:b/>
          <w:sz w:val="22"/>
          <w:u w:val="single"/>
          <w:lang w:val="fr-FR"/>
        </w:rPr>
        <w:t>S</w:t>
      </w:r>
      <w:r w:rsidR="007521A5" w:rsidRPr="000676F8">
        <w:rPr>
          <w:rFonts w:ascii="Arial" w:hAnsi="Arial"/>
          <w:b/>
          <w:sz w:val="22"/>
          <w:u w:val="single"/>
          <w:lang w:val="fr-FR"/>
        </w:rPr>
        <w:t xml:space="preserve"> </w:t>
      </w:r>
      <w:r w:rsidRPr="000676F8">
        <w:rPr>
          <w:rFonts w:ascii="Arial" w:hAnsi="Arial"/>
          <w:b/>
          <w:sz w:val="22"/>
          <w:u w:val="single"/>
          <w:lang w:val="fr-FR"/>
        </w:rPr>
        <w:t>PERSONNES SOUMISES À L’IR (RCM)</w:t>
      </w:r>
      <w:r w:rsidRPr="00A619A0">
        <w:rPr>
          <w:rFonts w:ascii="Arial" w:hAnsi="Arial"/>
          <w:b/>
          <w:sz w:val="22"/>
          <w:lang w:val="fr-FR"/>
        </w:rPr>
        <w:t xml:space="preserve"> DES PRIMES</w:t>
      </w:r>
      <w:r w:rsidR="0018048E">
        <w:rPr>
          <w:rFonts w:ascii="Arial" w:hAnsi="Arial"/>
          <w:b/>
          <w:sz w:val="22"/>
          <w:lang w:val="fr-FR"/>
        </w:rPr>
        <w:t xml:space="preserve"> ET DES INTÉRÊTS CAPITALISÉS</w:t>
      </w:r>
    </w:p>
    <w:p w14:paraId="081BE541" w14:textId="77777777" w:rsidR="00931E43" w:rsidRPr="00A619A0" w:rsidRDefault="00931E43" w:rsidP="00174C3B">
      <w:pPr>
        <w:jc w:val="both"/>
        <w:rPr>
          <w:rFonts w:ascii="Arial" w:hAnsi="Arial"/>
          <w:sz w:val="22"/>
          <w:lang w:val="fr-FR"/>
        </w:rPr>
      </w:pPr>
    </w:p>
    <w:tbl>
      <w:tblPr>
        <w:tblStyle w:val="Grilledutableau"/>
        <w:tblW w:w="0" w:type="auto"/>
        <w:tblLook w:val="04A0" w:firstRow="1" w:lastRow="0" w:firstColumn="1" w:lastColumn="0" w:noHBand="0" w:noVBand="1"/>
      </w:tblPr>
      <w:tblGrid>
        <w:gridCol w:w="2802"/>
        <w:gridCol w:w="3685"/>
      </w:tblGrid>
      <w:tr w:rsidR="008D0E1E" w:rsidRPr="00D65643" w14:paraId="177D0553" w14:textId="77777777" w:rsidTr="00F3182D">
        <w:trPr>
          <w:trHeight w:val="700"/>
        </w:trPr>
        <w:tc>
          <w:tcPr>
            <w:tcW w:w="2802" w:type="dxa"/>
            <w:tcBorders>
              <w:top w:val="nil"/>
              <w:left w:val="nil"/>
            </w:tcBorders>
          </w:tcPr>
          <w:p w14:paraId="5D889C65" w14:textId="77777777" w:rsidR="008D0E1E" w:rsidRPr="008D0E1E" w:rsidRDefault="008D0E1E" w:rsidP="008D0E1E">
            <w:pPr>
              <w:rPr>
                <w:rFonts w:ascii="Arial" w:hAnsi="Arial"/>
                <w:sz w:val="20"/>
                <w:szCs w:val="20"/>
                <w:lang w:val="fr-FR"/>
              </w:rPr>
            </w:pPr>
          </w:p>
          <w:p w14:paraId="727AF388" w14:textId="35B38ECB" w:rsidR="008D0E1E" w:rsidRPr="008D0E1E" w:rsidRDefault="008D0E1E" w:rsidP="00972B99">
            <w:pPr>
              <w:jc w:val="center"/>
              <w:rPr>
                <w:rFonts w:ascii="Arial" w:hAnsi="Arial"/>
                <w:sz w:val="20"/>
                <w:szCs w:val="20"/>
                <w:lang w:val="fr-FR"/>
              </w:rPr>
            </w:pPr>
            <w:r w:rsidRPr="008D0E1E">
              <w:rPr>
                <w:rFonts w:ascii="Arial" w:hAnsi="Arial"/>
                <w:sz w:val="20"/>
                <w:szCs w:val="20"/>
                <w:lang w:val="fr-FR"/>
              </w:rPr>
              <w:t>Prime</w:t>
            </w:r>
          </w:p>
        </w:tc>
        <w:tc>
          <w:tcPr>
            <w:tcW w:w="3685" w:type="dxa"/>
          </w:tcPr>
          <w:p w14:paraId="4786F79F" w14:textId="77777777" w:rsidR="008D0E1E" w:rsidRPr="008D0E1E" w:rsidRDefault="008D0E1E" w:rsidP="008D0E1E">
            <w:pPr>
              <w:jc w:val="center"/>
              <w:rPr>
                <w:rFonts w:ascii="Arial" w:hAnsi="Arial"/>
                <w:sz w:val="20"/>
                <w:szCs w:val="20"/>
                <w:lang w:val="fr-FR"/>
              </w:rPr>
            </w:pPr>
          </w:p>
          <w:p w14:paraId="05FB5F20" w14:textId="7B94564F" w:rsidR="008D0E1E" w:rsidRPr="008D0E1E" w:rsidRDefault="009853B7" w:rsidP="008D0E1E">
            <w:pPr>
              <w:jc w:val="center"/>
              <w:rPr>
                <w:rFonts w:ascii="Arial" w:hAnsi="Arial"/>
                <w:sz w:val="20"/>
                <w:szCs w:val="20"/>
                <w:lang w:val="fr-FR"/>
              </w:rPr>
            </w:pPr>
            <w:r>
              <w:rPr>
                <w:rFonts w:ascii="Arial" w:hAnsi="Arial"/>
                <w:sz w:val="20"/>
                <w:szCs w:val="20"/>
                <w:lang w:val="fr-FR"/>
              </w:rPr>
              <w:t>É</w:t>
            </w:r>
            <w:r w:rsidR="008D0E1E" w:rsidRPr="008D0E1E">
              <w:rPr>
                <w:rFonts w:ascii="Arial" w:hAnsi="Arial"/>
                <w:sz w:val="20"/>
                <w:szCs w:val="20"/>
                <w:lang w:val="fr-FR"/>
              </w:rPr>
              <w:t>mission &gt; 0</w:t>
            </w:r>
            <w:r w:rsidR="00395183">
              <w:rPr>
                <w:rFonts w:ascii="Arial" w:hAnsi="Arial"/>
                <w:sz w:val="20"/>
                <w:szCs w:val="20"/>
                <w:lang w:val="fr-FR"/>
              </w:rPr>
              <w:t>1/01/93</w:t>
            </w:r>
          </w:p>
        </w:tc>
      </w:tr>
      <w:tr w:rsidR="008D0E1E" w:rsidRPr="00D65643" w14:paraId="556C3393" w14:textId="77777777" w:rsidTr="000F6901">
        <w:tc>
          <w:tcPr>
            <w:tcW w:w="2802" w:type="dxa"/>
          </w:tcPr>
          <w:p w14:paraId="4BEADCD8" w14:textId="5576F6EF" w:rsidR="008D0E1E" w:rsidRPr="008D0E1E" w:rsidRDefault="008D0E1E" w:rsidP="00972B99">
            <w:pPr>
              <w:jc w:val="center"/>
              <w:rPr>
                <w:rFonts w:ascii="Arial" w:hAnsi="Arial"/>
                <w:sz w:val="20"/>
                <w:szCs w:val="20"/>
                <w:lang w:val="fr-FR"/>
              </w:rPr>
            </w:pPr>
            <w:r w:rsidRPr="008D0E1E">
              <w:rPr>
                <w:rFonts w:ascii="Arial" w:hAnsi="Arial"/>
                <w:sz w:val="20"/>
                <w:szCs w:val="20"/>
                <w:lang w:val="fr-FR"/>
              </w:rPr>
              <w:t>&lt; 10% du prix d’acquisition</w:t>
            </w:r>
          </w:p>
        </w:tc>
        <w:tc>
          <w:tcPr>
            <w:tcW w:w="3685" w:type="dxa"/>
            <w:vMerge w:val="restart"/>
          </w:tcPr>
          <w:p w14:paraId="743A7D11" w14:textId="77777777" w:rsidR="008D0E1E" w:rsidRPr="008D0E1E" w:rsidRDefault="008D0E1E" w:rsidP="008D0E1E">
            <w:pPr>
              <w:jc w:val="center"/>
              <w:rPr>
                <w:rFonts w:ascii="Arial" w:hAnsi="Arial"/>
                <w:sz w:val="20"/>
                <w:szCs w:val="20"/>
                <w:lang w:val="fr-FR"/>
              </w:rPr>
            </w:pPr>
          </w:p>
          <w:p w14:paraId="0C272968" w14:textId="6FF06408" w:rsidR="008D0E1E" w:rsidRPr="008D0E1E" w:rsidRDefault="008D0E1E" w:rsidP="008D0E1E">
            <w:pPr>
              <w:jc w:val="center"/>
              <w:rPr>
                <w:rFonts w:ascii="Arial" w:hAnsi="Arial"/>
                <w:sz w:val="20"/>
                <w:szCs w:val="20"/>
                <w:lang w:val="fr-FR"/>
              </w:rPr>
            </w:pPr>
            <w:r w:rsidRPr="008D0E1E">
              <w:rPr>
                <w:rFonts w:ascii="Arial" w:hAnsi="Arial"/>
                <w:sz w:val="20"/>
                <w:szCs w:val="20"/>
                <w:lang w:val="fr-FR"/>
              </w:rPr>
              <w:t>Imposition lors du remboursement</w:t>
            </w:r>
          </w:p>
        </w:tc>
      </w:tr>
      <w:tr w:rsidR="008D0E1E" w:rsidRPr="00D65643" w14:paraId="3105313F" w14:textId="77777777" w:rsidTr="00F3182D">
        <w:trPr>
          <w:trHeight w:val="470"/>
        </w:trPr>
        <w:tc>
          <w:tcPr>
            <w:tcW w:w="2802" w:type="dxa"/>
          </w:tcPr>
          <w:p w14:paraId="2C3EA27D" w14:textId="2D48A92A" w:rsidR="008D0E1E" w:rsidRPr="008D0E1E" w:rsidRDefault="008D0E1E" w:rsidP="00972B99">
            <w:pPr>
              <w:jc w:val="center"/>
              <w:rPr>
                <w:rFonts w:ascii="Arial" w:hAnsi="Arial"/>
                <w:sz w:val="20"/>
                <w:szCs w:val="20"/>
                <w:lang w:val="fr-FR"/>
              </w:rPr>
            </w:pPr>
            <w:r w:rsidRPr="008D0E1E">
              <w:rPr>
                <w:rFonts w:ascii="Arial" w:hAnsi="Arial"/>
                <w:sz w:val="20"/>
                <w:szCs w:val="20"/>
                <w:lang w:val="fr-FR"/>
              </w:rPr>
              <w:t>&gt; 10% du prix d’acquisition</w:t>
            </w:r>
          </w:p>
        </w:tc>
        <w:tc>
          <w:tcPr>
            <w:tcW w:w="3685" w:type="dxa"/>
            <w:vMerge/>
          </w:tcPr>
          <w:p w14:paraId="190D5F14" w14:textId="458535FD" w:rsidR="008D0E1E" w:rsidRPr="00D65643" w:rsidRDefault="008D0E1E" w:rsidP="00972B99">
            <w:pPr>
              <w:jc w:val="center"/>
              <w:rPr>
                <w:rFonts w:ascii="Arial" w:hAnsi="Arial"/>
                <w:color w:val="FF0000"/>
                <w:sz w:val="20"/>
                <w:szCs w:val="20"/>
                <w:lang w:val="fr-FR"/>
              </w:rPr>
            </w:pPr>
          </w:p>
        </w:tc>
      </w:tr>
    </w:tbl>
    <w:p w14:paraId="6FC636DF" w14:textId="77777777" w:rsidR="00931E43" w:rsidRPr="00A619A0" w:rsidRDefault="00931E43" w:rsidP="00174C3B">
      <w:pPr>
        <w:jc w:val="both"/>
        <w:rPr>
          <w:rFonts w:ascii="Arial" w:hAnsi="Arial"/>
          <w:sz w:val="22"/>
          <w:lang w:val="fr-FR"/>
        </w:rPr>
      </w:pPr>
    </w:p>
    <w:p w14:paraId="2048B937" w14:textId="77777777" w:rsidR="004302A8" w:rsidRPr="00A619A0" w:rsidRDefault="004302A8" w:rsidP="00174C3B">
      <w:pPr>
        <w:jc w:val="both"/>
        <w:rPr>
          <w:rFonts w:ascii="Arial" w:hAnsi="Arial"/>
          <w:sz w:val="22"/>
          <w:lang w:val="fr-FR"/>
        </w:rPr>
      </w:pPr>
    </w:p>
    <w:p w14:paraId="12EE1CAA" w14:textId="77777777" w:rsidR="004302A8" w:rsidRPr="00A619A0" w:rsidRDefault="004302A8" w:rsidP="00174C3B">
      <w:pPr>
        <w:jc w:val="both"/>
        <w:rPr>
          <w:rFonts w:ascii="Arial" w:hAnsi="Arial"/>
          <w:sz w:val="22"/>
          <w:lang w:val="fr-FR"/>
        </w:rPr>
      </w:pPr>
    </w:p>
    <w:p w14:paraId="2DDAA920" w14:textId="77777777" w:rsidR="004302A8" w:rsidRPr="00A619A0" w:rsidRDefault="004302A8" w:rsidP="004302A8">
      <w:pPr>
        <w:jc w:val="both"/>
        <w:rPr>
          <w:rFonts w:ascii="Arial" w:hAnsi="Arial"/>
          <w:b/>
          <w:sz w:val="22"/>
          <w:lang w:val="fr-FR"/>
        </w:rPr>
      </w:pPr>
      <w:r w:rsidRPr="00A619A0">
        <w:rPr>
          <w:rFonts w:ascii="Arial" w:hAnsi="Arial"/>
          <w:b/>
          <w:sz w:val="22"/>
          <w:lang w:val="fr-FR"/>
        </w:rPr>
        <w:t>V - 2 La situation de l’émetteur</w:t>
      </w:r>
    </w:p>
    <w:p w14:paraId="0F97E305" w14:textId="59E77873" w:rsidR="002E5184" w:rsidRPr="00A619A0" w:rsidRDefault="002E5184" w:rsidP="002E5184">
      <w:pPr>
        <w:jc w:val="both"/>
        <w:rPr>
          <w:rFonts w:ascii="Arial" w:hAnsi="Arial"/>
          <w:b/>
          <w:sz w:val="22"/>
          <w:lang w:val="fr-FR"/>
        </w:rPr>
      </w:pPr>
      <w:r w:rsidRPr="00A619A0">
        <w:rPr>
          <w:rFonts w:ascii="Arial" w:hAnsi="Arial"/>
          <w:b/>
          <w:sz w:val="22"/>
          <w:lang w:val="fr-FR"/>
        </w:rPr>
        <w:t>Intérêts</w:t>
      </w:r>
    </w:p>
    <w:p w14:paraId="3E8A6BDC" w14:textId="255E9A54" w:rsidR="002E5184" w:rsidRPr="00A619A0" w:rsidRDefault="002E5184" w:rsidP="002E5184">
      <w:pPr>
        <w:jc w:val="both"/>
        <w:rPr>
          <w:rFonts w:ascii="Arial" w:hAnsi="Arial"/>
          <w:sz w:val="22"/>
          <w:lang w:val="fr-FR"/>
        </w:rPr>
      </w:pPr>
      <w:r w:rsidRPr="00A619A0">
        <w:rPr>
          <w:rFonts w:ascii="Arial" w:hAnsi="Arial"/>
          <w:sz w:val="22"/>
          <w:lang w:val="fr-FR"/>
        </w:rPr>
        <w:t xml:space="preserve">Les intérêts des obligations émises par une société sont déductibles des résultats de cette société selon les conditions générales de déduction des charges. Il en est de même pour les frais de gestion de l’emprunt ; </w:t>
      </w:r>
      <w:r w:rsidR="006E02D0" w:rsidRPr="00A619A0">
        <w:rPr>
          <w:rFonts w:ascii="Arial" w:hAnsi="Arial"/>
          <w:sz w:val="22"/>
          <w:lang w:val="fr-FR"/>
        </w:rPr>
        <w:t xml:space="preserve">toutefois, </w:t>
      </w:r>
      <w:r w:rsidRPr="00A619A0">
        <w:rPr>
          <w:rFonts w:ascii="Arial" w:hAnsi="Arial"/>
          <w:sz w:val="22"/>
          <w:lang w:val="fr-FR"/>
        </w:rPr>
        <w:t>la déduction des frais d’émission peut être étalée dans le temps.</w:t>
      </w:r>
    </w:p>
    <w:p w14:paraId="5F58B81A" w14:textId="77777777" w:rsidR="002E5184" w:rsidRPr="00A619A0" w:rsidRDefault="002E5184" w:rsidP="002E5184">
      <w:pPr>
        <w:jc w:val="both"/>
        <w:rPr>
          <w:rFonts w:ascii="Arial" w:hAnsi="Arial"/>
          <w:sz w:val="22"/>
          <w:lang w:val="fr-FR"/>
        </w:rPr>
      </w:pPr>
    </w:p>
    <w:p w14:paraId="49BDE760" w14:textId="6A0A7567" w:rsidR="002E5184" w:rsidRPr="00B50AD2" w:rsidRDefault="002E5184" w:rsidP="00715F44">
      <w:pPr>
        <w:jc w:val="both"/>
        <w:rPr>
          <w:rFonts w:ascii="Arial" w:hAnsi="Arial"/>
          <w:b/>
          <w:sz w:val="22"/>
          <w:lang w:val="fr-FR"/>
        </w:rPr>
      </w:pPr>
      <w:r w:rsidRPr="00B50AD2">
        <w:rPr>
          <w:rFonts w:ascii="Arial" w:hAnsi="Arial"/>
          <w:b/>
          <w:sz w:val="22"/>
          <w:lang w:val="fr-FR"/>
        </w:rPr>
        <w:lastRenderedPageBreak/>
        <w:t>Primes d</w:t>
      </w:r>
      <w:r w:rsidR="006E02D0" w:rsidRPr="00B50AD2">
        <w:rPr>
          <w:rFonts w:ascii="Arial" w:hAnsi="Arial"/>
          <w:b/>
          <w:sz w:val="22"/>
          <w:lang w:val="fr-FR"/>
        </w:rPr>
        <w:t>’</w:t>
      </w:r>
      <w:r w:rsidRPr="00B50AD2">
        <w:rPr>
          <w:rFonts w:ascii="Arial" w:hAnsi="Arial"/>
          <w:b/>
          <w:sz w:val="22"/>
          <w:lang w:val="fr-FR"/>
        </w:rPr>
        <w:t>émission ou de remboursement et lots</w:t>
      </w:r>
    </w:p>
    <w:p w14:paraId="389704EC" w14:textId="7968E029" w:rsidR="004302A8" w:rsidRPr="00B50AD2" w:rsidRDefault="004302A8" w:rsidP="00715F44">
      <w:pPr>
        <w:jc w:val="both"/>
        <w:rPr>
          <w:rFonts w:ascii="Arial" w:hAnsi="Arial"/>
          <w:sz w:val="22"/>
          <w:lang w:val="fr-FR"/>
        </w:rPr>
      </w:pPr>
      <w:r w:rsidRPr="00B50AD2">
        <w:rPr>
          <w:rFonts w:ascii="Arial" w:hAnsi="Arial"/>
          <w:sz w:val="22"/>
          <w:lang w:val="fr-FR"/>
        </w:rPr>
        <w:t>Pour la prime de remboursement, deux possibilités d</w:t>
      </w:r>
      <w:r w:rsidR="006E02D0" w:rsidRPr="00B50AD2">
        <w:rPr>
          <w:rFonts w:ascii="Arial" w:hAnsi="Arial"/>
          <w:sz w:val="22"/>
          <w:lang w:val="fr-FR"/>
        </w:rPr>
        <w:t>’</w:t>
      </w:r>
      <w:r w:rsidRPr="00B50AD2">
        <w:rPr>
          <w:rFonts w:ascii="Arial" w:hAnsi="Arial"/>
          <w:sz w:val="22"/>
          <w:lang w:val="fr-FR"/>
        </w:rPr>
        <w:t>amortissement existent, selon le PCG</w:t>
      </w:r>
      <w:r w:rsidR="006E02D0" w:rsidRPr="00B50AD2">
        <w:rPr>
          <w:rFonts w:ascii="Arial" w:hAnsi="Arial"/>
          <w:sz w:val="22"/>
          <w:lang w:val="fr-FR"/>
        </w:rPr>
        <w:t> </w:t>
      </w:r>
      <w:r w:rsidRPr="00B50AD2">
        <w:rPr>
          <w:rFonts w:ascii="Arial" w:hAnsi="Arial"/>
          <w:sz w:val="22"/>
          <w:lang w:val="fr-FR"/>
        </w:rPr>
        <w:t xml:space="preserve">: </w:t>
      </w:r>
      <w:r w:rsidRPr="00B50AD2">
        <w:rPr>
          <w:rFonts w:ascii="Arial" w:hAnsi="Arial"/>
          <w:b/>
          <w:i/>
          <w:sz w:val="22"/>
          <w:lang w:val="fr-FR"/>
        </w:rPr>
        <w:t>361-2</w:t>
      </w:r>
      <w:r w:rsidRPr="00B50AD2">
        <w:rPr>
          <w:rFonts w:ascii="Arial" w:hAnsi="Arial"/>
          <w:i/>
          <w:sz w:val="22"/>
          <w:lang w:val="fr-FR"/>
        </w:rPr>
        <w:t xml:space="preserve">. </w:t>
      </w:r>
      <w:r w:rsidRPr="00B50AD2">
        <w:rPr>
          <w:rFonts w:ascii="Arial" w:hAnsi="Arial"/>
          <w:b/>
          <w:i/>
          <w:sz w:val="22"/>
          <w:lang w:val="fr-FR"/>
        </w:rPr>
        <w:t xml:space="preserve">– </w:t>
      </w:r>
      <w:r w:rsidRPr="00B50AD2">
        <w:rPr>
          <w:rFonts w:ascii="Arial" w:hAnsi="Arial"/>
          <w:i/>
          <w:sz w:val="22"/>
          <w:lang w:val="fr-FR"/>
        </w:rPr>
        <w:t>(Règlement n°2004-06 du CRC) – Le montant des primes de remboursement d’emprunt est amorti systématiquement sur la durée de l’emprunt soit au prorata des intérêts courus, soit par fractions égales. Toutefois, les primes afférentes à la fraction d’emprunt remboursée sont toujours amorties)</w:t>
      </w:r>
    </w:p>
    <w:p w14:paraId="14A4927A" w14:textId="77777777" w:rsidR="004302A8" w:rsidRPr="00A619A0" w:rsidRDefault="004302A8" w:rsidP="00715F44">
      <w:pPr>
        <w:jc w:val="both"/>
        <w:rPr>
          <w:rFonts w:ascii="Arial" w:hAnsi="Arial"/>
          <w:sz w:val="22"/>
          <w:lang w:val="fr-FR"/>
        </w:rPr>
      </w:pPr>
    </w:p>
    <w:p w14:paraId="08940367" w14:textId="77777777" w:rsidR="004302A8" w:rsidRPr="00A619A0" w:rsidRDefault="004302A8" w:rsidP="00715F44">
      <w:pPr>
        <w:pStyle w:val="GENEVA"/>
        <w:jc w:val="both"/>
        <w:rPr>
          <w:rFonts w:ascii="Arial" w:hAnsi="Arial"/>
        </w:rPr>
      </w:pPr>
      <w:r w:rsidRPr="00A619A0">
        <w:rPr>
          <w:rFonts w:ascii="Arial" w:hAnsi="Arial"/>
        </w:rPr>
        <w:t>Cette dernière remarque signifie qu’on doit s’assurer que la dotation est ≥ à la valeur de la prime effectivement remboursée.</w:t>
      </w:r>
    </w:p>
    <w:p w14:paraId="315338EC" w14:textId="77777777" w:rsidR="004302A8" w:rsidRPr="00A619A0" w:rsidRDefault="004302A8" w:rsidP="00715F44">
      <w:pPr>
        <w:numPr>
          <w:ilvl w:val="0"/>
          <w:numId w:val="1"/>
        </w:numPr>
        <w:tabs>
          <w:tab w:val="left" w:pos="780"/>
        </w:tabs>
        <w:jc w:val="both"/>
        <w:rPr>
          <w:rFonts w:ascii="Arial" w:hAnsi="Arial"/>
          <w:sz w:val="22"/>
          <w:lang w:val="fr-FR"/>
        </w:rPr>
      </w:pPr>
      <w:proofErr w:type="gramStart"/>
      <w:r w:rsidRPr="00A619A0">
        <w:rPr>
          <w:rFonts w:ascii="Arial" w:hAnsi="Arial"/>
          <w:sz w:val="22"/>
          <w:lang w:val="fr-FR"/>
        </w:rPr>
        <w:t>au</w:t>
      </w:r>
      <w:proofErr w:type="gramEnd"/>
      <w:r w:rsidRPr="00A619A0">
        <w:rPr>
          <w:rFonts w:ascii="Arial" w:hAnsi="Arial"/>
          <w:sz w:val="22"/>
          <w:lang w:val="fr-FR"/>
        </w:rPr>
        <w:t xml:space="preserve"> prorata des intérêts (ce qui correspond à un amortissement de type dégressif puisque les intérêts diminuent)</w:t>
      </w:r>
    </w:p>
    <w:p w14:paraId="1D32B691" w14:textId="3DA3A728" w:rsidR="009F540C" w:rsidRPr="00A619A0" w:rsidRDefault="004302A8" w:rsidP="00715F44">
      <w:pPr>
        <w:numPr>
          <w:ilvl w:val="0"/>
          <w:numId w:val="1"/>
        </w:numPr>
        <w:tabs>
          <w:tab w:val="left" w:pos="780"/>
        </w:tabs>
        <w:jc w:val="both"/>
        <w:rPr>
          <w:rFonts w:ascii="Arial" w:hAnsi="Arial"/>
          <w:sz w:val="22"/>
          <w:lang w:val="fr-FR"/>
        </w:rPr>
      </w:pPr>
      <w:proofErr w:type="gramStart"/>
      <w:r w:rsidRPr="00A619A0">
        <w:rPr>
          <w:rFonts w:ascii="Arial" w:hAnsi="Arial"/>
          <w:sz w:val="22"/>
          <w:lang w:val="fr-FR"/>
        </w:rPr>
        <w:t>au</w:t>
      </w:r>
      <w:proofErr w:type="gramEnd"/>
      <w:r w:rsidRPr="00A619A0">
        <w:rPr>
          <w:rFonts w:ascii="Arial" w:hAnsi="Arial"/>
          <w:sz w:val="22"/>
          <w:lang w:val="fr-FR"/>
        </w:rPr>
        <w:t xml:space="preserve"> prorata du temps</w:t>
      </w:r>
      <w:r w:rsidR="00867760" w:rsidRPr="00A619A0">
        <w:rPr>
          <w:rFonts w:ascii="Arial" w:hAnsi="Arial"/>
          <w:sz w:val="22"/>
          <w:lang w:val="fr-FR"/>
        </w:rPr>
        <w:t>, donc ici par fractions égales</w:t>
      </w:r>
    </w:p>
    <w:p w14:paraId="5DE7C428" w14:textId="77777777" w:rsidR="00932A59" w:rsidRPr="00A619A0" w:rsidRDefault="00932A59" w:rsidP="00715F44">
      <w:pPr>
        <w:tabs>
          <w:tab w:val="left" w:pos="780"/>
        </w:tabs>
        <w:jc w:val="both"/>
        <w:rPr>
          <w:rFonts w:ascii="Arial" w:hAnsi="Arial"/>
          <w:sz w:val="22"/>
          <w:lang w:val="fr-FR"/>
        </w:rPr>
      </w:pPr>
    </w:p>
    <w:p w14:paraId="1F5D14D7" w14:textId="2F1B26B7" w:rsidR="00932A59" w:rsidRPr="00A619A0" w:rsidRDefault="00932A59" w:rsidP="00715F44">
      <w:pPr>
        <w:tabs>
          <w:tab w:val="left" w:pos="780"/>
        </w:tabs>
        <w:jc w:val="both"/>
        <w:rPr>
          <w:rFonts w:ascii="Arial" w:hAnsi="Arial"/>
          <w:sz w:val="22"/>
          <w:lang w:val="fr-FR"/>
        </w:rPr>
      </w:pPr>
      <w:r w:rsidRPr="00A619A0">
        <w:rPr>
          <w:rFonts w:ascii="Arial" w:hAnsi="Arial"/>
          <w:sz w:val="22"/>
          <w:lang w:val="fr-FR"/>
        </w:rPr>
        <w:t>Sur ce point, la solution fiscale est identique à celle de la comptabilité.</w:t>
      </w:r>
    </w:p>
    <w:p w14:paraId="0C92BB09" w14:textId="77777777" w:rsidR="002E5184" w:rsidRPr="00A619A0" w:rsidRDefault="002E5184" w:rsidP="00715F44">
      <w:pPr>
        <w:tabs>
          <w:tab w:val="left" w:pos="780"/>
        </w:tabs>
        <w:jc w:val="both"/>
        <w:rPr>
          <w:rFonts w:ascii="Arial" w:hAnsi="Arial"/>
          <w:color w:val="FF0000"/>
          <w:sz w:val="22"/>
          <w:lang w:val="fr-FR"/>
        </w:rPr>
      </w:pPr>
    </w:p>
    <w:p w14:paraId="09230757" w14:textId="7CF7DC3F" w:rsidR="00673176" w:rsidRPr="00A619A0" w:rsidRDefault="00673176" w:rsidP="00715F44">
      <w:pPr>
        <w:tabs>
          <w:tab w:val="left" w:pos="780"/>
        </w:tabs>
        <w:jc w:val="both"/>
        <w:rPr>
          <w:rFonts w:ascii="Arial" w:hAnsi="Arial"/>
          <w:sz w:val="22"/>
          <w:lang w:val="fr-FR"/>
        </w:rPr>
      </w:pPr>
      <w:r w:rsidRPr="00A619A0">
        <w:rPr>
          <w:rFonts w:ascii="Arial" w:hAnsi="Arial"/>
          <w:sz w:val="22"/>
          <w:lang w:val="fr-FR"/>
        </w:rPr>
        <w:t>On remarque que, dans le cas fréquent de l’emprunt à remboursement unique in fine, la prime est amortie, alors même que l’emprunt n’est pas encore remboursé. Il y a donc un décrochage de l’amortissement de la prime par rapport au remboursement effectif.</w:t>
      </w:r>
    </w:p>
    <w:p w14:paraId="1FA44BAD" w14:textId="77777777" w:rsidR="00673176" w:rsidRPr="00A619A0" w:rsidRDefault="00673176" w:rsidP="00715F44">
      <w:pPr>
        <w:tabs>
          <w:tab w:val="left" w:pos="780"/>
        </w:tabs>
        <w:jc w:val="both"/>
        <w:rPr>
          <w:rFonts w:ascii="Arial" w:hAnsi="Arial"/>
          <w:sz w:val="22"/>
          <w:lang w:val="fr-FR"/>
        </w:rPr>
      </w:pPr>
    </w:p>
    <w:p w14:paraId="23500623" w14:textId="77777777" w:rsidR="00FF56F4" w:rsidRDefault="00FF56F4" w:rsidP="002E5184">
      <w:pPr>
        <w:tabs>
          <w:tab w:val="left" w:pos="780"/>
        </w:tabs>
        <w:jc w:val="both"/>
        <w:rPr>
          <w:rFonts w:ascii="Arial" w:hAnsi="Arial"/>
          <w:b/>
          <w:sz w:val="22"/>
          <w:lang w:val="fr-FR"/>
        </w:rPr>
      </w:pPr>
    </w:p>
    <w:p w14:paraId="5DA5EB52" w14:textId="6FC6D089" w:rsidR="002E5184" w:rsidRPr="00A619A0" w:rsidRDefault="002E5184" w:rsidP="002E5184">
      <w:pPr>
        <w:tabs>
          <w:tab w:val="left" w:pos="780"/>
        </w:tabs>
        <w:jc w:val="both"/>
        <w:rPr>
          <w:rFonts w:ascii="Arial" w:hAnsi="Arial"/>
          <w:b/>
          <w:sz w:val="22"/>
          <w:lang w:val="fr-FR"/>
        </w:rPr>
      </w:pPr>
      <w:r w:rsidRPr="00A619A0">
        <w:rPr>
          <w:rFonts w:ascii="Arial" w:hAnsi="Arial"/>
          <w:b/>
          <w:sz w:val="22"/>
          <w:lang w:val="fr-FR"/>
        </w:rPr>
        <w:t>Cas des obligations convertibles en actions</w:t>
      </w:r>
    </w:p>
    <w:p w14:paraId="296F5B85" w14:textId="63FBE0A6" w:rsidR="00574545" w:rsidRPr="00A619A0" w:rsidRDefault="002E5184" w:rsidP="00C44A3F">
      <w:pPr>
        <w:tabs>
          <w:tab w:val="left" w:pos="780"/>
        </w:tabs>
        <w:jc w:val="both"/>
        <w:rPr>
          <w:rFonts w:ascii="Arial" w:hAnsi="Arial"/>
          <w:color w:val="FF0000"/>
          <w:sz w:val="22"/>
          <w:lang w:val="fr-FR"/>
        </w:rPr>
      </w:pPr>
      <w:r w:rsidRPr="00A619A0">
        <w:rPr>
          <w:rFonts w:ascii="Arial" w:hAnsi="Arial"/>
          <w:sz w:val="22"/>
          <w:lang w:val="fr-FR"/>
        </w:rPr>
        <w:t xml:space="preserve">La valeur </w:t>
      </w:r>
      <w:r w:rsidRPr="00A619A0">
        <w:rPr>
          <w:rFonts w:ascii="Arial" w:hAnsi="Arial"/>
          <w:b/>
          <w:sz w:val="22"/>
          <w:u w:val="single"/>
          <w:lang w:val="fr-FR"/>
        </w:rPr>
        <w:t>nominale</w:t>
      </w:r>
      <w:r w:rsidRPr="00A619A0">
        <w:rPr>
          <w:rFonts w:ascii="Arial" w:hAnsi="Arial"/>
          <w:sz w:val="22"/>
          <w:lang w:val="fr-FR"/>
        </w:rPr>
        <w:t xml:space="preserve"> des obligations converties étant généralement supérieure à celle des actions émises en échange, la société émettrice est amenée à inscrire la différence au passif de son bilan sous un compte « Prime d</w:t>
      </w:r>
      <w:r w:rsidR="006E02D0" w:rsidRPr="00A619A0">
        <w:rPr>
          <w:rFonts w:ascii="Arial" w:hAnsi="Arial"/>
          <w:sz w:val="22"/>
          <w:lang w:val="fr-FR"/>
        </w:rPr>
        <w:t>’</w:t>
      </w:r>
      <w:r w:rsidRPr="00A619A0">
        <w:rPr>
          <w:rFonts w:ascii="Arial" w:hAnsi="Arial"/>
          <w:sz w:val="22"/>
          <w:lang w:val="fr-FR"/>
        </w:rPr>
        <w:t>émission » qui n</w:t>
      </w:r>
      <w:r w:rsidR="006E02D0" w:rsidRPr="00A619A0">
        <w:rPr>
          <w:rFonts w:ascii="Arial" w:hAnsi="Arial"/>
          <w:sz w:val="22"/>
          <w:lang w:val="fr-FR"/>
        </w:rPr>
        <w:t>’</w:t>
      </w:r>
      <w:r w:rsidRPr="00A619A0">
        <w:rPr>
          <w:rFonts w:ascii="Arial" w:hAnsi="Arial"/>
          <w:sz w:val="22"/>
          <w:lang w:val="fr-FR"/>
        </w:rPr>
        <w:t xml:space="preserve">est pas à comprendre dans le bénéfice </w:t>
      </w:r>
    </w:p>
    <w:p w14:paraId="2754C5CE" w14:textId="54B0932B" w:rsidR="00C44A3F" w:rsidRPr="00C44A3F" w:rsidRDefault="00C44A3F" w:rsidP="002E5184">
      <w:pPr>
        <w:tabs>
          <w:tab w:val="left" w:pos="780"/>
        </w:tabs>
        <w:jc w:val="both"/>
        <w:rPr>
          <w:rFonts w:ascii="Arial" w:hAnsi="Arial"/>
          <w:bCs/>
          <w:sz w:val="22"/>
          <w:lang w:val="fr-FR"/>
        </w:rPr>
      </w:pPr>
      <w:r w:rsidRPr="00C44A3F">
        <w:rPr>
          <w:rFonts w:ascii="Arial" w:hAnsi="Arial"/>
          <w:bCs/>
          <w:sz w:val="22"/>
          <w:lang w:val="fr-FR"/>
        </w:rPr>
        <w:t>Imposable.</w:t>
      </w:r>
    </w:p>
    <w:p w14:paraId="150ACDBD" w14:textId="77777777" w:rsidR="00C44A3F" w:rsidRDefault="00C44A3F" w:rsidP="002E5184">
      <w:pPr>
        <w:tabs>
          <w:tab w:val="left" w:pos="780"/>
        </w:tabs>
        <w:jc w:val="both"/>
        <w:rPr>
          <w:rFonts w:ascii="Arial" w:hAnsi="Arial"/>
          <w:b/>
          <w:sz w:val="22"/>
          <w:lang w:val="fr-FR"/>
        </w:rPr>
      </w:pPr>
    </w:p>
    <w:p w14:paraId="3016BBF5" w14:textId="50E61F8A" w:rsidR="00574545" w:rsidRPr="00A619A0" w:rsidRDefault="00574545" w:rsidP="002E5184">
      <w:pPr>
        <w:tabs>
          <w:tab w:val="left" w:pos="780"/>
        </w:tabs>
        <w:jc w:val="both"/>
        <w:rPr>
          <w:rFonts w:ascii="Arial" w:hAnsi="Arial"/>
          <w:b/>
          <w:sz w:val="22"/>
          <w:lang w:val="fr-FR"/>
        </w:rPr>
      </w:pPr>
      <w:r w:rsidRPr="00A619A0">
        <w:rPr>
          <w:rFonts w:ascii="Arial" w:hAnsi="Arial"/>
          <w:b/>
          <w:sz w:val="22"/>
          <w:lang w:val="fr-FR"/>
        </w:rPr>
        <w:t xml:space="preserve">Frais et charges relatifs aux emprunts </w:t>
      </w:r>
      <w:r w:rsidR="006E02D0" w:rsidRPr="00A619A0">
        <w:rPr>
          <w:rFonts w:ascii="Arial" w:hAnsi="Arial"/>
          <w:b/>
          <w:sz w:val="22"/>
          <w:lang w:val="fr-FR"/>
        </w:rPr>
        <w:t>–</w:t>
      </w:r>
      <w:r w:rsidRPr="00A619A0">
        <w:rPr>
          <w:rFonts w:ascii="Arial" w:hAnsi="Arial"/>
          <w:b/>
          <w:sz w:val="22"/>
          <w:lang w:val="fr-FR"/>
        </w:rPr>
        <w:t xml:space="preserve"> Emprunts dont la rémunération autre que les intérêts est supérieure à 10 % des sommes reçues à l</w:t>
      </w:r>
      <w:r w:rsidR="006E02D0" w:rsidRPr="00A619A0">
        <w:rPr>
          <w:rFonts w:ascii="Arial" w:hAnsi="Arial"/>
          <w:b/>
          <w:sz w:val="22"/>
          <w:lang w:val="fr-FR"/>
        </w:rPr>
        <w:t>’</w:t>
      </w:r>
      <w:r w:rsidRPr="00A619A0">
        <w:rPr>
          <w:rFonts w:ascii="Arial" w:hAnsi="Arial"/>
          <w:b/>
          <w:sz w:val="22"/>
          <w:lang w:val="fr-FR"/>
        </w:rPr>
        <w:t>émission</w:t>
      </w:r>
    </w:p>
    <w:p w14:paraId="393AEFBB" w14:textId="6FBACFA7" w:rsidR="00F32FED" w:rsidRPr="00A619A0" w:rsidRDefault="00C01A89" w:rsidP="002E5184">
      <w:pPr>
        <w:tabs>
          <w:tab w:val="left" w:pos="780"/>
        </w:tabs>
        <w:jc w:val="both"/>
        <w:rPr>
          <w:rFonts w:ascii="Arial" w:hAnsi="Arial"/>
          <w:sz w:val="22"/>
          <w:lang w:val="fr-FR"/>
        </w:rPr>
      </w:pPr>
      <w:r w:rsidRPr="00A619A0">
        <w:rPr>
          <w:rFonts w:ascii="Arial" w:hAnsi="Arial"/>
          <w:sz w:val="22"/>
          <w:lang w:val="fr-FR"/>
        </w:rPr>
        <w:t>C’est bien</w:t>
      </w:r>
      <w:r w:rsidR="006E02D0" w:rsidRPr="00A619A0">
        <w:rPr>
          <w:rFonts w:ascii="Arial" w:hAnsi="Arial"/>
          <w:sz w:val="22"/>
          <w:lang w:val="fr-FR"/>
        </w:rPr>
        <w:t xml:space="preserve"> évidemment le cas des obligations à coupon zéro</w:t>
      </w:r>
    </w:p>
    <w:p w14:paraId="250BA669" w14:textId="77777777" w:rsidR="00F32FED" w:rsidRPr="00A619A0" w:rsidRDefault="00F32FED" w:rsidP="002E5184">
      <w:pPr>
        <w:tabs>
          <w:tab w:val="left" w:pos="780"/>
        </w:tabs>
        <w:jc w:val="both"/>
        <w:rPr>
          <w:rFonts w:ascii="Arial" w:hAnsi="Arial"/>
          <w:sz w:val="22"/>
          <w:lang w:val="fr-FR"/>
        </w:rPr>
      </w:pPr>
    </w:p>
    <w:p w14:paraId="73811132" w14:textId="4C43E6FE" w:rsidR="00EE09DB" w:rsidRPr="00A619A0" w:rsidRDefault="00EE09DB" w:rsidP="002E5184">
      <w:pPr>
        <w:tabs>
          <w:tab w:val="left" w:pos="780"/>
        </w:tabs>
        <w:jc w:val="both"/>
        <w:rPr>
          <w:rFonts w:ascii="Arial" w:hAnsi="Arial"/>
          <w:b/>
          <w:sz w:val="22"/>
          <w:lang w:val="fr-FR"/>
        </w:rPr>
      </w:pPr>
      <w:r w:rsidRPr="00A619A0">
        <w:rPr>
          <w:rFonts w:ascii="Arial" w:hAnsi="Arial"/>
          <w:b/>
          <w:sz w:val="22"/>
          <w:lang w:val="fr-FR"/>
        </w:rPr>
        <w:t>Exemple</w:t>
      </w:r>
    </w:p>
    <w:p w14:paraId="3B57D860" w14:textId="6CBD2E41" w:rsidR="00F32FED" w:rsidRPr="00A619A0" w:rsidRDefault="00F32FED" w:rsidP="002E5184">
      <w:pPr>
        <w:tabs>
          <w:tab w:val="left" w:pos="780"/>
        </w:tabs>
        <w:jc w:val="both"/>
        <w:rPr>
          <w:rFonts w:ascii="Arial" w:hAnsi="Arial"/>
          <w:sz w:val="22"/>
          <w:lang w:val="fr-FR"/>
        </w:rPr>
      </w:pPr>
      <w:r w:rsidRPr="00A619A0">
        <w:rPr>
          <w:rFonts w:ascii="Arial" w:hAnsi="Arial"/>
          <w:sz w:val="22"/>
          <w:lang w:val="fr-FR"/>
        </w:rPr>
        <w:t xml:space="preserve">Une société émet un emprunt </w:t>
      </w:r>
      <w:r w:rsidR="00EE09DB" w:rsidRPr="00A619A0">
        <w:rPr>
          <w:rFonts w:ascii="Arial" w:hAnsi="Arial"/>
          <w:sz w:val="22"/>
          <w:lang w:val="fr-FR"/>
        </w:rPr>
        <w:t>obligataire coupon zéro</w:t>
      </w:r>
      <w:r w:rsidR="00C01A89" w:rsidRPr="00A619A0">
        <w:rPr>
          <w:rFonts w:ascii="Arial" w:hAnsi="Arial"/>
          <w:sz w:val="22"/>
          <w:lang w:val="fr-FR"/>
        </w:rPr>
        <w:t>,</w:t>
      </w:r>
      <w:r w:rsidR="00EE09DB" w:rsidRPr="00A619A0">
        <w:rPr>
          <w:rFonts w:ascii="Arial" w:hAnsi="Arial"/>
          <w:sz w:val="22"/>
          <w:lang w:val="fr-FR"/>
        </w:rPr>
        <w:t xml:space="preserve"> </w:t>
      </w:r>
      <w:r w:rsidRPr="00A619A0">
        <w:rPr>
          <w:rFonts w:ascii="Arial" w:hAnsi="Arial"/>
          <w:sz w:val="22"/>
          <w:lang w:val="fr-FR"/>
        </w:rPr>
        <w:t>dont les caractéristiques sont les suivantes</w:t>
      </w:r>
      <w:r w:rsidR="00EE09DB" w:rsidRPr="00A619A0">
        <w:rPr>
          <w:rFonts w:ascii="Arial" w:hAnsi="Arial"/>
          <w:sz w:val="22"/>
          <w:lang w:val="fr-FR"/>
        </w:rPr>
        <w:t> :</w:t>
      </w:r>
    </w:p>
    <w:p w14:paraId="614743F5" w14:textId="0606FE1A" w:rsidR="00EE09DB" w:rsidRPr="00A619A0" w:rsidRDefault="00EE09DB" w:rsidP="002E5184">
      <w:pPr>
        <w:tabs>
          <w:tab w:val="left" w:pos="780"/>
        </w:tabs>
        <w:jc w:val="both"/>
        <w:rPr>
          <w:rFonts w:ascii="Arial" w:hAnsi="Arial"/>
          <w:sz w:val="22"/>
          <w:lang w:val="fr-FR"/>
        </w:rPr>
      </w:pPr>
      <w:r w:rsidRPr="00A619A0">
        <w:rPr>
          <w:rFonts w:ascii="Arial" w:hAnsi="Arial"/>
          <w:sz w:val="22"/>
          <w:lang w:val="fr-FR"/>
        </w:rPr>
        <w:t>C = R = 5 000</w:t>
      </w:r>
    </w:p>
    <w:p w14:paraId="64018F0A" w14:textId="3D2A1A37" w:rsidR="00EE09DB" w:rsidRPr="00A619A0" w:rsidRDefault="00EE09DB" w:rsidP="002E5184">
      <w:pPr>
        <w:tabs>
          <w:tab w:val="left" w:pos="780"/>
        </w:tabs>
        <w:jc w:val="both"/>
        <w:rPr>
          <w:rFonts w:ascii="Arial" w:hAnsi="Arial"/>
          <w:sz w:val="22"/>
          <w:lang w:val="fr-FR"/>
        </w:rPr>
      </w:pPr>
      <w:r w:rsidRPr="00A619A0">
        <w:rPr>
          <w:rFonts w:ascii="Arial" w:hAnsi="Arial"/>
          <w:sz w:val="22"/>
          <w:lang w:val="fr-FR"/>
        </w:rPr>
        <w:t>E = 2 112,05</w:t>
      </w:r>
    </w:p>
    <w:p w14:paraId="6F76D72F" w14:textId="11E52CF8" w:rsidR="00EE09DB" w:rsidRPr="00A619A0" w:rsidRDefault="00EE09DB" w:rsidP="002E5184">
      <w:pPr>
        <w:tabs>
          <w:tab w:val="left" w:pos="780"/>
        </w:tabs>
        <w:jc w:val="both"/>
        <w:rPr>
          <w:rFonts w:ascii="Arial" w:hAnsi="Arial"/>
          <w:sz w:val="22"/>
          <w:lang w:val="fr-FR"/>
        </w:rPr>
      </w:pPr>
      <w:r w:rsidRPr="00A619A0">
        <w:rPr>
          <w:rFonts w:ascii="Arial" w:hAnsi="Arial"/>
          <w:sz w:val="22"/>
          <w:lang w:val="fr-FR"/>
        </w:rPr>
        <w:t>Prime = 2 887,95</w:t>
      </w:r>
    </w:p>
    <w:p w14:paraId="133C7870" w14:textId="03AD2234" w:rsidR="00EE09DB" w:rsidRPr="00A619A0" w:rsidRDefault="00EE09DB" w:rsidP="002E5184">
      <w:pPr>
        <w:tabs>
          <w:tab w:val="left" w:pos="780"/>
        </w:tabs>
        <w:jc w:val="both"/>
        <w:rPr>
          <w:rFonts w:ascii="Arial" w:hAnsi="Arial"/>
          <w:sz w:val="22"/>
          <w:lang w:val="fr-FR"/>
        </w:rPr>
      </w:pPr>
      <w:r w:rsidRPr="00A619A0">
        <w:rPr>
          <w:rFonts w:ascii="Arial" w:hAnsi="Arial"/>
          <w:sz w:val="22"/>
          <w:lang w:val="fr-FR"/>
        </w:rPr>
        <w:t>Taux actuariel = 9%</w:t>
      </w:r>
    </w:p>
    <w:p w14:paraId="0F81145C" w14:textId="77777777" w:rsidR="00EE09DB" w:rsidRPr="00A619A0" w:rsidRDefault="00EE09DB" w:rsidP="002E5184">
      <w:pPr>
        <w:tabs>
          <w:tab w:val="left" w:pos="780"/>
        </w:tabs>
        <w:jc w:val="both"/>
        <w:rPr>
          <w:rFonts w:ascii="Arial" w:hAnsi="Arial"/>
          <w:sz w:val="22"/>
          <w:lang w:val="fr-FR"/>
        </w:rPr>
      </w:pPr>
    </w:p>
    <w:p w14:paraId="4AF7A32E" w14:textId="77777777" w:rsidR="00EE09DB" w:rsidRPr="00A619A0" w:rsidRDefault="00EE09DB" w:rsidP="002E5184">
      <w:pPr>
        <w:tabs>
          <w:tab w:val="left" w:pos="780"/>
        </w:tabs>
        <w:jc w:val="both"/>
        <w:rPr>
          <w:rFonts w:ascii="Arial" w:hAnsi="Arial"/>
          <w:sz w:val="22"/>
          <w:lang w:val="fr-FR"/>
        </w:rPr>
      </w:pPr>
      <w:r w:rsidRPr="00A619A0">
        <w:rPr>
          <w:rFonts w:ascii="Arial" w:hAnsi="Arial"/>
          <w:sz w:val="22"/>
          <w:lang w:val="fr-FR"/>
        </w:rPr>
        <w:t>On vérifie que :</w:t>
      </w:r>
    </w:p>
    <w:p w14:paraId="65F6CCEC" w14:textId="193C05E3" w:rsidR="00EE09DB" w:rsidRPr="00A619A0" w:rsidRDefault="00EE09DB" w:rsidP="002E5184">
      <w:pPr>
        <w:tabs>
          <w:tab w:val="left" w:pos="780"/>
        </w:tabs>
        <w:jc w:val="both"/>
        <w:rPr>
          <w:rFonts w:ascii="Arial" w:hAnsi="Arial"/>
          <w:sz w:val="22"/>
          <w:lang w:val="fr-FR"/>
        </w:rPr>
      </w:pPr>
      <w:r w:rsidRPr="00A619A0">
        <w:rPr>
          <w:rFonts w:ascii="Arial" w:hAnsi="Arial"/>
          <w:sz w:val="22"/>
          <w:lang w:val="fr-FR"/>
        </w:rPr>
        <w:t>E/R = 2 112,05/5 000 = 0,42 &lt; 90%</w:t>
      </w:r>
    </w:p>
    <w:p w14:paraId="3FC523BD" w14:textId="1820148F" w:rsidR="002E5184" w:rsidRPr="00A619A0" w:rsidRDefault="00EE09DB" w:rsidP="00715F44">
      <w:pPr>
        <w:tabs>
          <w:tab w:val="left" w:pos="780"/>
        </w:tabs>
        <w:jc w:val="both"/>
        <w:rPr>
          <w:rFonts w:ascii="Arial" w:hAnsi="Arial"/>
          <w:sz w:val="22"/>
          <w:lang w:val="fr-FR"/>
        </w:rPr>
      </w:pPr>
      <w:r w:rsidRPr="00A619A0">
        <w:rPr>
          <w:rFonts w:ascii="Arial" w:hAnsi="Arial"/>
          <w:sz w:val="22"/>
          <w:lang w:val="fr-FR"/>
        </w:rPr>
        <w:t>Prime/E = 2 887,95/2 112,05 = 1,36 &gt; 10%</w:t>
      </w:r>
    </w:p>
    <w:p w14:paraId="1C1CCE39" w14:textId="77777777" w:rsidR="00EE09DB" w:rsidRPr="00A619A0" w:rsidRDefault="00EE09DB" w:rsidP="00715F44">
      <w:pPr>
        <w:tabs>
          <w:tab w:val="left" w:pos="780"/>
        </w:tabs>
        <w:jc w:val="both"/>
        <w:rPr>
          <w:rFonts w:ascii="Arial" w:hAnsi="Arial"/>
          <w:sz w:val="22"/>
          <w:lang w:val="fr-FR"/>
        </w:rPr>
      </w:pPr>
    </w:p>
    <w:p w14:paraId="260B6149" w14:textId="723729D3" w:rsidR="006E02D0" w:rsidRPr="00A619A0" w:rsidRDefault="006E02D0" w:rsidP="00715F44">
      <w:pPr>
        <w:tabs>
          <w:tab w:val="left" w:pos="780"/>
        </w:tabs>
        <w:jc w:val="both"/>
        <w:rPr>
          <w:rFonts w:ascii="Arial" w:hAnsi="Arial"/>
          <w:sz w:val="22"/>
          <w:lang w:val="fr-FR"/>
        </w:rPr>
      </w:pPr>
      <w:r w:rsidRPr="00A619A0">
        <w:rPr>
          <w:rFonts w:ascii="Arial" w:hAnsi="Arial"/>
          <w:sz w:val="22"/>
          <w:lang w:val="fr-FR"/>
        </w:rPr>
        <w:t>La détermination de la part d’intérêt couru est la suivante :</w:t>
      </w:r>
    </w:p>
    <w:p w14:paraId="7C804E6C" w14:textId="1012DCE2" w:rsidR="006E02D0" w:rsidRPr="00A619A0" w:rsidRDefault="006E02D0" w:rsidP="00103ECD">
      <w:pPr>
        <w:rPr>
          <w:rFonts w:ascii="Arial" w:hAnsi="Arial"/>
          <w:color w:val="FF0000"/>
          <w:sz w:val="22"/>
          <w:lang w:val="fr-FR"/>
        </w:rPr>
      </w:pPr>
    </w:p>
    <w:tbl>
      <w:tblPr>
        <w:tblStyle w:val="Grilledutableau"/>
        <w:tblW w:w="0" w:type="auto"/>
        <w:tblLook w:val="04A0" w:firstRow="1" w:lastRow="0" w:firstColumn="1" w:lastColumn="0" w:noHBand="0" w:noVBand="1"/>
      </w:tblPr>
      <w:tblGrid>
        <w:gridCol w:w="1367"/>
        <w:gridCol w:w="1589"/>
        <w:gridCol w:w="1203"/>
        <w:gridCol w:w="560"/>
        <w:gridCol w:w="2077"/>
        <w:gridCol w:w="2260"/>
      </w:tblGrid>
      <w:tr w:rsidR="00652D56" w:rsidRPr="00A619A0" w14:paraId="0E467A0B" w14:textId="77777777" w:rsidTr="00652D56">
        <w:tc>
          <w:tcPr>
            <w:tcW w:w="1384" w:type="dxa"/>
          </w:tcPr>
          <w:p w14:paraId="2ED23BA5" w14:textId="3C8DDD6F" w:rsidR="00652D56" w:rsidRPr="00A619A0" w:rsidRDefault="00652D56" w:rsidP="00652D56">
            <w:pPr>
              <w:tabs>
                <w:tab w:val="left" w:pos="780"/>
              </w:tabs>
              <w:jc w:val="center"/>
              <w:rPr>
                <w:rFonts w:ascii="Arial" w:hAnsi="Arial"/>
                <w:sz w:val="22"/>
                <w:lang w:val="fr-FR"/>
              </w:rPr>
            </w:pPr>
            <w:r w:rsidRPr="00A619A0">
              <w:rPr>
                <w:rFonts w:ascii="Arial" w:hAnsi="Arial"/>
                <w:sz w:val="22"/>
                <w:lang w:val="fr-FR"/>
              </w:rPr>
              <w:t>Année</w:t>
            </w:r>
          </w:p>
        </w:tc>
        <w:tc>
          <w:tcPr>
            <w:tcW w:w="5520" w:type="dxa"/>
            <w:gridSpan w:val="4"/>
          </w:tcPr>
          <w:p w14:paraId="05BECCD0" w14:textId="484A150B" w:rsidR="00652D56" w:rsidRPr="00A619A0" w:rsidRDefault="00652D56" w:rsidP="00652D56">
            <w:pPr>
              <w:tabs>
                <w:tab w:val="left" w:pos="780"/>
              </w:tabs>
              <w:jc w:val="center"/>
              <w:rPr>
                <w:rFonts w:ascii="Arial" w:hAnsi="Arial"/>
                <w:sz w:val="22"/>
                <w:lang w:val="fr-FR"/>
              </w:rPr>
            </w:pPr>
            <w:r w:rsidRPr="00A619A0">
              <w:rPr>
                <w:rFonts w:ascii="Arial" w:hAnsi="Arial"/>
                <w:sz w:val="22"/>
                <w:lang w:val="fr-FR"/>
              </w:rPr>
              <w:t>Part de coupon d’intérêt couru</w:t>
            </w:r>
          </w:p>
        </w:tc>
        <w:tc>
          <w:tcPr>
            <w:tcW w:w="2302" w:type="dxa"/>
          </w:tcPr>
          <w:p w14:paraId="03C3EC22" w14:textId="140C55FC" w:rsidR="00652D56" w:rsidRPr="00A619A0" w:rsidRDefault="00652D56" w:rsidP="00652D56">
            <w:pPr>
              <w:tabs>
                <w:tab w:val="left" w:pos="780"/>
              </w:tabs>
              <w:jc w:val="center"/>
              <w:rPr>
                <w:rFonts w:ascii="Arial" w:hAnsi="Arial"/>
                <w:sz w:val="22"/>
                <w:lang w:val="fr-FR"/>
              </w:rPr>
            </w:pPr>
            <w:r w:rsidRPr="00A619A0">
              <w:rPr>
                <w:rFonts w:ascii="Arial" w:hAnsi="Arial"/>
                <w:sz w:val="22"/>
                <w:lang w:val="fr-FR"/>
              </w:rPr>
              <w:t>Valeur acquise</w:t>
            </w:r>
          </w:p>
        </w:tc>
      </w:tr>
      <w:tr w:rsidR="00B410B1" w:rsidRPr="00A619A0" w14:paraId="3EE54A13" w14:textId="77777777" w:rsidTr="00B410B1">
        <w:tc>
          <w:tcPr>
            <w:tcW w:w="1384" w:type="dxa"/>
          </w:tcPr>
          <w:p w14:paraId="36C07708" w14:textId="5D1617FE" w:rsidR="00B410B1" w:rsidRPr="00603CD2" w:rsidRDefault="00B410B1" w:rsidP="00652D56">
            <w:pPr>
              <w:tabs>
                <w:tab w:val="left" w:pos="780"/>
              </w:tabs>
              <w:jc w:val="center"/>
              <w:rPr>
                <w:rFonts w:ascii="Arial" w:hAnsi="Arial" w:cs="Arial"/>
                <w:sz w:val="20"/>
                <w:szCs w:val="20"/>
                <w:lang w:val="fr-FR"/>
              </w:rPr>
            </w:pPr>
            <w:r w:rsidRPr="00603CD2">
              <w:rPr>
                <w:rFonts w:ascii="Arial" w:hAnsi="Arial" w:cs="Arial"/>
                <w:sz w:val="20"/>
                <w:szCs w:val="20"/>
                <w:lang w:val="fr-FR"/>
              </w:rPr>
              <w:t>1</w:t>
            </w:r>
          </w:p>
        </w:tc>
        <w:tc>
          <w:tcPr>
            <w:tcW w:w="1609" w:type="dxa"/>
            <w:tcBorders>
              <w:right w:val="nil"/>
            </w:tcBorders>
          </w:tcPr>
          <w:p w14:paraId="510C8F01" w14:textId="340FD206" w:rsidR="00B410B1" w:rsidRPr="00603CD2" w:rsidRDefault="00B410B1" w:rsidP="00B410B1">
            <w:pPr>
              <w:tabs>
                <w:tab w:val="left" w:pos="780"/>
              </w:tabs>
              <w:jc w:val="right"/>
              <w:rPr>
                <w:rFonts w:ascii="Arial" w:hAnsi="Arial" w:cs="Arial"/>
                <w:sz w:val="20"/>
                <w:szCs w:val="20"/>
                <w:lang w:val="fr-FR"/>
              </w:rPr>
            </w:pPr>
            <w:r w:rsidRPr="00603CD2">
              <w:rPr>
                <w:rFonts w:ascii="Arial" w:hAnsi="Arial" w:cs="Arial"/>
                <w:sz w:val="20"/>
                <w:szCs w:val="20"/>
                <w:lang w:val="fr-FR"/>
              </w:rPr>
              <w:t>2 112,05</w:t>
            </w:r>
          </w:p>
        </w:tc>
        <w:tc>
          <w:tcPr>
            <w:tcW w:w="1226" w:type="dxa"/>
            <w:tcBorders>
              <w:left w:val="nil"/>
              <w:right w:val="nil"/>
            </w:tcBorders>
          </w:tcPr>
          <w:p w14:paraId="10A335EA" w14:textId="46650D5E"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  9%</w:t>
            </w:r>
          </w:p>
        </w:tc>
        <w:tc>
          <w:tcPr>
            <w:tcW w:w="567" w:type="dxa"/>
            <w:tcBorders>
              <w:left w:val="nil"/>
              <w:right w:val="nil"/>
            </w:tcBorders>
            <w:vAlign w:val="bottom"/>
          </w:tcPr>
          <w:p w14:paraId="0A269C20" w14:textId="06D25268"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w:t>
            </w:r>
          </w:p>
        </w:tc>
        <w:tc>
          <w:tcPr>
            <w:tcW w:w="2118" w:type="dxa"/>
            <w:tcBorders>
              <w:left w:val="nil"/>
            </w:tcBorders>
            <w:vAlign w:val="bottom"/>
          </w:tcPr>
          <w:p w14:paraId="60581AD6" w14:textId="591AB027"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190,08</w:t>
            </w:r>
          </w:p>
        </w:tc>
        <w:tc>
          <w:tcPr>
            <w:tcW w:w="2302" w:type="dxa"/>
            <w:vAlign w:val="bottom"/>
          </w:tcPr>
          <w:p w14:paraId="2F0A72DD" w14:textId="4ADF3E57"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2 302,14</w:t>
            </w:r>
          </w:p>
        </w:tc>
      </w:tr>
      <w:tr w:rsidR="00B410B1" w:rsidRPr="00A619A0" w14:paraId="154D67AB" w14:textId="77777777" w:rsidTr="00B410B1">
        <w:tc>
          <w:tcPr>
            <w:tcW w:w="1384" w:type="dxa"/>
          </w:tcPr>
          <w:p w14:paraId="7D5780CF" w14:textId="62B9A3EB" w:rsidR="00B410B1" w:rsidRPr="00603CD2" w:rsidRDefault="00B410B1" w:rsidP="00652D56">
            <w:pPr>
              <w:tabs>
                <w:tab w:val="left" w:pos="780"/>
              </w:tabs>
              <w:jc w:val="center"/>
              <w:rPr>
                <w:rFonts w:ascii="Arial" w:hAnsi="Arial" w:cs="Arial"/>
                <w:sz w:val="20"/>
                <w:szCs w:val="20"/>
                <w:lang w:val="fr-FR"/>
              </w:rPr>
            </w:pPr>
            <w:r w:rsidRPr="00603CD2">
              <w:rPr>
                <w:rFonts w:ascii="Arial" w:hAnsi="Arial" w:cs="Arial"/>
                <w:sz w:val="20"/>
                <w:szCs w:val="20"/>
                <w:lang w:val="fr-FR"/>
              </w:rPr>
              <w:t>2</w:t>
            </w:r>
          </w:p>
        </w:tc>
        <w:tc>
          <w:tcPr>
            <w:tcW w:w="1609" w:type="dxa"/>
            <w:tcBorders>
              <w:right w:val="nil"/>
            </w:tcBorders>
            <w:vAlign w:val="bottom"/>
          </w:tcPr>
          <w:p w14:paraId="102BCDF5" w14:textId="6837CEE9" w:rsidR="00B410B1" w:rsidRPr="00603CD2" w:rsidRDefault="00B410B1" w:rsidP="00B410B1">
            <w:pPr>
              <w:tabs>
                <w:tab w:val="left" w:pos="780"/>
              </w:tabs>
              <w:jc w:val="right"/>
              <w:rPr>
                <w:rFonts w:ascii="Arial" w:hAnsi="Arial" w:cs="Arial"/>
                <w:sz w:val="20"/>
                <w:szCs w:val="20"/>
                <w:lang w:val="fr-FR"/>
              </w:rPr>
            </w:pPr>
            <w:r w:rsidRPr="00603CD2">
              <w:rPr>
                <w:rFonts w:ascii="Arial" w:hAnsi="Arial" w:cs="Arial"/>
                <w:sz w:val="20"/>
                <w:szCs w:val="20"/>
              </w:rPr>
              <w:t>2 302,14</w:t>
            </w:r>
          </w:p>
        </w:tc>
        <w:tc>
          <w:tcPr>
            <w:tcW w:w="1226" w:type="dxa"/>
            <w:tcBorders>
              <w:left w:val="nil"/>
              <w:right w:val="nil"/>
            </w:tcBorders>
          </w:tcPr>
          <w:p w14:paraId="20F57119" w14:textId="2DBEADC9"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  9%</w:t>
            </w:r>
          </w:p>
        </w:tc>
        <w:tc>
          <w:tcPr>
            <w:tcW w:w="567" w:type="dxa"/>
            <w:tcBorders>
              <w:left w:val="nil"/>
              <w:right w:val="nil"/>
            </w:tcBorders>
          </w:tcPr>
          <w:p w14:paraId="0C122537" w14:textId="45CA1822"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w:t>
            </w:r>
          </w:p>
        </w:tc>
        <w:tc>
          <w:tcPr>
            <w:tcW w:w="2118" w:type="dxa"/>
            <w:tcBorders>
              <w:left w:val="nil"/>
            </w:tcBorders>
            <w:vAlign w:val="bottom"/>
          </w:tcPr>
          <w:p w14:paraId="03009524" w14:textId="6FE4C0E0"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207,19</w:t>
            </w:r>
          </w:p>
        </w:tc>
        <w:tc>
          <w:tcPr>
            <w:tcW w:w="2302" w:type="dxa"/>
            <w:vAlign w:val="bottom"/>
          </w:tcPr>
          <w:p w14:paraId="48663D60" w14:textId="71676A0B"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2 509,33</w:t>
            </w:r>
          </w:p>
        </w:tc>
      </w:tr>
      <w:tr w:rsidR="00B410B1" w:rsidRPr="00A619A0" w14:paraId="535C9545" w14:textId="77777777" w:rsidTr="00B410B1">
        <w:tc>
          <w:tcPr>
            <w:tcW w:w="1384" w:type="dxa"/>
          </w:tcPr>
          <w:p w14:paraId="558EC2CB" w14:textId="1BA783CD" w:rsidR="00B410B1" w:rsidRPr="00603CD2" w:rsidRDefault="00B410B1" w:rsidP="00652D56">
            <w:pPr>
              <w:tabs>
                <w:tab w:val="left" w:pos="780"/>
              </w:tabs>
              <w:jc w:val="center"/>
              <w:rPr>
                <w:rFonts w:ascii="Arial" w:hAnsi="Arial" w:cs="Arial"/>
                <w:sz w:val="20"/>
                <w:szCs w:val="20"/>
                <w:lang w:val="fr-FR"/>
              </w:rPr>
            </w:pPr>
            <w:r w:rsidRPr="00603CD2">
              <w:rPr>
                <w:rFonts w:ascii="Arial" w:hAnsi="Arial" w:cs="Arial"/>
                <w:sz w:val="20"/>
                <w:szCs w:val="20"/>
                <w:lang w:val="fr-FR"/>
              </w:rPr>
              <w:t>3</w:t>
            </w:r>
          </w:p>
        </w:tc>
        <w:tc>
          <w:tcPr>
            <w:tcW w:w="1609" w:type="dxa"/>
            <w:tcBorders>
              <w:right w:val="nil"/>
            </w:tcBorders>
            <w:vAlign w:val="bottom"/>
          </w:tcPr>
          <w:p w14:paraId="6D51C2BE" w14:textId="4009A187" w:rsidR="00B410B1" w:rsidRPr="00603CD2" w:rsidRDefault="00B410B1" w:rsidP="00B410B1">
            <w:pPr>
              <w:tabs>
                <w:tab w:val="left" w:pos="780"/>
              </w:tabs>
              <w:jc w:val="right"/>
              <w:rPr>
                <w:rFonts w:ascii="Arial" w:hAnsi="Arial" w:cs="Arial"/>
                <w:sz w:val="20"/>
                <w:szCs w:val="20"/>
                <w:lang w:val="fr-FR"/>
              </w:rPr>
            </w:pPr>
            <w:r w:rsidRPr="00603CD2">
              <w:rPr>
                <w:rFonts w:ascii="Arial" w:hAnsi="Arial" w:cs="Arial"/>
                <w:sz w:val="20"/>
                <w:szCs w:val="20"/>
              </w:rPr>
              <w:t>2 509,33</w:t>
            </w:r>
          </w:p>
        </w:tc>
        <w:tc>
          <w:tcPr>
            <w:tcW w:w="1226" w:type="dxa"/>
            <w:tcBorders>
              <w:left w:val="nil"/>
              <w:right w:val="nil"/>
            </w:tcBorders>
          </w:tcPr>
          <w:p w14:paraId="60D3BE03" w14:textId="071DBB4F"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  9%</w:t>
            </w:r>
          </w:p>
        </w:tc>
        <w:tc>
          <w:tcPr>
            <w:tcW w:w="567" w:type="dxa"/>
            <w:tcBorders>
              <w:left w:val="nil"/>
              <w:right w:val="nil"/>
            </w:tcBorders>
          </w:tcPr>
          <w:p w14:paraId="3AE3B725" w14:textId="750C9E33"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w:t>
            </w:r>
          </w:p>
        </w:tc>
        <w:tc>
          <w:tcPr>
            <w:tcW w:w="2118" w:type="dxa"/>
            <w:tcBorders>
              <w:left w:val="nil"/>
            </w:tcBorders>
            <w:vAlign w:val="bottom"/>
          </w:tcPr>
          <w:p w14:paraId="362D51E1" w14:textId="35C8431E"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225,84</w:t>
            </w:r>
          </w:p>
        </w:tc>
        <w:tc>
          <w:tcPr>
            <w:tcW w:w="2302" w:type="dxa"/>
            <w:vAlign w:val="bottom"/>
          </w:tcPr>
          <w:p w14:paraId="03AB07F3" w14:textId="275C0B0E"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2 735,17</w:t>
            </w:r>
          </w:p>
        </w:tc>
      </w:tr>
      <w:tr w:rsidR="00B410B1" w:rsidRPr="00A619A0" w14:paraId="4263F802" w14:textId="77777777" w:rsidTr="00B410B1">
        <w:tc>
          <w:tcPr>
            <w:tcW w:w="1384" w:type="dxa"/>
          </w:tcPr>
          <w:p w14:paraId="21D76769" w14:textId="047817DB" w:rsidR="00B410B1" w:rsidRPr="00603CD2" w:rsidRDefault="00B410B1" w:rsidP="00652D56">
            <w:pPr>
              <w:tabs>
                <w:tab w:val="left" w:pos="780"/>
              </w:tabs>
              <w:jc w:val="center"/>
              <w:rPr>
                <w:rFonts w:ascii="Arial" w:hAnsi="Arial" w:cs="Arial"/>
                <w:sz w:val="20"/>
                <w:szCs w:val="20"/>
                <w:lang w:val="fr-FR"/>
              </w:rPr>
            </w:pPr>
            <w:r w:rsidRPr="00603CD2">
              <w:rPr>
                <w:rFonts w:ascii="Arial" w:hAnsi="Arial" w:cs="Arial"/>
                <w:sz w:val="20"/>
                <w:szCs w:val="20"/>
                <w:lang w:val="fr-FR"/>
              </w:rPr>
              <w:t>4</w:t>
            </w:r>
          </w:p>
        </w:tc>
        <w:tc>
          <w:tcPr>
            <w:tcW w:w="1609" w:type="dxa"/>
            <w:tcBorders>
              <w:right w:val="nil"/>
            </w:tcBorders>
            <w:vAlign w:val="bottom"/>
          </w:tcPr>
          <w:p w14:paraId="608BE749" w14:textId="4C868C90" w:rsidR="00B410B1" w:rsidRPr="00603CD2" w:rsidRDefault="00B410B1" w:rsidP="00B410B1">
            <w:pPr>
              <w:tabs>
                <w:tab w:val="left" w:pos="780"/>
              </w:tabs>
              <w:jc w:val="right"/>
              <w:rPr>
                <w:rFonts w:ascii="Arial" w:hAnsi="Arial" w:cs="Arial"/>
                <w:sz w:val="20"/>
                <w:szCs w:val="20"/>
                <w:lang w:val="fr-FR"/>
              </w:rPr>
            </w:pPr>
            <w:r w:rsidRPr="00603CD2">
              <w:rPr>
                <w:rFonts w:ascii="Arial" w:hAnsi="Arial" w:cs="Arial"/>
                <w:sz w:val="20"/>
                <w:szCs w:val="20"/>
              </w:rPr>
              <w:t>2 735,17</w:t>
            </w:r>
          </w:p>
        </w:tc>
        <w:tc>
          <w:tcPr>
            <w:tcW w:w="1226" w:type="dxa"/>
            <w:tcBorders>
              <w:left w:val="nil"/>
              <w:right w:val="nil"/>
            </w:tcBorders>
          </w:tcPr>
          <w:p w14:paraId="5FA6FDD6" w14:textId="1AA77D86"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  9%</w:t>
            </w:r>
          </w:p>
        </w:tc>
        <w:tc>
          <w:tcPr>
            <w:tcW w:w="567" w:type="dxa"/>
            <w:tcBorders>
              <w:left w:val="nil"/>
              <w:right w:val="nil"/>
            </w:tcBorders>
          </w:tcPr>
          <w:p w14:paraId="44334E7B" w14:textId="001E002B"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w:t>
            </w:r>
          </w:p>
        </w:tc>
        <w:tc>
          <w:tcPr>
            <w:tcW w:w="2118" w:type="dxa"/>
            <w:tcBorders>
              <w:left w:val="nil"/>
            </w:tcBorders>
            <w:vAlign w:val="bottom"/>
          </w:tcPr>
          <w:p w14:paraId="2464DAA7" w14:textId="5EC3A58C"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246,17</w:t>
            </w:r>
          </w:p>
        </w:tc>
        <w:tc>
          <w:tcPr>
            <w:tcW w:w="2302" w:type="dxa"/>
            <w:vAlign w:val="bottom"/>
          </w:tcPr>
          <w:p w14:paraId="4C24FF53" w14:textId="1120D0A9"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2 981,34</w:t>
            </w:r>
          </w:p>
        </w:tc>
      </w:tr>
      <w:tr w:rsidR="00B410B1" w:rsidRPr="00A619A0" w14:paraId="5B454F66" w14:textId="77777777" w:rsidTr="00B410B1">
        <w:tc>
          <w:tcPr>
            <w:tcW w:w="1384" w:type="dxa"/>
          </w:tcPr>
          <w:p w14:paraId="102E2AF0" w14:textId="0E37F1DF" w:rsidR="00B410B1" w:rsidRPr="00603CD2" w:rsidRDefault="00B410B1" w:rsidP="00652D56">
            <w:pPr>
              <w:tabs>
                <w:tab w:val="left" w:pos="780"/>
              </w:tabs>
              <w:jc w:val="center"/>
              <w:rPr>
                <w:rFonts w:ascii="Arial" w:hAnsi="Arial" w:cs="Arial"/>
                <w:sz w:val="20"/>
                <w:szCs w:val="20"/>
                <w:lang w:val="fr-FR"/>
              </w:rPr>
            </w:pPr>
            <w:r w:rsidRPr="00603CD2">
              <w:rPr>
                <w:rFonts w:ascii="Arial" w:hAnsi="Arial" w:cs="Arial"/>
                <w:sz w:val="20"/>
                <w:szCs w:val="20"/>
                <w:lang w:val="fr-FR"/>
              </w:rPr>
              <w:t>5</w:t>
            </w:r>
          </w:p>
        </w:tc>
        <w:tc>
          <w:tcPr>
            <w:tcW w:w="1609" w:type="dxa"/>
            <w:tcBorders>
              <w:right w:val="nil"/>
            </w:tcBorders>
            <w:vAlign w:val="bottom"/>
          </w:tcPr>
          <w:p w14:paraId="562B7CBD" w14:textId="60CB45F4" w:rsidR="00B410B1" w:rsidRPr="00603CD2" w:rsidRDefault="00B410B1" w:rsidP="00B410B1">
            <w:pPr>
              <w:tabs>
                <w:tab w:val="left" w:pos="780"/>
              </w:tabs>
              <w:jc w:val="right"/>
              <w:rPr>
                <w:rFonts w:ascii="Arial" w:hAnsi="Arial" w:cs="Arial"/>
                <w:sz w:val="20"/>
                <w:szCs w:val="20"/>
                <w:lang w:val="fr-FR"/>
              </w:rPr>
            </w:pPr>
            <w:r w:rsidRPr="00603CD2">
              <w:rPr>
                <w:rFonts w:ascii="Arial" w:hAnsi="Arial" w:cs="Arial"/>
                <w:sz w:val="20"/>
                <w:szCs w:val="20"/>
              </w:rPr>
              <w:t>2 981,34</w:t>
            </w:r>
          </w:p>
        </w:tc>
        <w:tc>
          <w:tcPr>
            <w:tcW w:w="1226" w:type="dxa"/>
            <w:tcBorders>
              <w:left w:val="nil"/>
              <w:right w:val="nil"/>
            </w:tcBorders>
          </w:tcPr>
          <w:p w14:paraId="5631F43B" w14:textId="26873D85"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  9%</w:t>
            </w:r>
          </w:p>
        </w:tc>
        <w:tc>
          <w:tcPr>
            <w:tcW w:w="567" w:type="dxa"/>
            <w:tcBorders>
              <w:left w:val="nil"/>
              <w:right w:val="nil"/>
            </w:tcBorders>
          </w:tcPr>
          <w:p w14:paraId="5F4891AB" w14:textId="19F92BFE"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w:t>
            </w:r>
          </w:p>
        </w:tc>
        <w:tc>
          <w:tcPr>
            <w:tcW w:w="2118" w:type="dxa"/>
            <w:tcBorders>
              <w:left w:val="nil"/>
            </w:tcBorders>
            <w:vAlign w:val="bottom"/>
          </w:tcPr>
          <w:p w14:paraId="55735A5E" w14:textId="12B2C8EC"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268,32</w:t>
            </w:r>
          </w:p>
        </w:tc>
        <w:tc>
          <w:tcPr>
            <w:tcW w:w="2302" w:type="dxa"/>
            <w:vAlign w:val="bottom"/>
          </w:tcPr>
          <w:p w14:paraId="455EA74F" w14:textId="32F19C31"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3 249,66</w:t>
            </w:r>
          </w:p>
        </w:tc>
      </w:tr>
      <w:tr w:rsidR="00B410B1" w:rsidRPr="00A619A0" w14:paraId="3CE0B4EB" w14:textId="77777777" w:rsidTr="00B410B1">
        <w:tc>
          <w:tcPr>
            <w:tcW w:w="1384" w:type="dxa"/>
          </w:tcPr>
          <w:p w14:paraId="0D03E3C2" w14:textId="1346AC2A" w:rsidR="00B410B1" w:rsidRPr="00603CD2" w:rsidRDefault="00B410B1" w:rsidP="00652D56">
            <w:pPr>
              <w:tabs>
                <w:tab w:val="left" w:pos="780"/>
              </w:tabs>
              <w:jc w:val="center"/>
              <w:rPr>
                <w:rFonts w:ascii="Arial" w:hAnsi="Arial" w:cs="Arial"/>
                <w:sz w:val="20"/>
                <w:szCs w:val="20"/>
                <w:lang w:val="fr-FR"/>
              </w:rPr>
            </w:pPr>
            <w:r w:rsidRPr="00603CD2">
              <w:rPr>
                <w:rFonts w:ascii="Arial" w:hAnsi="Arial" w:cs="Arial"/>
                <w:sz w:val="20"/>
                <w:szCs w:val="20"/>
                <w:lang w:val="fr-FR"/>
              </w:rPr>
              <w:t>6</w:t>
            </w:r>
          </w:p>
        </w:tc>
        <w:tc>
          <w:tcPr>
            <w:tcW w:w="1609" w:type="dxa"/>
            <w:tcBorders>
              <w:right w:val="nil"/>
            </w:tcBorders>
            <w:vAlign w:val="bottom"/>
          </w:tcPr>
          <w:p w14:paraId="3CEEA2A1" w14:textId="71479314" w:rsidR="00B410B1" w:rsidRPr="00603CD2" w:rsidRDefault="00B410B1" w:rsidP="00B410B1">
            <w:pPr>
              <w:tabs>
                <w:tab w:val="left" w:pos="780"/>
              </w:tabs>
              <w:jc w:val="right"/>
              <w:rPr>
                <w:rFonts w:ascii="Arial" w:hAnsi="Arial" w:cs="Arial"/>
                <w:sz w:val="20"/>
                <w:szCs w:val="20"/>
                <w:lang w:val="fr-FR"/>
              </w:rPr>
            </w:pPr>
            <w:r w:rsidRPr="00603CD2">
              <w:rPr>
                <w:rFonts w:ascii="Arial" w:hAnsi="Arial" w:cs="Arial"/>
                <w:sz w:val="20"/>
                <w:szCs w:val="20"/>
              </w:rPr>
              <w:t>3 249,66</w:t>
            </w:r>
          </w:p>
        </w:tc>
        <w:tc>
          <w:tcPr>
            <w:tcW w:w="1226" w:type="dxa"/>
            <w:tcBorders>
              <w:left w:val="nil"/>
              <w:right w:val="nil"/>
            </w:tcBorders>
          </w:tcPr>
          <w:p w14:paraId="69454BF0" w14:textId="2D4FE7DE"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  9%</w:t>
            </w:r>
          </w:p>
        </w:tc>
        <w:tc>
          <w:tcPr>
            <w:tcW w:w="567" w:type="dxa"/>
            <w:tcBorders>
              <w:left w:val="nil"/>
              <w:right w:val="nil"/>
            </w:tcBorders>
          </w:tcPr>
          <w:p w14:paraId="4624FCCE" w14:textId="071975DC"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w:t>
            </w:r>
          </w:p>
        </w:tc>
        <w:tc>
          <w:tcPr>
            <w:tcW w:w="2118" w:type="dxa"/>
            <w:tcBorders>
              <w:left w:val="nil"/>
            </w:tcBorders>
            <w:vAlign w:val="bottom"/>
          </w:tcPr>
          <w:p w14:paraId="227F1473" w14:textId="6FD2D023"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292,47</w:t>
            </w:r>
          </w:p>
        </w:tc>
        <w:tc>
          <w:tcPr>
            <w:tcW w:w="2302" w:type="dxa"/>
            <w:vAlign w:val="bottom"/>
          </w:tcPr>
          <w:p w14:paraId="00404697" w14:textId="7A01D180"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3 542,13</w:t>
            </w:r>
          </w:p>
        </w:tc>
      </w:tr>
      <w:tr w:rsidR="00B410B1" w:rsidRPr="00A619A0" w14:paraId="4CA7A860" w14:textId="77777777" w:rsidTr="00B410B1">
        <w:tc>
          <w:tcPr>
            <w:tcW w:w="1384" w:type="dxa"/>
          </w:tcPr>
          <w:p w14:paraId="13897FB4" w14:textId="19478AEC" w:rsidR="00B410B1" w:rsidRPr="00603CD2" w:rsidRDefault="00B410B1" w:rsidP="00652D56">
            <w:pPr>
              <w:tabs>
                <w:tab w:val="left" w:pos="780"/>
              </w:tabs>
              <w:jc w:val="center"/>
              <w:rPr>
                <w:rFonts w:ascii="Arial" w:hAnsi="Arial" w:cs="Arial"/>
                <w:sz w:val="20"/>
                <w:szCs w:val="20"/>
                <w:lang w:val="fr-FR"/>
              </w:rPr>
            </w:pPr>
            <w:r w:rsidRPr="00603CD2">
              <w:rPr>
                <w:rFonts w:ascii="Arial" w:hAnsi="Arial" w:cs="Arial"/>
                <w:sz w:val="20"/>
                <w:szCs w:val="20"/>
                <w:lang w:val="fr-FR"/>
              </w:rPr>
              <w:t>7</w:t>
            </w:r>
          </w:p>
        </w:tc>
        <w:tc>
          <w:tcPr>
            <w:tcW w:w="1609" w:type="dxa"/>
            <w:tcBorders>
              <w:right w:val="nil"/>
            </w:tcBorders>
            <w:vAlign w:val="bottom"/>
          </w:tcPr>
          <w:p w14:paraId="167C1FB2" w14:textId="61E2669E" w:rsidR="00B410B1" w:rsidRPr="00603CD2" w:rsidRDefault="00B410B1" w:rsidP="00B410B1">
            <w:pPr>
              <w:tabs>
                <w:tab w:val="left" w:pos="780"/>
              </w:tabs>
              <w:jc w:val="right"/>
              <w:rPr>
                <w:rFonts w:ascii="Arial" w:hAnsi="Arial" w:cs="Arial"/>
                <w:sz w:val="20"/>
                <w:szCs w:val="20"/>
                <w:lang w:val="fr-FR"/>
              </w:rPr>
            </w:pPr>
            <w:r w:rsidRPr="00603CD2">
              <w:rPr>
                <w:rFonts w:ascii="Arial" w:hAnsi="Arial" w:cs="Arial"/>
                <w:sz w:val="20"/>
                <w:szCs w:val="20"/>
              </w:rPr>
              <w:t>3 542,13</w:t>
            </w:r>
          </w:p>
        </w:tc>
        <w:tc>
          <w:tcPr>
            <w:tcW w:w="1226" w:type="dxa"/>
            <w:tcBorders>
              <w:left w:val="nil"/>
              <w:right w:val="nil"/>
            </w:tcBorders>
          </w:tcPr>
          <w:p w14:paraId="1CF4E692" w14:textId="6D7EED3D"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  9%</w:t>
            </w:r>
          </w:p>
        </w:tc>
        <w:tc>
          <w:tcPr>
            <w:tcW w:w="567" w:type="dxa"/>
            <w:tcBorders>
              <w:left w:val="nil"/>
              <w:right w:val="nil"/>
            </w:tcBorders>
          </w:tcPr>
          <w:p w14:paraId="00EDC5BB" w14:textId="76CB3ECF"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w:t>
            </w:r>
          </w:p>
        </w:tc>
        <w:tc>
          <w:tcPr>
            <w:tcW w:w="2118" w:type="dxa"/>
            <w:tcBorders>
              <w:left w:val="nil"/>
            </w:tcBorders>
            <w:vAlign w:val="bottom"/>
          </w:tcPr>
          <w:p w14:paraId="7A3E4222" w14:textId="0587B6B8"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318,79</w:t>
            </w:r>
          </w:p>
        </w:tc>
        <w:tc>
          <w:tcPr>
            <w:tcW w:w="2302" w:type="dxa"/>
            <w:vAlign w:val="bottom"/>
          </w:tcPr>
          <w:p w14:paraId="417BFD0D" w14:textId="32CF0334"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3 860,92</w:t>
            </w:r>
          </w:p>
        </w:tc>
      </w:tr>
      <w:tr w:rsidR="00B410B1" w:rsidRPr="00A619A0" w14:paraId="2F86CBDC" w14:textId="77777777" w:rsidTr="00B410B1">
        <w:tc>
          <w:tcPr>
            <w:tcW w:w="1384" w:type="dxa"/>
          </w:tcPr>
          <w:p w14:paraId="56F33DBF" w14:textId="68A93408" w:rsidR="00B410B1" w:rsidRPr="00603CD2" w:rsidRDefault="00B410B1" w:rsidP="00652D56">
            <w:pPr>
              <w:tabs>
                <w:tab w:val="left" w:pos="780"/>
              </w:tabs>
              <w:jc w:val="center"/>
              <w:rPr>
                <w:rFonts w:ascii="Arial" w:hAnsi="Arial" w:cs="Arial"/>
                <w:sz w:val="20"/>
                <w:szCs w:val="20"/>
                <w:lang w:val="fr-FR"/>
              </w:rPr>
            </w:pPr>
            <w:r w:rsidRPr="00603CD2">
              <w:rPr>
                <w:rFonts w:ascii="Arial" w:hAnsi="Arial" w:cs="Arial"/>
                <w:sz w:val="20"/>
                <w:szCs w:val="20"/>
                <w:lang w:val="fr-FR"/>
              </w:rPr>
              <w:t>8</w:t>
            </w:r>
          </w:p>
        </w:tc>
        <w:tc>
          <w:tcPr>
            <w:tcW w:w="1609" w:type="dxa"/>
            <w:tcBorders>
              <w:right w:val="nil"/>
            </w:tcBorders>
            <w:vAlign w:val="bottom"/>
          </w:tcPr>
          <w:p w14:paraId="607F3D17" w14:textId="45879B15" w:rsidR="00B410B1" w:rsidRPr="00603CD2" w:rsidRDefault="00B410B1" w:rsidP="00B410B1">
            <w:pPr>
              <w:tabs>
                <w:tab w:val="left" w:pos="780"/>
              </w:tabs>
              <w:jc w:val="right"/>
              <w:rPr>
                <w:rFonts w:ascii="Arial" w:hAnsi="Arial" w:cs="Arial"/>
                <w:sz w:val="20"/>
                <w:szCs w:val="20"/>
                <w:lang w:val="fr-FR"/>
              </w:rPr>
            </w:pPr>
            <w:r w:rsidRPr="00603CD2">
              <w:rPr>
                <w:rFonts w:ascii="Arial" w:hAnsi="Arial" w:cs="Arial"/>
                <w:sz w:val="20"/>
                <w:szCs w:val="20"/>
              </w:rPr>
              <w:t>3 860,92</w:t>
            </w:r>
          </w:p>
        </w:tc>
        <w:tc>
          <w:tcPr>
            <w:tcW w:w="1226" w:type="dxa"/>
            <w:tcBorders>
              <w:left w:val="nil"/>
              <w:right w:val="nil"/>
            </w:tcBorders>
          </w:tcPr>
          <w:p w14:paraId="4C949E2E" w14:textId="396022D7"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  9%</w:t>
            </w:r>
          </w:p>
        </w:tc>
        <w:tc>
          <w:tcPr>
            <w:tcW w:w="567" w:type="dxa"/>
            <w:tcBorders>
              <w:left w:val="nil"/>
              <w:right w:val="nil"/>
            </w:tcBorders>
          </w:tcPr>
          <w:p w14:paraId="7DBFC795" w14:textId="6E357EF1"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w:t>
            </w:r>
          </w:p>
        </w:tc>
        <w:tc>
          <w:tcPr>
            <w:tcW w:w="2118" w:type="dxa"/>
            <w:tcBorders>
              <w:left w:val="nil"/>
            </w:tcBorders>
            <w:vAlign w:val="bottom"/>
          </w:tcPr>
          <w:p w14:paraId="7C8523B9" w14:textId="427968D1"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347,48</w:t>
            </w:r>
          </w:p>
        </w:tc>
        <w:tc>
          <w:tcPr>
            <w:tcW w:w="2302" w:type="dxa"/>
            <w:vAlign w:val="bottom"/>
          </w:tcPr>
          <w:p w14:paraId="1AB86852" w14:textId="4ABAA45A"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4 208,40</w:t>
            </w:r>
          </w:p>
        </w:tc>
      </w:tr>
      <w:tr w:rsidR="00B410B1" w:rsidRPr="00A619A0" w14:paraId="115D84CD" w14:textId="77777777" w:rsidTr="00B410B1">
        <w:tc>
          <w:tcPr>
            <w:tcW w:w="1384" w:type="dxa"/>
          </w:tcPr>
          <w:p w14:paraId="614787FE" w14:textId="3E3E0EDE" w:rsidR="00B410B1" w:rsidRPr="00603CD2" w:rsidRDefault="00B410B1" w:rsidP="00652D56">
            <w:pPr>
              <w:tabs>
                <w:tab w:val="left" w:pos="780"/>
              </w:tabs>
              <w:jc w:val="center"/>
              <w:rPr>
                <w:rFonts w:ascii="Arial" w:hAnsi="Arial" w:cs="Arial"/>
                <w:sz w:val="20"/>
                <w:szCs w:val="20"/>
                <w:lang w:val="fr-FR"/>
              </w:rPr>
            </w:pPr>
            <w:r w:rsidRPr="00603CD2">
              <w:rPr>
                <w:rFonts w:ascii="Arial" w:hAnsi="Arial" w:cs="Arial"/>
                <w:sz w:val="20"/>
                <w:szCs w:val="20"/>
                <w:lang w:val="fr-FR"/>
              </w:rPr>
              <w:t>9</w:t>
            </w:r>
          </w:p>
        </w:tc>
        <w:tc>
          <w:tcPr>
            <w:tcW w:w="1609" w:type="dxa"/>
            <w:tcBorders>
              <w:right w:val="nil"/>
            </w:tcBorders>
            <w:vAlign w:val="bottom"/>
          </w:tcPr>
          <w:p w14:paraId="03C2A018" w14:textId="7E554CBE" w:rsidR="00B410B1" w:rsidRPr="00603CD2" w:rsidRDefault="00B410B1" w:rsidP="00B410B1">
            <w:pPr>
              <w:tabs>
                <w:tab w:val="left" w:pos="780"/>
              </w:tabs>
              <w:jc w:val="right"/>
              <w:rPr>
                <w:rFonts w:ascii="Arial" w:hAnsi="Arial" w:cs="Arial"/>
                <w:sz w:val="20"/>
                <w:szCs w:val="20"/>
                <w:lang w:val="fr-FR"/>
              </w:rPr>
            </w:pPr>
            <w:r w:rsidRPr="00603CD2">
              <w:rPr>
                <w:rFonts w:ascii="Arial" w:hAnsi="Arial" w:cs="Arial"/>
                <w:sz w:val="20"/>
                <w:szCs w:val="20"/>
              </w:rPr>
              <w:t>4 208,40</w:t>
            </w:r>
          </w:p>
        </w:tc>
        <w:tc>
          <w:tcPr>
            <w:tcW w:w="1226" w:type="dxa"/>
            <w:tcBorders>
              <w:left w:val="nil"/>
              <w:right w:val="nil"/>
            </w:tcBorders>
          </w:tcPr>
          <w:p w14:paraId="103909A5" w14:textId="38255850"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  9%</w:t>
            </w:r>
          </w:p>
        </w:tc>
        <w:tc>
          <w:tcPr>
            <w:tcW w:w="567" w:type="dxa"/>
            <w:tcBorders>
              <w:left w:val="nil"/>
              <w:right w:val="nil"/>
            </w:tcBorders>
          </w:tcPr>
          <w:p w14:paraId="30D8051A" w14:textId="1553DD9D"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w:t>
            </w:r>
          </w:p>
        </w:tc>
        <w:tc>
          <w:tcPr>
            <w:tcW w:w="2118" w:type="dxa"/>
            <w:tcBorders>
              <w:left w:val="nil"/>
            </w:tcBorders>
            <w:vAlign w:val="bottom"/>
          </w:tcPr>
          <w:p w14:paraId="7733C7C5" w14:textId="46B6E7B4"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378,76</w:t>
            </w:r>
          </w:p>
        </w:tc>
        <w:tc>
          <w:tcPr>
            <w:tcW w:w="2302" w:type="dxa"/>
            <w:vAlign w:val="bottom"/>
          </w:tcPr>
          <w:p w14:paraId="1883BFB0" w14:textId="753FEEF4"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4 587,16</w:t>
            </w:r>
          </w:p>
        </w:tc>
      </w:tr>
      <w:tr w:rsidR="00B410B1" w:rsidRPr="00A619A0" w14:paraId="46969B2D" w14:textId="77777777" w:rsidTr="00B410B1">
        <w:tc>
          <w:tcPr>
            <w:tcW w:w="1384" w:type="dxa"/>
          </w:tcPr>
          <w:p w14:paraId="4BBC7959" w14:textId="6DCD2D11" w:rsidR="00B410B1" w:rsidRPr="00603CD2" w:rsidRDefault="00B410B1" w:rsidP="00652D56">
            <w:pPr>
              <w:tabs>
                <w:tab w:val="left" w:pos="780"/>
              </w:tabs>
              <w:jc w:val="center"/>
              <w:rPr>
                <w:rFonts w:ascii="Arial" w:hAnsi="Arial" w:cs="Arial"/>
                <w:sz w:val="20"/>
                <w:szCs w:val="20"/>
                <w:lang w:val="fr-FR"/>
              </w:rPr>
            </w:pPr>
            <w:r w:rsidRPr="00603CD2">
              <w:rPr>
                <w:rFonts w:ascii="Arial" w:hAnsi="Arial" w:cs="Arial"/>
                <w:sz w:val="20"/>
                <w:szCs w:val="20"/>
                <w:lang w:val="fr-FR"/>
              </w:rPr>
              <w:t>10</w:t>
            </w:r>
          </w:p>
        </w:tc>
        <w:tc>
          <w:tcPr>
            <w:tcW w:w="1609" w:type="dxa"/>
            <w:tcBorders>
              <w:right w:val="nil"/>
            </w:tcBorders>
            <w:vAlign w:val="bottom"/>
          </w:tcPr>
          <w:p w14:paraId="046F6E3D" w14:textId="296E063E" w:rsidR="00B410B1" w:rsidRPr="00603CD2" w:rsidRDefault="00B410B1" w:rsidP="00B410B1">
            <w:pPr>
              <w:tabs>
                <w:tab w:val="left" w:pos="780"/>
              </w:tabs>
              <w:jc w:val="right"/>
              <w:rPr>
                <w:rFonts w:ascii="Arial" w:hAnsi="Arial" w:cs="Arial"/>
                <w:sz w:val="20"/>
                <w:szCs w:val="20"/>
                <w:lang w:val="fr-FR"/>
              </w:rPr>
            </w:pPr>
            <w:r w:rsidRPr="00603CD2">
              <w:rPr>
                <w:rFonts w:ascii="Arial" w:hAnsi="Arial" w:cs="Arial"/>
                <w:sz w:val="20"/>
                <w:szCs w:val="20"/>
              </w:rPr>
              <w:t>4 587,16</w:t>
            </w:r>
          </w:p>
        </w:tc>
        <w:tc>
          <w:tcPr>
            <w:tcW w:w="1226" w:type="dxa"/>
            <w:tcBorders>
              <w:left w:val="nil"/>
              <w:right w:val="nil"/>
            </w:tcBorders>
          </w:tcPr>
          <w:p w14:paraId="1888331C" w14:textId="0BB9D679"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  9%</w:t>
            </w:r>
          </w:p>
        </w:tc>
        <w:tc>
          <w:tcPr>
            <w:tcW w:w="567" w:type="dxa"/>
            <w:tcBorders>
              <w:left w:val="nil"/>
              <w:right w:val="nil"/>
            </w:tcBorders>
          </w:tcPr>
          <w:p w14:paraId="178741E1" w14:textId="4D697F77"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w:t>
            </w:r>
          </w:p>
        </w:tc>
        <w:tc>
          <w:tcPr>
            <w:tcW w:w="2118" w:type="dxa"/>
            <w:tcBorders>
              <w:left w:val="nil"/>
            </w:tcBorders>
            <w:vAlign w:val="bottom"/>
          </w:tcPr>
          <w:p w14:paraId="3C1D829A" w14:textId="71E3ACB2"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rPr>
              <w:t>412,84</w:t>
            </w:r>
          </w:p>
        </w:tc>
        <w:tc>
          <w:tcPr>
            <w:tcW w:w="2302" w:type="dxa"/>
          </w:tcPr>
          <w:p w14:paraId="53282815" w14:textId="30BEF3D0" w:rsidR="00B410B1" w:rsidRPr="00603CD2" w:rsidRDefault="00B410B1" w:rsidP="00B410B1">
            <w:pPr>
              <w:tabs>
                <w:tab w:val="left" w:pos="780"/>
              </w:tabs>
              <w:jc w:val="center"/>
              <w:rPr>
                <w:rFonts w:ascii="Arial" w:hAnsi="Arial" w:cs="Arial"/>
                <w:sz w:val="20"/>
                <w:szCs w:val="20"/>
                <w:lang w:val="fr-FR"/>
              </w:rPr>
            </w:pPr>
            <w:r w:rsidRPr="00603CD2">
              <w:rPr>
                <w:rFonts w:ascii="Arial" w:hAnsi="Arial" w:cs="Arial"/>
                <w:sz w:val="20"/>
                <w:szCs w:val="20"/>
                <w:lang w:val="fr-FR"/>
              </w:rPr>
              <w:t>5 000,00</w:t>
            </w:r>
          </w:p>
        </w:tc>
      </w:tr>
    </w:tbl>
    <w:p w14:paraId="21C1801A" w14:textId="77777777" w:rsidR="00EE09DB" w:rsidRPr="00A619A0" w:rsidRDefault="00EE09DB" w:rsidP="00715F44">
      <w:pPr>
        <w:tabs>
          <w:tab w:val="left" w:pos="780"/>
        </w:tabs>
        <w:jc w:val="both"/>
        <w:rPr>
          <w:rFonts w:ascii="Arial" w:hAnsi="Arial"/>
          <w:sz w:val="22"/>
          <w:lang w:val="fr-FR"/>
        </w:rPr>
      </w:pPr>
    </w:p>
    <w:p w14:paraId="494C7C70" w14:textId="164EA709" w:rsidR="006E02D0" w:rsidRPr="00A619A0" w:rsidRDefault="006E02D0" w:rsidP="00715F44">
      <w:pPr>
        <w:tabs>
          <w:tab w:val="left" w:pos="780"/>
        </w:tabs>
        <w:jc w:val="both"/>
        <w:rPr>
          <w:rFonts w:ascii="Arial" w:hAnsi="Arial"/>
          <w:sz w:val="22"/>
          <w:lang w:val="fr-FR"/>
        </w:rPr>
      </w:pPr>
      <w:r w:rsidRPr="00A619A0">
        <w:rPr>
          <w:rFonts w:ascii="Arial" w:hAnsi="Arial"/>
          <w:sz w:val="22"/>
          <w:lang w:val="fr-FR"/>
        </w:rPr>
        <w:t>On remarque que, pour les obligataires concernés par la répartition actuarielle du produit imposable, la répartition est identique.</w:t>
      </w:r>
    </w:p>
    <w:p w14:paraId="293AFB2C" w14:textId="77777777" w:rsidR="00F20B1F" w:rsidRPr="00A619A0" w:rsidRDefault="00F20B1F" w:rsidP="00715F44">
      <w:pPr>
        <w:tabs>
          <w:tab w:val="left" w:pos="780"/>
        </w:tabs>
        <w:jc w:val="both"/>
        <w:rPr>
          <w:rFonts w:ascii="Arial" w:hAnsi="Arial"/>
          <w:color w:val="FF0000"/>
          <w:sz w:val="22"/>
          <w:lang w:val="fr-FR"/>
        </w:rPr>
      </w:pPr>
    </w:p>
    <w:p w14:paraId="012459BA" w14:textId="77777777" w:rsidR="00C44A3F" w:rsidRDefault="00C44A3F" w:rsidP="00F20B1F">
      <w:pPr>
        <w:tabs>
          <w:tab w:val="left" w:pos="780"/>
        </w:tabs>
        <w:jc w:val="both"/>
        <w:rPr>
          <w:rFonts w:ascii="Arial" w:hAnsi="Arial"/>
          <w:b/>
          <w:sz w:val="22"/>
          <w:lang w:val="fr-FR"/>
        </w:rPr>
      </w:pPr>
    </w:p>
    <w:p w14:paraId="5B68CCFB" w14:textId="5A837B77" w:rsidR="00C1081F" w:rsidRPr="00A619A0" w:rsidRDefault="00C1081F" w:rsidP="00F20B1F">
      <w:pPr>
        <w:tabs>
          <w:tab w:val="left" w:pos="780"/>
        </w:tabs>
        <w:jc w:val="both"/>
        <w:rPr>
          <w:rFonts w:ascii="Arial" w:hAnsi="Arial"/>
          <w:b/>
          <w:sz w:val="22"/>
          <w:lang w:val="fr-FR"/>
        </w:rPr>
      </w:pPr>
      <w:r w:rsidRPr="00A619A0">
        <w:rPr>
          <w:rFonts w:ascii="Arial" w:hAnsi="Arial"/>
          <w:b/>
          <w:sz w:val="22"/>
          <w:lang w:val="fr-FR"/>
        </w:rPr>
        <w:t>E</w:t>
      </w:r>
      <w:r w:rsidR="00F20B1F" w:rsidRPr="00A619A0">
        <w:rPr>
          <w:rFonts w:ascii="Arial" w:hAnsi="Arial"/>
          <w:b/>
          <w:sz w:val="22"/>
          <w:lang w:val="fr-FR"/>
        </w:rPr>
        <w:t>mprunt en</w:t>
      </w:r>
      <w:r w:rsidRPr="00A619A0">
        <w:rPr>
          <w:rFonts w:ascii="Arial" w:hAnsi="Arial"/>
          <w:b/>
          <w:sz w:val="22"/>
          <w:lang w:val="fr-FR"/>
        </w:rPr>
        <w:t xml:space="preserve"> devises</w:t>
      </w:r>
    </w:p>
    <w:p w14:paraId="56C28FAA" w14:textId="626ACFA5" w:rsidR="00F20B1F" w:rsidRPr="00A619A0" w:rsidRDefault="00C1081F" w:rsidP="00715F44">
      <w:pPr>
        <w:tabs>
          <w:tab w:val="left" w:pos="780"/>
        </w:tabs>
        <w:jc w:val="both"/>
        <w:rPr>
          <w:rFonts w:ascii="Arial" w:hAnsi="Arial"/>
          <w:sz w:val="22"/>
          <w:lang w:val="fr-FR"/>
        </w:rPr>
      </w:pPr>
      <w:r w:rsidRPr="00A619A0">
        <w:rPr>
          <w:rFonts w:ascii="Arial" w:hAnsi="Arial"/>
          <w:sz w:val="22"/>
          <w:lang w:val="fr-FR"/>
        </w:rPr>
        <w:t>L</w:t>
      </w:r>
      <w:r w:rsidR="00F20B1F" w:rsidRPr="00A619A0">
        <w:rPr>
          <w:rFonts w:ascii="Arial" w:hAnsi="Arial"/>
          <w:sz w:val="22"/>
          <w:lang w:val="fr-FR"/>
        </w:rPr>
        <w:t>es écarts de change sur les dettes et les créances libellées en monnaie étrangère, par rapport aux montants initialement comptabilisés, sont déterminés à la clôture de chaque exercice en fonction du dernier cours de change et pris en compte pour la détermination du résultat imposable de l'exercice.</w:t>
      </w:r>
    </w:p>
    <w:sectPr w:rsidR="00F20B1F" w:rsidRPr="00A619A0" w:rsidSect="00F42ED0">
      <w:footerReference w:type="even" r:id="rId16"/>
      <w:footerReference w:type="default" r:id="rId1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2530" w14:textId="77777777" w:rsidR="00C91576" w:rsidRDefault="00C91576">
      <w:r>
        <w:separator/>
      </w:r>
    </w:p>
  </w:endnote>
  <w:endnote w:type="continuationSeparator" w:id="0">
    <w:p w14:paraId="0C370D6C" w14:textId="77777777" w:rsidR="00C91576" w:rsidRDefault="00C9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Sylfaen"/>
    <w:panose1 w:val="00000500000000020000"/>
    <w:charset w:val="00"/>
    <w:family w:val="auto"/>
    <w:pitch w:val="variable"/>
    <w:sig w:usb0="E00002FF" w:usb1="5000205A" w:usb2="00000000" w:usb3="00000000" w:csb0="0000019F" w:csb1="00000000"/>
  </w:font>
  <w:font w:name="TimesNewRoman">
    <w:altName w:val="Arial"/>
    <w:panose1 w:val="020B0604020202020204"/>
    <w:charset w:val="4D"/>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40C9" w14:textId="77777777" w:rsidR="00E156CA" w:rsidRDefault="00E156CA" w:rsidP="00174C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3185E79" w14:textId="77777777" w:rsidR="00E156CA" w:rsidRDefault="00E156CA" w:rsidP="00174C3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2297" w14:textId="77777777" w:rsidR="00E156CA" w:rsidRDefault="00E156CA" w:rsidP="00174C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551E793" w14:textId="77777777" w:rsidR="00E156CA" w:rsidRDefault="00E156CA" w:rsidP="00174C3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432E" w14:textId="77777777" w:rsidR="00C91576" w:rsidRDefault="00C91576">
      <w:r>
        <w:separator/>
      </w:r>
    </w:p>
  </w:footnote>
  <w:footnote w:type="continuationSeparator" w:id="0">
    <w:p w14:paraId="149C0AFE" w14:textId="77777777" w:rsidR="00C91576" w:rsidRDefault="00C91576">
      <w:r>
        <w:continuationSeparator/>
      </w:r>
    </w:p>
  </w:footnote>
  <w:footnote w:id="1">
    <w:p w14:paraId="5F6DB6FC" w14:textId="36F55653" w:rsidR="00E156CA" w:rsidRPr="00624C45" w:rsidRDefault="00E156CA" w:rsidP="00624C45">
      <w:pPr>
        <w:jc w:val="both"/>
        <w:rPr>
          <w:rFonts w:ascii="Arial" w:hAnsi="Arial" w:cs="Arial"/>
          <w:sz w:val="22"/>
          <w:szCs w:val="22"/>
        </w:rPr>
      </w:pPr>
      <w:r w:rsidRPr="00E839DE">
        <w:rPr>
          <w:rStyle w:val="Appelnotedebasdep"/>
          <w:rFonts w:ascii="Arial" w:hAnsi="Arial" w:cs="Arial"/>
          <w:sz w:val="22"/>
          <w:szCs w:val="22"/>
        </w:rPr>
        <w:footnoteRef/>
      </w:r>
      <w:r w:rsidRPr="00E839DE">
        <w:rPr>
          <w:rFonts w:ascii="Arial" w:hAnsi="Arial" w:cs="Arial"/>
          <w:sz w:val="22"/>
          <w:szCs w:val="22"/>
        </w:rPr>
        <w:t xml:space="preserve"> https://www.banque-info.com/lexique-bancaire/o/obligation-a-fenetre</w:t>
      </w:r>
    </w:p>
  </w:footnote>
  <w:footnote w:id="2">
    <w:p w14:paraId="168F0F21" w14:textId="168024DC" w:rsidR="003C0299" w:rsidRPr="003C0299" w:rsidRDefault="003C0299">
      <w:pPr>
        <w:pStyle w:val="Notedebasdepage"/>
        <w:rPr>
          <w:rFonts w:ascii="Arial" w:hAnsi="Arial" w:cs="Arial"/>
          <w:lang w:val="fr-FR"/>
        </w:rPr>
      </w:pPr>
      <w:r w:rsidRPr="003C0299">
        <w:rPr>
          <w:rStyle w:val="Appelnotedebasdep"/>
          <w:rFonts w:ascii="Arial" w:hAnsi="Arial" w:cs="Arial"/>
        </w:rPr>
        <w:footnoteRef/>
      </w:r>
      <w:r w:rsidRPr="003C0299">
        <w:rPr>
          <w:rFonts w:ascii="Arial" w:hAnsi="Arial" w:cs="Arial"/>
        </w:rPr>
        <w:t xml:space="preserve"> </w:t>
      </w:r>
      <w:r w:rsidRPr="003C0299">
        <w:rPr>
          <w:rFonts w:ascii="Arial" w:hAnsi="Arial" w:cs="Arial"/>
          <w:lang w:val="fr-FR"/>
        </w:rPr>
        <w:t>Cf. cours précédent sur la déduction des charges financières</w:t>
      </w:r>
    </w:p>
  </w:footnote>
  <w:footnote w:id="3">
    <w:p w14:paraId="40B890DB" w14:textId="460BAB14" w:rsidR="00216F57" w:rsidRPr="00216F57" w:rsidRDefault="00216F57">
      <w:pPr>
        <w:pStyle w:val="Notedebasdepage"/>
      </w:pPr>
      <w:r>
        <w:rPr>
          <w:rStyle w:val="Appelnotedebasdep"/>
        </w:rPr>
        <w:footnoteRef/>
      </w:r>
      <w:r>
        <w:t xml:space="preserve"> </w:t>
      </w:r>
      <w:r w:rsidRPr="00216F57">
        <w:t>BOI-BIC-CHG-50-50-40</w:t>
      </w:r>
    </w:p>
  </w:footnote>
  <w:footnote w:id="4">
    <w:p w14:paraId="05FAC952" w14:textId="77777777" w:rsidR="00D703C2" w:rsidRPr="00D703C2" w:rsidRDefault="00D703C2" w:rsidP="00D703C2">
      <w:pPr>
        <w:pStyle w:val="NormalWeb"/>
        <w:spacing w:before="0" w:beforeAutospacing="0" w:after="0" w:afterAutospacing="0"/>
        <w:rPr>
          <w:rFonts w:ascii="Arial" w:hAnsi="Arial" w:cs="Arial"/>
          <w:sz w:val="24"/>
          <w:szCs w:val="24"/>
        </w:rPr>
      </w:pPr>
      <w:r w:rsidRPr="00D703C2">
        <w:rPr>
          <w:rStyle w:val="Appelnotedebasdep"/>
          <w:rFonts w:ascii="Arial" w:hAnsi="Arial" w:cs="Arial"/>
        </w:rPr>
        <w:footnoteRef/>
      </w:r>
      <w:r w:rsidRPr="00D703C2">
        <w:rPr>
          <w:rFonts w:ascii="Arial" w:hAnsi="Arial" w:cs="Arial"/>
        </w:rPr>
        <w:t xml:space="preserve"> DIRECTIVE (UE) 2017/952 DU CONSEIL du 29 mai 2017 </w:t>
      </w:r>
    </w:p>
    <w:p w14:paraId="13595639" w14:textId="0109F11C" w:rsidR="00D703C2" w:rsidRPr="00D703C2" w:rsidRDefault="00D703C2" w:rsidP="00D703C2">
      <w:pPr>
        <w:pStyle w:val="Notedebasdepage"/>
        <w:rPr>
          <w:rFonts w:ascii="Arial" w:hAnsi="Arial" w:cs="Arial"/>
          <w:lang w:val="fr-FR"/>
        </w:rPr>
      </w:pPr>
    </w:p>
  </w:footnote>
  <w:footnote w:id="5">
    <w:p w14:paraId="38CCA57D" w14:textId="3763A9C2" w:rsidR="00982D71" w:rsidRPr="00982D71" w:rsidRDefault="00982D71">
      <w:pPr>
        <w:pStyle w:val="Notedebasdepage"/>
        <w:rPr>
          <w:rFonts w:ascii="Arial" w:hAnsi="Arial" w:cs="Arial"/>
        </w:rPr>
      </w:pPr>
      <w:r w:rsidRPr="00982D71">
        <w:rPr>
          <w:rStyle w:val="Appelnotedebasdep"/>
          <w:rFonts w:ascii="Arial" w:hAnsi="Arial" w:cs="Arial"/>
        </w:rPr>
        <w:footnoteRef/>
      </w:r>
      <w:r w:rsidRPr="00982D71">
        <w:rPr>
          <w:rFonts w:ascii="Arial" w:hAnsi="Arial" w:cs="Arial"/>
        </w:rPr>
        <w:t xml:space="preserve"> https://bofip.impots.gouv.fr/bofip/12679-PGP.html/identifiant=BOI-IS-BASE-80-10-20220209</w:t>
      </w:r>
    </w:p>
  </w:footnote>
  <w:footnote w:id="6">
    <w:p w14:paraId="4C42903E" w14:textId="0A5ED1E6" w:rsidR="00091C0E" w:rsidRPr="001004B2" w:rsidRDefault="00091C0E">
      <w:pPr>
        <w:pStyle w:val="Notedebasdepage"/>
        <w:rPr>
          <w:rFonts w:ascii="Arial" w:hAnsi="Arial" w:cs="Arial"/>
        </w:rPr>
      </w:pPr>
      <w:r w:rsidRPr="00091C0E">
        <w:rPr>
          <w:rStyle w:val="Appelnotedebasdep"/>
          <w:rFonts w:ascii="Arial" w:hAnsi="Arial" w:cs="Arial"/>
        </w:rPr>
        <w:footnoteRef/>
      </w:r>
      <w:r w:rsidRPr="00091C0E">
        <w:rPr>
          <w:rFonts w:ascii="Arial" w:hAnsi="Arial" w:cs="Arial"/>
        </w:rPr>
        <w:t xml:space="preserve"> https://bofip.impots.gouv.fr/bofip/2432-PGP.html/identifiant%3DBOI-BIC-PDSTK-10-20-60-20-20141020</w:t>
      </w:r>
    </w:p>
  </w:footnote>
  <w:footnote w:id="7">
    <w:p w14:paraId="0164B04A" w14:textId="47F9FAC4" w:rsidR="00573213" w:rsidRPr="00573213" w:rsidRDefault="00573213">
      <w:pPr>
        <w:pStyle w:val="Notedebasdepage"/>
      </w:pPr>
      <w:r>
        <w:rPr>
          <w:rStyle w:val="Appelnotedebasdep"/>
        </w:rPr>
        <w:footnoteRef/>
      </w:r>
      <w:r>
        <w:t xml:space="preserve"> Le </w:t>
      </w:r>
      <w:r w:rsidRPr="00573213">
        <w:rPr>
          <w:lang w:val="fr-FR"/>
        </w:rPr>
        <w:t>PFU sera étudié en détail dans le cadre de l’imposition des revenus mobiliers</w:t>
      </w:r>
    </w:p>
  </w:footnote>
  <w:footnote w:id="8">
    <w:p w14:paraId="18855E98" w14:textId="656D0FA9" w:rsidR="005770D1" w:rsidRPr="005770D1" w:rsidRDefault="005770D1">
      <w:pPr>
        <w:pStyle w:val="Notedebasdepage"/>
        <w:rPr>
          <w:lang w:val="fr-FR"/>
        </w:rPr>
      </w:pPr>
      <w:r>
        <w:rPr>
          <w:rStyle w:val="Appelnotedebasdep"/>
        </w:rPr>
        <w:footnoteRef/>
      </w:r>
      <w:r>
        <w:t xml:space="preserve"> </w:t>
      </w:r>
      <w:r w:rsidRPr="005770D1">
        <w:rPr>
          <w:rFonts w:ascii="Arial" w:hAnsi="Arial" w:cs="Arial"/>
          <w:lang w:val="fr-FR"/>
        </w:rPr>
        <w:t>Uniquement pour les entreprises relevant des BIC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C"/>
    <w:lvl w:ilvl="0">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2AB1158"/>
    <w:multiLevelType w:val="hybridMultilevel"/>
    <w:tmpl w:val="D38C30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D73023"/>
    <w:multiLevelType w:val="hybridMultilevel"/>
    <w:tmpl w:val="54AA64CE"/>
    <w:lvl w:ilvl="0" w:tplc="32FE9FE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387835"/>
    <w:multiLevelType w:val="hybridMultilevel"/>
    <w:tmpl w:val="B7664B9A"/>
    <w:lvl w:ilvl="0" w:tplc="E47036F6">
      <w:start w:val="1"/>
      <w:numFmt w:val="bullet"/>
      <w:lvlText w:val="-"/>
      <w:lvlJc w:val="left"/>
      <w:pPr>
        <w:tabs>
          <w:tab w:val="num" w:pos="720"/>
        </w:tabs>
        <w:ind w:left="720" w:hanging="360"/>
      </w:pPr>
      <w:rPr>
        <w:rFonts w:ascii="Arial" w:hAnsi="Arial" w:hint="default"/>
      </w:rPr>
    </w:lvl>
    <w:lvl w:ilvl="1" w:tplc="DAFC75DA" w:tentative="1">
      <w:start w:val="1"/>
      <w:numFmt w:val="bullet"/>
      <w:lvlText w:val="-"/>
      <w:lvlJc w:val="left"/>
      <w:pPr>
        <w:tabs>
          <w:tab w:val="num" w:pos="1440"/>
        </w:tabs>
        <w:ind w:left="1440" w:hanging="360"/>
      </w:pPr>
      <w:rPr>
        <w:rFonts w:ascii="Arial" w:hAnsi="Arial" w:hint="default"/>
      </w:rPr>
    </w:lvl>
    <w:lvl w:ilvl="2" w:tplc="88FE170C" w:tentative="1">
      <w:start w:val="1"/>
      <w:numFmt w:val="bullet"/>
      <w:lvlText w:val="-"/>
      <w:lvlJc w:val="left"/>
      <w:pPr>
        <w:tabs>
          <w:tab w:val="num" w:pos="2160"/>
        </w:tabs>
        <w:ind w:left="2160" w:hanging="360"/>
      </w:pPr>
      <w:rPr>
        <w:rFonts w:ascii="Arial" w:hAnsi="Arial" w:hint="default"/>
      </w:rPr>
    </w:lvl>
    <w:lvl w:ilvl="3" w:tplc="7C680A3E" w:tentative="1">
      <w:start w:val="1"/>
      <w:numFmt w:val="bullet"/>
      <w:lvlText w:val="-"/>
      <w:lvlJc w:val="left"/>
      <w:pPr>
        <w:tabs>
          <w:tab w:val="num" w:pos="2880"/>
        </w:tabs>
        <w:ind w:left="2880" w:hanging="360"/>
      </w:pPr>
      <w:rPr>
        <w:rFonts w:ascii="Arial" w:hAnsi="Arial" w:hint="default"/>
      </w:rPr>
    </w:lvl>
    <w:lvl w:ilvl="4" w:tplc="4DC63B08" w:tentative="1">
      <w:start w:val="1"/>
      <w:numFmt w:val="bullet"/>
      <w:lvlText w:val="-"/>
      <w:lvlJc w:val="left"/>
      <w:pPr>
        <w:tabs>
          <w:tab w:val="num" w:pos="3600"/>
        </w:tabs>
        <w:ind w:left="3600" w:hanging="360"/>
      </w:pPr>
      <w:rPr>
        <w:rFonts w:ascii="Arial" w:hAnsi="Arial" w:hint="default"/>
      </w:rPr>
    </w:lvl>
    <w:lvl w:ilvl="5" w:tplc="ED928DE8" w:tentative="1">
      <w:start w:val="1"/>
      <w:numFmt w:val="bullet"/>
      <w:lvlText w:val="-"/>
      <w:lvlJc w:val="left"/>
      <w:pPr>
        <w:tabs>
          <w:tab w:val="num" w:pos="4320"/>
        </w:tabs>
        <w:ind w:left="4320" w:hanging="360"/>
      </w:pPr>
      <w:rPr>
        <w:rFonts w:ascii="Arial" w:hAnsi="Arial" w:hint="default"/>
      </w:rPr>
    </w:lvl>
    <w:lvl w:ilvl="6" w:tplc="80969890" w:tentative="1">
      <w:start w:val="1"/>
      <w:numFmt w:val="bullet"/>
      <w:lvlText w:val="-"/>
      <w:lvlJc w:val="left"/>
      <w:pPr>
        <w:tabs>
          <w:tab w:val="num" w:pos="5040"/>
        </w:tabs>
        <w:ind w:left="5040" w:hanging="360"/>
      </w:pPr>
      <w:rPr>
        <w:rFonts w:ascii="Arial" w:hAnsi="Arial" w:hint="default"/>
      </w:rPr>
    </w:lvl>
    <w:lvl w:ilvl="7" w:tplc="4E3A88DE" w:tentative="1">
      <w:start w:val="1"/>
      <w:numFmt w:val="bullet"/>
      <w:lvlText w:val="-"/>
      <w:lvlJc w:val="left"/>
      <w:pPr>
        <w:tabs>
          <w:tab w:val="num" w:pos="5760"/>
        </w:tabs>
        <w:ind w:left="5760" w:hanging="360"/>
      </w:pPr>
      <w:rPr>
        <w:rFonts w:ascii="Arial" w:hAnsi="Arial" w:hint="default"/>
      </w:rPr>
    </w:lvl>
    <w:lvl w:ilvl="8" w:tplc="10E46C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F12BE7"/>
    <w:multiLevelType w:val="hybridMultilevel"/>
    <w:tmpl w:val="875A2488"/>
    <w:lvl w:ilvl="0" w:tplc="2188A3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322E28"/>
    <w:multiLevelType w:val="hybridMultilevel"/>
    <w:tmpl w:val="F684BD12"/>
    <w:lvl w:ilvl="0" w:tplc="E87A1B84">
      <w:start w:val="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E210FA"/>
    <w:multiLevelType w:val="hybridMultilevel"/>
    <w:tmpl w:val="D07008D8"/>
    <w:lvl w:ilvl="0" w:tplc="A4CA69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985DF0"/>
    <w:multiLevelType w:val="hybridMultilevel"/>
    <w:tmpl w:val="06B4A9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E8125B"/>
    <w:multiLevelType w:val="hybridMultilevel"/>
    <w:tmpl w:val="50648A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D05744"/>
    <w:multiLevelType w:val="hybridMultilevel"/>
    <w:tmpl w:val="7A823D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0B25AC"/>
    <w:multiLevelType w:val="hybridMultilevel"/>
    <w:tmpl w:val="99DC20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4D4E3E"/>
    <w:multiLevelType w:val="hybridMultilevel"/>
    <w:tmpl w:val="ACC0D3AA"/>
    <w:lvl w:ilvl="0" w:tplc="6C1A8EE6">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731A5B"/>
    <w:multiLevelType w:val="hybridMultilevel"/>
    <w:tmpl w:val="D706AF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DE3C65"/>
    <w:multiLevelType w:val="hybridMultilevel"/>
    <w:tmpl w:val="B6E298A2"/>
    <w:lvl w:ilvl="0" w:tplc="F8126AD4">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293788"/>
    <w:multiLevelType w:val="hybridMultilevel"/>
    <w:tmpl w:val="A7482668"/>
    <w:lvl w:ilvl="0" w:tplc="22903FB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CCC711B"/>
    <w:multiLevelType w:val="hybridMultilevel"/>
    <w:tmpl w:val="797E52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C50351"/>
    <w:multiLevelType w:val="hybridMultilevel"/>
    <w:tmpl w:val="0B5E6C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A761A0"/>
    <w:multiLevelType w:val="hybridMultilevel"/>
    <w:tmpl w:val="184CA0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BC04AC"/>
    <w:multiLevelType w:val="hybridMultilevel"/>
    <w:tmpl w:val="3F52A26C"/>
    <w:lvl w:ilvl="0" w:tplc="B4C214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8352E7"/>
    <w:multiLevelType w:val="hybridMultilevel"/>
    <w:tmpl w:val="3AA2D0EC"/>
    <w:lvl w:ilvl="0" w:tplc="E1343D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2380304">
    <w:abstractNumId w:val="0"/>
  </w:num>
  <w:num w:numId="2" w16cid:durableId="1975019093">
    <w:abstractNumId w:val="1"/>
  </w:num>
  <w:num w:numId="3" w16cid:durableId="245461400">
    <w:abstractNumId w:val="6"/>
  </w:num>
  <w:num w:numId="4" w16cid:durableId="260380506">
    <w:abstractNumId w:val="20"/>
  </w:num>
  <w:num w:numId="5" w16cid:durableId="390272775">
    <w:abstractNumId w:val="12"/>
  </w:num>
  <w:num w:numId="6" w16cid:durableId="627275367">
    <w:abstractNumId w:val="14"/>
  </w:num>
  <w:num w:numId="7" w16cid:durableId="38553469">
    <w:abstractNumId w:val="19"/>
  </w:num>
  <w:num w:numId="8" w16cid:durableId="426972565">
    <w:abstractNumId w:val="16"/>
  </w:num>
  <w:num w:numId="9" w16cid:durableId="1223372423">
    <w:abstractNumId w:val="15"/>
  </w:num>
  <w:num w:numId="10" w16cid:durableId="740642300">
    <w:abstractNumId w:val="2"/>
  </w:num>
  <w:num w:numId="11" w16cid:durableId="381828325">
    <w:abstractNumId w:val="7"/>
  </w:num>
  <w:num w:numId="12" w16cid:durableId="1822693166">
    <w:abstractNumId w:val="13"/>
  </w:num>
  <w:num w:numId="13" w16cid:durableId="154497481">
    <w:abstractNumId w:val="3"/>
  </w:num>
  <w:num w:numId="14" w16cid:durableId="644824061">
    <w:abstractNumId w:val="5"/>
  </w:num>
  <w:num w:numId="15" w16cid:durableId="1261597559">
    <w:abstractNumId w:val="8"/>
  </w:num>
  <w:num w:numId="16" w16cid:durableId="696270772">
    <w:abstractNumId w:val="9"/>
  </w:num>
  <w:num w:numId="17" w16cid:durableId="637955371">
    <w:abstractNumId w:val="17"/>
  </w:num>
  <w:num w:numId="18" w16cid:durableId="2042171180">
    <w:abstractNumId w:val="11"/>
  </w:num>
  <w:num w:numId="19" w16cid:durableId="208107710">
    <w:abstractNumId w:val="10"/>
  </w:num>
  <w:num w:numId="20" w16cid:durableId="578565268">
    <w:abstractNumId w:val="4"/>
  </w:num>
  <w:num w:numId="21" w16cid:durableId="20342626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8D"/>
    <w:rsid w:val="000024B5"/>
    <w:rsid w:val="00005FF9"/>
    <w:rsid w:val="000137A4"/>
    <w:rsid w:val="00014879"/>
    <w:rsid w:val="000151DF"/>
    <w:rsid w:val="00016D8C"/>
    <w:rsid w:val="00025FF3"/>
    <w:rsid w:val="0002692D"/>
    <w:rsid w:val="00044B9A"/>
    <w:rsid w:val="00045B09"/>
    <w:rsid w:val="000461F9"/>
    <w:rsid w:val="000676F8"/>
    <w:rsid w:val="00072F18"/>
    <w:rsid w:val="00076A77"/>
    <w:rsid w:val="00083999"/>
    <w:rsid w:val="00091486"/>
    <w:rsid w:val="00091C0E"/>
    <w:rsid w:val="000B2883"/>
    <w:rsid w:val="000B2CCD"/>
    <w:rsid w:val="000C49E5"/>
    <w:rsid w:val="000E2BC7"/>
    <w:rsid w:val="000E32C1"/>
    <w:rsid w:val="000E33F9"/>
    <w:rsid w:val="000F0591"/>
    <w:rsid w:val="000F5EF9"/>
    <w:rsid w:val="000F6901"/>
    <w:rsid w:val="001004B2"/>
    <w:rsid w:val="00100DF7"/>
    <w:rsid w:val="001030B8"/>
    <w:rsid w:val="00103ECD"/>
    <w:rsid w:val="001102F1"/>
    <w:rsid w:val="001143B4"/>
    <w:rsid w:val="001149F8"/>
    <w:rsid w:val="001217CD"/>
    <w:rsid w:val="001248E1"/>
    <w:rsid w:val="00144EE1"/>
    <w:rsid w:val="00156223"/>
    <w:rsid w:val="001573B3"/>
    <w:rsid w:val="0016012D"/>
    <w:rsid w:val="00162A77"/>
    <w:rsid w:val="00162FA5"/>
    <w:rsid w:val="00163C2A"/>
    <w:rsid w:val="00166ACD"/>
    <w:rsid w:val="00167C1F"/>
    <w:rsid w:val="00174C3B"/>
    <w:rsid w:val="00175744"/>
    <w:rsid w:val="001800D7"/>
    <w:rsid w:val="0018048E"/>
    <w:rsid w:val="00182FCE"/>
    <w:rsid w:val="00183DEE"/>
    <w:rsid w:val="00193F32"/>
    <w:rsid w:val="001960F2"/>
    <w:rsid w:val="001A1196"/>
    <w:rsid w:val="001C7B50"/>
    <w:rsid w:val="001D0DB1"/>
    <w:rsid w:val="001D2020"/>
    <w:rsid w:val="001E4837"/>
    <w:rsid w:val="001E7BCD"/>
    <w:rsid w:val="001F161C"/>
    <w:rsid w:val="00207741"/>
    <w:rsid w:val="00214B12"/>
    <w:rsid w:val="002155F6"/>
    <w:rsid w:val="00216F57"/>
    <w:rsid w:val="0022434E"/>
    <w:rsid w:val="002306F4"/>
    <w:rsid w:val="002322E8"/>
    <w:rsid w:val="00232D7E"/>
    <w:rsid w:val="00236709"/>
    <w:rsid w:val="00243787"/>
    <w:rsid w:val="0024701A"/>
    <w:rsid w:val="002503AC"/>
    <w:rsid w:val="002507A7"/>
    <w:rsid w:val="00252837"/>
    <w:rsid w:val="0025710B"/>
    <w:rsid w:val="00257123"/>
    <w:rsid w:val="00260C1A"/>
    <w:rsid w:val="0026718A"/>
    <w:rsid w:val="00273B12"/>
    <w:rsid w:val="002752D1"/>
    <w:rsid w:val="00281591"/>
    <w:rsid w:val="00283F55"/>
    <w:rsid w:val="00297F8D"/>
    <w:rsid w:val="002A11DD"/>
    <w:rsid w:val="002A2199"/>
    <w:rsid w:val="002A3009"/>
    <w:rsid w:val="002A59EF"/>
    <w:rsid w:val="002B0D98"/>
    <w:rsid w:val="002B4D2E"/>
    <w:rsid w:val="002C5EC8"/>
    <w:rsid w:val="002D11D9"/>
    <w:rsid w:val="002D35F4"/>
    <w:rsid w:val="002E2973"/>
    <w:rsid w:val="002E5184"/>
    <w:rsid w:val="002E6F8C"/>
    <w:rsid w:val="002F2833"/>
    <w:rsid w:val="002F3A17"/>
    <w:rsid w:val="00301AC4"/>
    <w:rsid w:val="00312249"/>
    <w:rsid w:val="00321950"/>
    <w:rsid w:val="0032424A"/>
    <w:rsid w:val="00330BFC"/>
    <w:rsid w:val="00336F49"/>
    <w:rsid w:val="00340E3D"/>
    <w:rsid w:val="003432B7"/>
    <w:rsid w:val="003444D9"/>
    <w:rsid w:val="00344D19"/>
    <w:rsid w:val="0034523E"/>
    <w:rsid w:val="00346131"/>
    <w:rsid w:val="003509C4"/>
    <w:rsid w:val="00353A54"/>
    <w:rsid w:val="003540F9"/>
    <w:rsid w:val="00355710"/>
    <w:rsid w:val="00357CA8"/>
    <w:rsid w:val="00363B20"/>
    <w:rsid w:val="0037412B"/>
    <w:rsid w:val="003759A0"/>
    <w:rsid w:val="003805AE"/>
    <w:rsid w:val="0038169C"/>
    <w:rsid w:val="00395183"/>
    <w:rsid w:val="003A4592"/>
    <w:rsid w:val="003B0D0E"/>
    <w:rsid w:val="003B1F2F"/>
    <w:rsid w:val="003C0299"/>
    <w:rsid w:val="003C205F"/>
    <w:rsid w:val="003C2894"/>
    <w:rsid w:val="003C797E"/>
    <w:rsid w:val="003E3FB2"/>
    <w:rsid w:val="003E5B7C"/>
    <w:rsid w:val="003F26F5"/>
    <w:rsid w:val="003F5571"/>
    <w:rsid w:val="00422210"/>
    <w:rsid w:val="00424921"/>
    <w:rsid w:val="004302A8"/>
    <w:rsid w:val="00433A7B"/>
    <w:rsid w:val="00436C0E"/>
    <w:rsid w:val="0045188C"/>
    <w:rsid w:val="004542C8"/>
    <w:rsid w:val="004609C7"/>
    <w:rsid w:val="00470B4A"/>
    <w:rsid w:val="00477735"/>
    <w:rsid w:val="00481C2D"/>
    <w:rsid w:val="00483BBD"/>
    <w:rsid w:val="0049240A"/>
    <w:rsid w:val="004A6A74"/>
    <w:rsid w:val="004B612E"/>
    <w:rsid w:val="004C043E"/>
    <w:rsid w:val="004C6D31"/>
    <w:rsid w:val="004D27CC"/>
    <w:rsid w:val="004D2B41"/>
    <w:rsid w:val="004D4C85"/>
    <w:rsid w:val="004D7A2C"/>
    <w:rsid w:val="004E2CB2"/>
    <w:rsid w:val="004E3BB5"/>
    <w:rsid w:val="004E42B3"/>
    <w:rsid w:val="004E79CE"/>
    <w:rsid w:val="004F11B8"/>
    <w:rsid w:val="00501F72"/>
    <w:rsid w:val="0051341F"/>
    <w:rsid w:val="00515F79"/>
    <w:rsid w:val="00522B4F"/>
    <w:rsid w:val="00523EAC"/>
    <w:rsid w:val="0053250C"/>
    <w:rsid w:val="00532827"/>
    <w:rsid w:val="00535D8D"/>
    <w:rsid w:val="0054294B"/>
    <w:rsid w:val="00545B9F"/>
    <w:rsid w:val="005467AF"/>
    <w:rsid w:val="00546B2D"/>
    <w:rsid w:val="00561197"/>
    <w:rsid w:val="00561B46"/>
    <w:rsid w:val="00572724"/>
    <w:rsid w:val="00573213"/>
    <w:rsid w:val="00574545"/>
    <w:rsid w:val="005766E4"/>
    <w:rsid w:val="005770D1"/>
    <w:rsid w:val="005845A5"/>
    <w:rsid w:val="0058497D"/>
    <w:rsid w:val="00584DDB"/>
    <w:rsid w:val="005852E1"/>
    <w:rsid w:val="00586AF5"/>
    <w:rsid w:val="0059724E"/>
    <w:rsid w:val="005B3765"/>
    <w:rsid w:val="005B4F3F"/>
    <w:rsid w:val="005C3008"/>
    <w:rsid w:val="005D1721"/>
    <w:rsid w:val="005E0114"/>
    <w:rsid w:val="005E01BE"/>
    <w:rsid w:val="005E6771"/>
    <w:rsid w:val="005E7827"/>
    <w:rsid w:val="00603CD2"/>
    <w:rsid w:val="00605CB3"/>
    <w:rsid w:val="006076E2"/>
    <w:rsid w:val="006215EB"/>
    <w:rsid w:val="00624C45"/>
    <w:rsid w:val="0062660B"/>
    <w:rsid w:val="00627302"/>
    <w:rsid w:val="00627F34"/>
    <w:rsid w:val="00630013"/>
    <w:rsid w:val="00641935"/>
    <w:rsid w:val="006431ED"/>
    <w:rsid w:val="00646945"/>
    <w:rsid w:val="006502C0"/>
    <w:rsid w:val="00650AD5"/>
    <w:rsid w:val="00652D56"/>
    <w:rsid w:val="00656E3A"/>
    <w:rsid w:val="00666C47"/>
    <w:rsid w:val="00673176"/>
    <w:rsid w:val="00680601"/>
    <w:rsid w:val="00692429"/>
    <w:rsid w:val="0069631A"/>
    <w:rsid w:val="006979D9"/>
    <w:rsid w:val="006A120A"/>
    <w:rsid w:val="006A614B"/>
    <w:rsid w:val="006B061B"/>
    <w:rsid w:val="006B44C8"/>
    <w:rsid w:val="006C2E18"/>
    <w:rsid w:val="006C74B2"/>
    <w:rsid w:val="006C7DD5"/>
    <w:rsid w:val="006D2A3B"/>
    <w:rsid w:val="006D5225"/>
    <w:rsid w:val="006D6B6B"/>
    <w:rsid w:val="006E02D0"/>
    <w:rsid w:val="006E0682"/>
    <w:rsid w:val="006E2048"/>
    <w:rsid w:val="006E50C2"/>
    <w:rsid w:val="006F2AA3"/>
    <w:rsid w:val="006F6335"/>
    <w:rsid w:val="0070382F"/>
    <w:rsid w:val="00707D9C"/>
    <w:rsid w:val="00707F35"/>
    <w:rsid w:val="00715F44"/>
    <w:rsid w:val="0072321E"/>
    <w:rsid w:val="00725445"/>
    <w:rsid w:val="00725BF3"/>
    <w:rsid w:val="007331BF"/>
    <w:rsid w:val="00743B00"/>
    <w:rsid w:val="00744EF4"/>
    <w:rsid w:val="00751A32"/>
    <w:rsid w:val="007521A5"/>
    <w:rsid w:val="007565AC"/>
    <w:rsid w:val="00770E4D"/>
    <w:rsid w:val="00771A33"/>
    <w:rsid w:val="007A298B"/>
    <w:rsid w:val="007D682B"/>
    <w:rsid w:val="007F11A3"/>
    <w:rsid w:val="007F11E4"/>
    <w:rsid w:val="007F17F1"/>
    <w:rsid w:val="007F4B50"/>
    <w:rsid w:val="008006CA"/>
    <w:rsid w:val="0081602A"/>
    <w:rsid w:val="008242A7"/>
    <w:rsid w:val="00825F26"/>
    <w:rsid w:val="00844DA5"/>
    <w:rsid w:val="00846376"/>
    <w:rsid w:val="0085499E"/>
    <w:rsid w:val="00857CBE"/>
    <w:rsid w:val="008624C9"/>
    <w:rsid w:val="008659DD"/>
    <w:rsid w:val="00867760"/>
    <w:rsid w:val="0087132F"/>
    <w:rsid w:val="008764B2"/>
    <w:rsid w:val="0087713D"/>
    <w:rsid w:val="00885B3B"/>
    <w:rsid w:val="0089251D"/>
    <w:rsid w:val="00893182"/>
    <w:rsid w:val="00895012"/>
    <w:rsid w:val="008A367C"/>
    <w:rsid w:val="008B64FC"/>
    <w:rsid w:val="008D0E1E"/>
    <w:rsid w:val="008D1FEF"/>
    <w:rsid w:val="008D2C93"/>
    <w:rsid w:val="008E7FAA"/>
    <w:rsid w:val="008F071F"/>
    <w:rsid w:val="008F0CC8"/>
    <w:rsid w:val="008F3351"/>
    <w:rsid w:val="00900E64"/>
    <w:rsid w:val="00917E74"/>
    <w:rsid w:val="009240FF"/>
    <w:rsid w:val="00925899"/>
    <w:rsid w:val="00926EA9"/>
    <w:rsid w:val="00931E43"/>
    <w:rsid w:val="00932A59"/>
    <w:rsid w:val="009413F7"/>
    <w:rsid w:val="00941E07"/>
    <w:rsid w:val="009429CD"/>
    <w:rsid w:val="0095270C"/>
    <w:rsid w:val="009559F7"/>
    <w:rsid w:val="00961CBD"/>
    <w:rsid w:val="00972B99"/>
    <w:rsid w:val="00976A53"/>
    <w:rsid w:val="00977A84"/>
    <w:rsid w:val="00982591"/>
    <w:rsid w:val="00982D71"/>
    <w:rsid w:val="009838E3"/>
    <w:rsid w:val="009853B7"/>
    <w:rsid w:val="009A36F6"/>
    <w:rsid w:val="009C27FF"/>
    <w:rsid w:val="009C775D"/>
    <w:rsid w:val="009D5F78"/>
    <w:rsid w:val="009D72FD"/>
    <w:rsid w:val="009E375F"/>
    <w:rsid w:val="009F41CE"/>
    <w:rsid w:val="009F540C"/>
    <w:rsid w:val="009F7549"/>
    <w:rsid w:val="00A211B6"/>
    <w:rsid w:val="00A24099"/>
    <w:rsid w:val="00A26265"/>
    <w:rsid w:val="00A40692"/>
    <w:rsid w:val="00A506F4"/>
    <w:rsid w:val="00A6066C"/>
    <w:rsid w:val="00A619A0"/>
    <w:rsid w:val="00A6235D"/>
    <w:rsid w:val="00A62684"/>
    <w:rsid w:val="00A62FEC"/>
    <w:rsid w:val="00A84C40"/>
    <w:rsid w:val="00A85D54"/>
    <w:rsid w:val="00A877B6"/>
    <w:rsid w:val="00A879BA"/>
    <w:rsid w:val="00A93111"/>
    <w:rsid w:val="00A93B1B"/>
    <w:rsid w:val="00AA29CE"/>
    <w:rsid w:val="00AA6E75"/>
    <w:rsid w:val="00AC4E28"/>
    <w:rsid w:val="00AE040C"/>
    <w:rsid w:val="00AE5BB0"/>
    <w:rsid w:val="00AF13C3"/>
    <w:rsid w:val="00B0152F"/>
    <w:rsid w:val="00B04405"/>
    <w:rsid w:val="00B04E7E"/>
    <w:rsid w:val="00B1150C"/>
    <w:rsid w:val="00B1491D"/>
    <w:rsid w:val="00B210BD"/>
    <w:rsid w:val="00B31541"/>
    <w:rsid w:val="00B345BA"/>
    <w:rsid w:val="00B37EB4"/>
    <w:rsid w:val="00B410B1"/>
    <w:rsid w:val="00B4751E"/>
    <w:rsid w:val="00B50AD2"/>
    <w:rsid w:val="00B54B26"/>
    <w:rsid w:val="00B55BD4"/>
    <w:rsid w:val="00B57820"/>
    <w:rsid w:val="00B6484E"/>
    <w:rsid w:val="00B665B6"/>
    <w:rsid w:val="00B71D4E"/>
    <w:rsid w:val="00B773E0"/>
    <w:rsid w:val="00B8080F"/>
    <w:rsid w:val="00B87E40"/>
    <w:rsid w:val="00B91CBE"/>
    <w:rsid w:val="00BA72DD"/>
    <w:rsid w:val="00BB4833"/>
    <w:rsid w:val="00BC3BC3"/>
    <w:rsid w:val="00BD2AFB"/>
    <w:rsid w:val="00BD3643"/>
    <w:rsid w:val="00BE270F"/>
    <w:rsid w:val="00BE64DD"/>
    <w:rsid w:val="00BF26D6"/>
    <w:rsid w:val="00C01A89"/>
    <w:rsid w:val="00C1081F"/>
    <w:rsid w:val="00C16066"/>
    <w:rsid w:val="00C32D75"/>
    <w:rsid w:val="00C330DB"/>
    <w:rsid w:val="00C3567D"/>
    <w:rsid w:val="00C407E8"/>
    <w:rsid w:val="00C4405F"/>
    <w:rsid w:val="00C44A3F"/>
    <w:rsid w:val="00C4534B"/>
    <w:rsid w:val="00C4603B"/>
    <w:rsid w:val="00C507EB"/>
    <w:rsid w:val="00C534AA"/>
    <w:rsid w:val="00C53AFD"/>
    <w:rsid w:val="00C54D76"/>
    <w:rsid w:val="00C65D14"/>
    <w:rsid w:val="00C71818"/>
    <w:rsid w:val="00C71D79"/>
    <w:rsid w:val="00C860A3"/>
    <w:rsid w:val="00C91576"/>
    <w:rsid w:val="00C94BF1"/>
    <w:rsid w:val="00CA2417"/>
    <w:rsid w:val="00CB0C6C"/>
    <w:rsid w:val="00CB2288"/>
    <w:rsid w:val="00CC0BF3"/>
    <w:rsid w:val="00CD484C"/>
    <w:rsid w:val="00CD6CB9"/>
    <w:rsid w:val="00CE21B1"/>
    <w:rsid w:val="00CE4384"/>
    <w:rsid w:val="00D01FC3"/>
    <w:rsid w:val="00D02E7E"/>
    <w:rsid w:val="00D06940"/>
    <w:rsid w:val="00D07A54"/>
    <w:rsid w:val="00D07BBD"/>
    <w:rsid w:val="00D12EF9"/>
    <w:rsid w:val="00D205B1"/>
    <w:rsid w:val="00D33117"/>
    <w:rsid w:val="00D503EE"/>
    <w:rsid w:val="00D530C2"/>
    <w:rsid w:val="00D65643"/>
    <w:rsid w:val="00D65E0B"/>
    <w:rsid w:val="00D67282"/>
    <w:rsid w:val="00D703C2"/>
    <w:rsid w:val="00D90B25"/>
    <w:rsid w:val="00DA4237"/>
    <w:rsid w:val="00DB0C60"/>
    <w:rsid w:val="00DC1ACE"/>
    <w:rsid w:val="00DD008C"/>
    <w:rsid w:val="00DD4DAA"/>
    <w:rsid w:val="00DD7EFE"/>
    <w:rsid w:val="00DE33E4"/>
    <w:rsid w:val="00DF20FA"/>
    <w:rsid w:val="00DF3F85"/>
    <w:rsid w:val="00DF5CF3"/>
    <w:rsid w:val="00E00962"/>
    <w:rsid w:val="00E051C5"/>
    <w:rsid w:val="00E156CA"/>
    <w:rsid w:val="00E266AB"/>
    <w:rsid w:val="00E30F09"/>
    <w:rsid w:val="00E3200F"/>
    <w:rsid w:val="00E34AA6"/>
    <w:rsid w:val="00E36A2E"/>
    <w:rsid w:val="00E400F5"/>
    <w:rsid w:val="00E5018A"/>
    <w:rsid w:val="00E50DD4"/>
    <w:rsid w:val="00E51A48"/>
    <w:rsid w:val="00E6264D"/>
    <w:rsid w:val="00E7339B"/>
    <w:rsid w:val="00E839DE"/>
    <w:rsid w:val="00E856CA"/>
    <w:rsid w:val="00E935F0"/>
    <w:rsid w:val="00EA034B"/>
    <w:rsid w:val="00EA3AC5"/>
    <w:rsid w:val="00EA50A1"/>
    <w:rsid w:val="00EA7D4E"/>
    <w:rsid w:val="00EC0600"/>
    <w:rsid w:val="00EC3F66"/>
    <w:rsid w:val="00EC55DE"/>
    <w:rsid w:val="00EC7657"/>
    <w:rsid w:val="00ED6EB2"/>
    <w:rsid w:val="00EE09DB"/>
    <w:rsid w:val="00EE196B"/>
    <w:rsid w:val="00EE4039"/>
    <w:rsid w:val="00EF3564"/>
    <w:rsid w:val="00EF78CD"/>
    <w:rsid w:val="00F03055"/>
    <w:rsid w:val="00F12CEB"/>
    <w:rsid w:val="00F17E14"/>
    <w:rsid w:val="00F20B1F"/>
    <w:rsid w:val="00F270D8"/>
    <w:rsid w:val="00F3182D"/>
    <w:rsid w:val="00F32FED"/>
    <w:rsid w:val="00F35DB3"/>
    <w:rsid w:val="00F376F1"/>
    <w:rsid w:val="00F41BCC"/>
    <w:rsid w:val="00F42ED0"/>
    <w:rsid w:val="00F54D99"/>
    <w:rsid w:val="00F6046A"/>
    <w:rsid w:val="00F63833"/>
    <w:rsid w:val="00F70F13"/>
    <w:rsid w:val="00F74248"/>
    <w:rsid w:val="00F80C91"/>
    <w:rsid w:val="00F82DDA"/>
    <w:rsid w:val="00F8498E"/>
    <w:rsid w:val="00F909B3"/>
    <w:rsid w:val="00F9575C"/>
    <w:rsid w:val="00F962B0"/>
    <w:rsid w:val="00F97CB9"/>
    <w:rsid w:val="00FA17CA"/>
    <w:rsid w:val="00FA5822"/>
    <w:rsid w:val="00FB40F4"/>
    <w:rsid w:val="00FC476E"/>
    <w:rsid w:val="00FC778B"/>
    <w:rsid w:val="00FD11FF"/>
    <w:rsid w:val="00FD21DA"/>
    <w:rsid w:val="00FE4E93"/>
    <w:rsid w:val="00FE5BA8"/>
    <w:rsid w:val="00FF12D8"/>
    <w:rsid w:val="00FF1582"/>
    <w:rsid w:val="00FF56F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A4A9301"/>
  <w14:defaultImageDpi w14:val="300"/>
  <w15:docId w15:val="{EFA4AE6C-0438-8A44-91E9-8A2CEE06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E57"/>
    <w:rPr>
      <w:rFonts w:ascii="Geneva" w:hAnsi="Geneva"/>
      <w:lang w:val="it-IT"/>
    </w:rPr>
  </w:style>
  <w:style w:type="paragraph" w:styleId="Titre1">
    <w:name w:val="heading 1"/>
    <w:basedOn w:val="Normal"/>
    <w:next w:val="Normal"/>
    <w:link w:val="Titre1Car"/>
    <w:rsid w:val="00A619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rsid w:val="00A406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ENEVA">
    <w:name w:val="GENEVA"/>
    <w:basedOn w:val="Normal"/>
    <w:rsid w:val="00B705B3"/>
    <w:rPr>
      <w:sz w:val="22"/>
      <w:lang w:val="fr-FR"/>
    </w:rPr>
  </w:style>
  <w:style w:type="paragraph" w:styleId="Corpsdetexte">
    <w:name w:val="Body Text"/>
    <w:basedOn w:val="Normal"/>
    <w:link w:val="CorpsdetexteCar"/>
    <w:rsid w:val="00B705B3"/>
    <w:pPr>
      <w:jc w:val="both"/>
    </w:pPr>
    <w:rPr>
      <w:sz w:val="20"/>
      <w:lang w:val="fr-FR"/>
    </w:rPr>
  </w:style>
  <w:style w:type="character" w:customStyle="1" w:styleId="CorpsdetexteCar">
    <w:name w:val="Corps de texte Car"/>
    <w:link w:val="Corpsdetexte"/>
    <w:rsid w:val="00B705B3"/>
    <w:rPr>
      <w:rFonts w:ascii="Geneva" w:hAnsi="Geneva"/>
    </w:rPr>
  </w:style>
  <w:style w:type="paragraph" w:styleId="Pieddepage">
    <w:name w:val="footer"/>
    <w:basedOn w:val="Normal"/>
    <w:link w:val="PieddepageCar"/>
    <w:rsid w:val="00EB571F"/>
    <w:pPr>
      <w:tabs>
        <w:tab w:val="center" w:pos="4536"/>
        <w:tab w:val="right" w:pos="9072"/>
      </w:tabs>
    </w:pPr>
  </w:style>
  <w:style w:type="character" w:customStyle="1" w:styleId="PieddepageCar">
    <w:name w:val="Pied de page Car"/>
    <w:link w:val="Pieddepage"/>
    <w:rsid w:val="00EB571F"/>
    <w:rPr>
      <w:rFonts w:ascii="Geneva" w:hAnsi="Geneva"/>
      <w:sz w:val="24"/>
      <w:lang w:val="it-IT"/>
    </w:rPr>
  </w:style>
  <w:style w:type="character" w:styleId="Numrodepage">
    <w:name w:val="page number"/>
    <w:basedOn w:val="Policepardfaut"/>
    <w:rsid w:val="00EB571F"/>
  </w:style>
  <w:style w:type="table" w:styleId="Grilledutableau">
    <w:name w:val="Table Grid"/>
    <w:basedOn w:val="TableauNormal"/>
    <w:uiPriority w:val="39"/>
    <w:rsid w:val="0088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321950"/>
    <w:rPr>
      <w:rFonts w:ascii="Lucida Grande" w:hAnsi="Lucida Grande"/>
      <w:sz w:val="18"/>
      <w:szCs w:val="18"/>
    </w:rPr>
  </w:style>
  <w:style w:type="character" w:customStyle="1" w:styleId="TextedebullesCar">
    <w:name w:val="Texte de bulles Car"/>
    <w:basedOn w:val="Policepardfaut"/>
    <w:link w:val="Textedebulles"/>
    <w:rsid w:val="00321950"/>
    <w:rPr>
      <w:rFonts w:ascii="Lucida Grande" w:hAnsi="Lucida Grande"/>
      <w:sz w:val="18"/>
      <w:szCs w:val="18"/>
      <w:lang w:val="it-IT"/>
    </w:rPr>
  </w:style>
  <w:style w:type="paragraph" w:styleId="Paragraphedeliste">
    <w:name w:val="List Paragraph"/>
    <w:basedOn w:val="Normal"/>
    <w:uiPriority w:val="34"/>
    <w:qFormat/>
    <w:rsid w:val="00C4534B"/>
    <w:pPr>
      <w:ind w:left="720"/>
      <w:contextualSpacing/>
    </w:pPr>
  </w:style>
  <w:style w:type="paragraph" w:styleId="NormalWeb">
    <w:name w:val="Normal (Web)"/>
    <w:basedOn w:val="Normal"/>
    <w:uiPriority w:val="99"/>
    <w:unhideWhenUsed/>
    <w:rsid w:val="00D07BBD"/>
    <w:pPr>
      <w:spacing w:before="100" w:beforeAutospacing="1" w:after="100" w:afterAutospacing="1"/>
    </w:pPr>
    <w:rPr>
      <w:rFonts w:ascii="Times" w:hAnsi="Times"/>
      <w:sz w:val="20"/>
      <w:szCs w:val="20"/>
      <w:lang w:val="fr-FR"/>
    </w:rPr>
  </w:style>
  <w:style w:type="character" w:customStyle="1" w:styleId="Titre1Car">
    <w:name w:val="Titre 1 Car"/>
    <w:basedOn w:val="Policepardfaut"/>
    <w:link w:val="Titre1"/>
    <w:rsid w:val="00A619A0"/>
    <w:rPr>
      <w:rFonts w:asciiTheme="majorHAnsi" w:eastAsiaTheme="majorEastAsia" w:hAnsiTheme="majorHAnsi" w:cstheme="majorBidi"/>
      <w:b/>
      <w:bCs/>
      <w:color w:val="345A8A" w:themeColor="accent1" w:themeShade="B5"/>
      <w:sz w:val="32"/>
      <w:szCs w:val="32"/>
      <w:lang w:val="it-IT"/>
    </w:rPr>
  </w:style>
  <w:style w:type="character" w:styleId="Marquedecommentaire">
    <w:name w:val="annotation reference"/>
    <w:basedOn w:val="Policepardfaut"/>
    <w:uiPriority w:val="99"/>
    <w:rsid w:val="00EC55DE"/>
    <w:rPr>
      <w:sz w:val="18"/>
      <w:szCs w:val="18"/>
    </w:rPr>
  </w:style>
  <w:style w:type="paragraph" w:styleId="Commentaire">
    <w:name w:val="annotation text"/>
    <w:basedOn w:val="Normal"/>
    <w:link w:val="CommentaireCar"/>
    <w:uiPriority w:val="99"/>
    <w:rsid w:val="00EC55DE"/>
  </w:style>
  <w:style w:type="character" w:customStyle="1" w:styleId="CommentaireCar">
    <w:name w:val="Commentaire Car"/>
    <w:basedOn w:val="Policepardfaut"/>
    <w:link w:val="Commentaire"/>
    <w:uiPriority w:val="99"/>
    <w:rsid w:val="00EC55DE"/>
    <w:rPr>
      <w:rFonts w:ascii="Geneva" w:hAnsi="Geneva"/>
      <w:lang w:val="it-IT"/>
    </w:rPr>
  </w:style>
  <w:style w:type="paragraph" w:styleId="Objetducommentaire">
    <w:name w:val="annotation subject"/>
    <w:basedOn w:val="Commentaire"/>
    <w:next w:val="Commentaire"/>
    <w:link w:val="ObjetducommentaireCar"/>
    <w:rsid w:val="00EC55DE"/>
    <w:rPr>
      <w:b/>
      <w:bCs/>
      <w:sz w:val="20"/>
      <w:szCs w:val="20"/>
    </w:rPr>
  </w:style>
  <w:style w:type="character" w:customStyle="1" w:styleId="ObjetducommentaireCar">
    <w:name w:val="Objet du commentaire Car"/>
    <w:basedOn w:val="CommentaireCar"/>
    <w:link w:val="Objetducommentaire"/>
    <w:rsid w:val="00EC55DE"/>
    <w:rPr>
      <w:rFonts w:ascii="Geneva" w:hAnsi="Geneva"/>
      <w:b/>
      <w:bCs/>
      <w:sz w:val="20"/>
      <w:szCs w:val="20"/>
      <w:lang w:val="it-IT"/>
    </w:rPr>
  </w:style>
  <w:style w:type="paragraph" w:styleId="Notedebasdepage">
    <w:name w:val="footnote text"/>
    <w:basedOn w:val="Normal"/>
    <w:link w:val="NotedebasdepageCar"/>
    <w:uiPriority w:val="99"/>
    <w:semiHidden/>
    <w:unhideWhenUsed/>
    <w:rsid w:val="009429CD"/>
    <w:rPr>
      <w:sz w:val="20"/>
      <w:szCs w:val="20"/>
    </w:rPr>
  </w:style>
  <w:style w:type="character" w:customStyle="1" w:styleId="NotedebasdepageCar">
    <w:name w:val="Note de bas de page Car"/>
    <w:basedOn w:val="Policepardfaut"/>
    <w:link w:val="Notedebasdepage"/>
    <w:uiPriority w:val="99"/>
    <w:semiHidden/>
    <w:rsid w:val="009429CD"/>
    <w:rPr>
      <w:rFonts w:ascii="Geneva" w:hAnsi="Geneva"/>
      <w:sz w:val="20"/>
      <w:szCs w:val="20"/>
      <w:lang w:val="it-IT"/>
    </w:rPr>
  </w:style>
  <w:style w:type="character" w:styleId="Appelnotedebasdep">
    <w:name w:val="footnote reference"/>
    <w:basedOn w:val="Policepardfaut"/>
    <w:uiPriority w:val="99"/>
    <w:semiHidden/>
    <w:unhideWhenUsed/>
    <w:rsid w:val="009429CD"/>
    <w:rPr>
      <w:vertAlign w:val="superscript"/>
    </w:rPr>
  </w:style>
  <w:style w:type="character" w:customStyle="1" w:styleId="Titre2Car">
    <w:name w:val="Titre 2 Car"/>
    <w:basedOn w:val="Policepardfaut"/>
    <w:link w:val="Titre2"/>
    <w:rsid w:val="00A40692"/>
    <w:rPr>
      <w:rFonts w:asciiTheme="majorHAnsi" w:eastAsiaTheme="majorEastAsia" w:hAnsiTheme="majorHAnsi" w:cstheme="majorBidi"/>
      <w:color w:val="365F91" w:themeColor="accent1" w:themeShade="BF"/>
      <w:sz w:val="26"/>
      <w:szCs w:val="26"/>
      <w:lang w:val="it-IT"/>
    </w:rPr>
  </w:style>
  <w:style w:type="character" w:customStyle="1" w:styleId="nodedate">
    <w:name w:val="node_date"/>
    <w:basedOn w:val="Policepardfaut"/>
    <w:rsid w:val="00A40692"/>
  </w:style>
  <w:style w:type="character" w:customStyle="1" w:styleId="apple-converted-space">
    <w:name w:val="apple-converted-space"/>
    <w:basedOn w:val="Policepardfaut"/>
    <w:rsid w:val="00A40692"/>
  </w:style>
  <w:style w:type="character" w:customStyle="1" w:styleId="articlesource">
    <w:name w:val="article_source"/>
    <w:basedOn w:val="Policepardfaut"/>
    <w:rsid w:val="00A4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149">
      <w:bodyDiv w:val="1"/>
      <w:marLeft w:val="0"/>
      <w:marRight w:val="0"/>
      <w:marTop w:val="0"/>
      <w:marBottom w:val="0"/>
      <w:divBdr>
        <w:top w:val="none" w:sz="0" w:space="0" w:color="auto"/>
        <w:left w:val="none" w:sz="0" w:space="0" w:color="auto"/>
        <w:bottom w:val="none" w:sz="0" w:space="0" w:color="auto"/>
        <w:right w:val="none" w:sz="0" w:space="0" w:color="auto"/>
      </w:divBdr>
    </w:div>
    <w:div w:id="90516191">
      <w:bodyDiv w:val="1"/>
      <w:marLeft w:val="0"/>
      <w:marRight w:val="0"/>
      <w:marTop w:val="0"/>
      <w:marBottom w:val="0"/>
      <w:divBdr>
        <w:top w:val="none" w:sz="0" w:space="0" w:color="auto"/>
        <w:left w:val="none" w:sz="0" w:space="0" w:color="auto"/>
        <w:bottom w:val="none" w:sz="0" w:space="0" w:color="auto"/>
        <w:right w:val="none" w:sz="0" w:space="0" w:color="auto"/>
      </w:divBdr>
      <w:divsChild>
        <w:div w:id="336687704">
          <w:marLeft w:val="547"/>
          <w:marRight w:val="0"/>
          <w:marTop w:val="0"/>
          <w:marBottom w:val="0"/>
          <w:divBdr>
            <w:top w:val="none" w:sz="0" w:space="0" w:color="auto"/>
            <w:left w:val="none" w:sz="0" w:space="0" w:color="auto"/>
            <w:bottom w:val="none" w:sz="0" w:space="0" w:color="auto"/>
            <w:right w:val="none" w:sz="0" w:space="0" w:color="auto"/>
          </w:divBdr>
        </w:div>
        <w:div w:id="1806462860">
          <w:marLeft w:val="547"/>
          <w:marRight w:val="0"/>
          <w:marTop w:val="0"/>
          <w:marBottom w:val="0"/>
          <w:divBdr>
            <w:top w:val="none" w:sz="0" w:space="0" w:color="auto"/>
            <w:left w:val="none" w:sz="0" w:space="0" w:color="auto"/>
            <w:bottom w:val="none" w:sz="0" w:space="0" w:color="auto"/>
            <w:right w:val="none" w:sz="0" w:space="0" w:color="auto"/>
          </w:divBdr>
        </w:div>
      </w:divsChild>
    </w:div>
    <w:div w:id="110756569">
      <w:bodyDiv w:val="1"/>
      <w:marLeft w:val="0"/>
      <w:marRight w:val="0"/>
      <w:marTop w:val="0"/>
      <w:marBottom w:val="0"/>
      <w:divBdr>
        <w:top w:val="none" w:sz="0" w:space="0" w:color="auto"/>
        <w:left w:val="none" w:sz="0" w:space="0" w:color="auto"/>
        <w:bottom w:val="none" w:sz="0" w:space="0" w:color="auto"/>
        <w:right w:val="none" w:sz="0" w:space="0" w:color="auto"/>
      </w:divBdr>
      <w:divsChild>
        <w:div w:id="62727668">
          <w:marLeft w:val="0"/>
          <w:marRight w:val="0"/>
          <w:marTop w:val="225"/>
          <w:marBottom w:val="225"/>
          <w:divBdr>
            <w:top w:val="none" w:sz="0" w:space="0" w:color="auto"/>
            <w:left w:val="none" w:sz="0" w:space="0" w:color="auto"/>
            <w:bottom w:val="none" w:sz="0" w:space="0" w:color="auto"/>
            <w:right w:val="none" w:sz="0" w:space="0" w:color="auto"/>
          </w:divBdr>
        </w:div>
        <w:div w:id="781606135">
          <w:marLeft w:val="-150"/>
          <w:marRight w:val="-150"/>
          <w:marTop w:val="0"/>
          <w:marBottom w:val="0"/>
          <w:divBdr>
            <w:top w:val="none" w:sz="0" w:space="0" w:color="auto"/>
            <w:left w:val="none" w:sz="0" w:space="0" w:color="auto"/>
            <w:bottom w:val="none" w:sz="0" w:space="0" w:color="auto"/>
            <w:right w:val="none" w:sz="0" w:space="0" w:color="auto"/>
          </w:divBdr>
          <w:divsChild>
            <w:div w:id="2014454010">
              <w:marLeft w:val="0"/>
              <w:marRight w:val="0"/>
              <w:marTop w:val="0"/>
              <w:marBottom w:val="0"/>
              <w:divBdr>
                <w:top w:val="none" w:sz="0" w:space="0" w:color="auto"/>
                <w:left w:val="none" w:sz="0" w:space="0" w:color="auto"/>
                <w:bottom w:val="none" w:sz="0" w:space="0" w:color="auto"/>
                <w:right w:val="none" w:sz="0" w:space="0" w:color="auto"/>
              </w:divBdr>
              <w:divsChild>
                <w:div w:id="917979294">
                  <w:marLeft w:val="0"/>
                  <w:marRight w:val="0"/>
                  <w:marTop w:val="0"/>
                  <w:marBottom w:val="0"/>
                  <w:divBdr>
                    <w:top w:val="none" w:sz="0" w:space="0" w:color="auto"/>
                    <w:left w:val="none" w:sz="0" w:space="0" w:color="auto"/>
                    <w:bottom w:val="none" w:sz="0" w:space="0" w:color="auto"/>
                    <w:right w:val="none" w:sz="0" w:space="0" w:color="auto"/>
                  </w:divBdr>
                  <w:divsChild>
                    <w:div w:id="729810792">
                      <w:marLeft w:val="0"/>
                      <w:marRight w:val="0"/>
                      <w:marTop w:val="0"/>
                      <w:marBottom w:val="600"/>
                      <w:divBdr>
                        <w:top w:val="none" w:sz="0" w:space="0" w:color="auto"/>
                        <w:left w:val="none" w:sz="0" w:space="0" w:color="auto"/>
                        <w:bottom w:val="none" w:sz="0" w:space="0" w:color="auto"/>
                        <w:right w:val="none" w:sz="0" w:space="0" w:color="auto"/>
                      </w:divBdr>
                      <w:divsChild>
                        <w:div w:id="4085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09387">
      <w:bodyDiv w:val="1"/>
      <w:marLeft w:val="0"/>
      <w:marRight w:val="0"/>
      <w:marTop w:val="0"/>
      <w:marBottom w:val="0"/>
      <w:divBdr>
        <w:top w:val="none" w:sz="0" w:space="0" w:color="auto"/>
        <w:left w:val="none" w:sz="0" w:space="0" w:color="auto"/>
        <w:bottom w:val="none" w:sz="0" w:space="0" w:color="auto"/>
        <w:right w:val="none" w:sz="0" w:space="0" w:color="auto"/>
      </w:divBdr>
      <w:divsChild>
        <w:div w:id="1959876931">
          <w:marLeft w:val="0"/>
          <w:marRight w:val="0"/>
          <w:marTop w:val="0"/>
          <w:marBottom w:val="0"/>
          <w:divBdr>
            <w:top w:val="none" w:sz="0" w:space="0" w:color="auto"/>
            <w:left w:val="none" w:sz="0" w:space="0" w:color="auto"/>
            <w:bottom w:val="none" w:sz="0" w:space="0" w:color="auto"/>
            <w:right w:val="none" w:sz="0" w:space="0" w:color="auto"/>
          </w:divBdr>
          <w:divsChild>
            <w:div w:id="171996154">
              <w:marLeft w:val="0"/>
              <w:marRight w:val="0"/>
              <w:marTop w:val="0"/>
              <w:marBottom w:val="0"/>
              <w:divBdr>
                <w:top w:val="none" w:sz="0" w:space="0" w:color="auto"/>
                <w:left w:val="none" w:sz="0" w:space="0" w:color="auto"/>
                <w:bottom w:val="none" w:sz="0" w:space="0" w:color="auto"/>
                <w:right w:val="none" w:sz="0" w:space="0" w:color="auto"/>
              </w:divBdr>
              <w:divsChild>
                <w:div w:id="6770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91239">
      <w:bodyDiv w:val="1"/>
      <w:marLeft w:val="0"/>
      <w:marRight w:val="0"/>
      <w:marTop w:val="0"/>
      <w:marBottom w:val="0"/>
      <w:divBdr>
        <w:top w:val="none" w:sz="0" w:space="0" w:color="auto"/>
        <w:left w:val="none" w:sz="0" w:space="0" w:color="auto"/>
        <w:bottom w:val="none" w:sz="0" w:space="0" w:color="auto"/>
        <w:right w:val="none" w:sz="0" w:space="0" w:color="auto"/>
      </w:divBdr>
    </w:div>
    <w:div w:id="336419664">
      <w:bodyDiv w:val="1"/>
      <w:marLeft w:val="0"/>
      <w:marRight w:val="0"/>
      <w:marTop w:val="0"/>
      <w:marBottom w:val="0"/>
      <w:divBdr>
        <w:top w:val="none" w:sz="0" w:space="0" w:color="auto"/>
        <w:left w:val="none" w:sz="0" w:space="0" w:color="auto"/>
        <w:bottom w:val="none" w:sz="0" w:space="0" w:color="auto"/>
        <w:right w:val="none" w:sz="0" w:space="0" w:color="auto"/>
      </w:divBdr>
      <w:divsChild>
        <w:div w:id="441533342">
          <w:marLeft w:val="0"/>
          <w:marRight w:val="0"/>
          <w:marTop w:val="0"/>
          <w:marBottom w:val="0"/>
          <w:divBdr>
            <w:top w:val="none" w:sz="0" w:space="0" w:color="auto"/>
            <w:left w:val="none" w:sz="0" w:space="0" w:color="auto"/>
            <w:bottom w:val="none" w:sz="0" w:space="0" w:color="auto"/>
            <w:right w:val="none" w:sz="0" w:space="0" w:color="auto"/>
          </w:divBdr>
          <w:divsChild>
            <w:div w:id="1351908218">
              <w:marLeft w:val="0"/>
              <w:marRight w:val="0"/>
              <w:marTop w:val="0"/>
              <w:marBottom w:val="0"/>
              <w:divBdr>
                <w:top w:val="none" w:sz="0" w:space="0" w:color="auto"/>
                <w:left w:val="none" w:sz="0" w:space="0" w:color="auto"/>
                <w:bottom w:val="none" w:sz="0" w:space="0" w:color="auto"/>
                <w:right w:val="none" w:sz="0" w:space="0" w:color="auto"/>
              </w:divBdr>
              <w:divsChild>
                <w:div w:id="10879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2362">
      <w:bodyDiv w:val="1"/>
      <w:marLeft w:val="0"/>
      <w:marRight w:val="0"/>
      <w:marTop w:val="0"/>
      <w:marBottom w:val="0"/>
      <w:divBdr>
        <w:top w:val="none" w:sz="0" w:space="0" w:color="auto"/>
        <w:left w:val="none" w:sz="0" w:space="0" w:color="auto"/>
        <w:bottom w:val="none" w:sz="0" w:space="0" w:color="auto"/>
        <w:right w:val="none" w:sz="0" w:space="0" w:color="auto"/>
      </w:divBdr>
    </w:div>
    <w:div w:id="942416766">
      <w:bodyDiv w:val="1"/>
      <w:marLeft w:val="0"/>
      <w:marRight w:val="0"/>
      <w:marTop w:val="0"/>
      <w:marBottom w:val="0"/>
      <w:divBdr>
        <w:top w:val="none" w:sz="0" w:space="0" w:color="auto"/>
        <w:left w:val="none" w:sz="0" w:space="0" w:color="auto"/>
        <w:bottom w:val="none" w:sz="0" w:space="0" w:color="auto"/>
        <w:right w:val="none" w:sz="0" w:space="0" w:color="auto"/>
      </w:divBdr>
    </w:div>
    <w:div w:id="1013804925">
      <w:bodyDiv w:val="1"/>
      <w:marLeft w:val="0"/>
      <w:marRight w:val="0"/>
      <w:marTop w:val="0"/>
      <w:marBottom w:val="0"/>
      <w:divBdr>
        <w:top w:val="none" w:sz="0" w:space="0" w:color="auto"/>
        <w:left w:val="none" w:sz="0" w:space="0" w:color="auto"/>
        <w:bottom w:val="none" w:sz="0" w:space="0" w:color="auto"/>
        <w:right w:val="none" w:sz="0" w:space="0" w:color="auto"/>
      </w:divBdr>
      <w:divsChild>
        <w:div w:id="1266616686">
          <w:marLeft w:val="0"/>
          <w:marRight w:val="0"/>
          <w:marTop w:val="0"/>
          <w:marBottom w:val="0"/>
          <w:divBdr>
            <w:top w:val="none" w:sz="0" w:space="0" w:color="auto"/>
            <w:left w:val="none" w:sz="0" w:space="0" w:color="auto"/>
            <w:bottom w:val="none" w:sz="0" w:space="0" w:color="auto"/>
            <w:right w:val="none" w:sz="0" w:space="0" w:color="auto"/>
          </w:divBdr>
          <w:divsChild>
            <w:div w:id="38668107">
              <w:marLeft w:val="0"/>
              <w:marRight w:val="0"/>
              <w:marTop w:val="0"/>
              <w:marBottom w:val="0"/>
              <w:divBdr>
                <w:top w:val="none" w:sz="0" w:space="0" w:color="auto"/>
                <w:left w:val="none" w:sz="0" w:space="0" w:color="auto"/>
                <w:bottom w:val="none" w:sz="0" w:space="0" w:color="auto"/>
                <w:right w:val="none" w:sz="0" w:space="0" w:color="auto"/>
              </w:divBdr>
              <w:divsChild>
                <w:div w:id="20684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9538">
      <w:bodyDiv w:val="1"/>
      <w:marLeft w:val="0"/>
      <w:marRight w:val="0"/>
      <w:marTop w:val="0"/>
      <w:marBottom w:val="0"/>
      <w:divBdr>
        <w:top w:val="none" w:sz="0" w:space="0" w:color="auto"/>
        <w:left w:val="none" w:sz="0" w:space="0" w:color="auto"/>
        <w:bottom w:val="none" w:sz="0" w:space="0" w:color="auto"/>
        <w:right w:val="none" w:sz="0" w:space="0" w:color="auto"/>
      </w:divBdr>
    </w:div>
    <w:div w:id="1301498049">
      <w:bodyDiv w:val="1"/>
      <w:marLeft w:val="0"/>
      <w:marRight w:val="0"/>
      <w:marTop w:val="0"/>
      <w:marBottom w:val="0"/>
      <w:divBdr>
        <w:top w:val="none" w:sz="0" w:space="0" w:color="auto"/>
        <w:left w:val="none" w:sz="0" w:space="0" w:color="auto"/>
        <w:bottom w:val="none" w:sz="0" w:space="0" w:color="auto"/>
        <w:right w:val="none" w:sz="0" w:space="0" w:color="auto"/>
      </w:divBdr>
      <w:divsChild>
        <w:div w:id="1830095513">
          <w:marLeft w:val="547"/>
          <w:marRight w:val="0"/>
          <w:marTop w:val="0"/>
          <w:marBottom w:val="0"/>
          <w:divBdr>
            <w:top w:val="none" w:sz="0" w:space="0" w:color="auto"/>
            <w:left w:val="none" w:sz="0" w:space="0" w:color="auto"/>
            <w:bottom w:val="none" w:sz="0" w:space="0" w:color="auto"/>
            <w:right w:val="none" w:sz="0" w:space="0" w:color="auto"/>
          </w:divBdr>
        </w:div>
        <w:div w:id="248119535">
          <w:marLeft w:val="547"/>
          <w:marRight w:val="0"/>
          <w:marTop w:val="0"/>
          <w:marBottom w:val="0"/>
          <w:divBdr>
            <w:top w:val="none" w:sz="0" w:space="0" w:color="auto"/>
            <w:left w:val="none" w:sz="0" w:space="0" w:color="auto"/>
            <w:bottom w:val="none" w:sz="0" w:space="0" w:color="auto"/>
            <w:right w:val="none" w:sz="0" w:space="0" w:color="auto"/>
          </w:divBdr>
        </w:div>
      </w:divsChild>
    </w:div>
    <w:div w:id="1483160808">
      <w:bodyDiv w:val="1"/>
      <w:marLeft w:val="0"/>
      <w:marRight w:val="0"/>
      <w:marTop w:val="0"/>
      <w:marBottom w:val="0"/>
      <w:divBdr>
        <w:top w:val="none" w:sz="0" w:space="0" w:color="auto"/>
        <w:left w:val="none" w:sz="0" w:space="0" w:color="auto"/>
        <w:bottom w:val="none" w:sz="0" w:space="0" w:color="auto"/>
        <w:right w:val="none" w:sz="0" w:space="0" w:color="auto"/>
      </w:divBdr>
    </w:div>
    <w:div w:id="1525512628">
      <w:bodyDiv w:val="1"/>
      <w:marLeft w:val="0"/>
      <w:marRight w:val="0"/>
      <w:marTop w:val="0"/>
      <w:marBottom w:val="0"/>
      <w:divBdr>
        <w:top w:val="none" w:sz="0" w:space="0" w:color="auto"/>
        <w:left w:val="none" w:sz="0" w:space="0" w:color="auto"/>
        <w:bottom w:val="none" w:sz="0" w:space="0" w:color="auto"/>
        <w:right w:val="none" w:sz="0" w:space="0" w:color="auto"/>
      </w:divBdr>
    </w:div>
    <w:div w:id="1937665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ubourse.com/lexique/souscription.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bourse.com/lexique/action.ph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bourse.com/lexique/acquisition.php"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edubourse.com/lexique/bon-de-souscription.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bourse.com/lexique/obligation.php"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20</Pages>
  <Words>7429</Words>
  <Characters>40861</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ANNEXE 2 : NOTE SUR LES EMPRUNTS OBLIGATAIRES</vt:lpstr>
    </vt:vector>
  </TitlesOfParts>
  <Company/>
  <LinksUpToDate>false</LinksUpToDate>
  <CharactersWithSpaces>48194</CharactersWithSpaces>
  <SharedDoc>false</SharedDoc>
  <HLinks>
    <vt:vector size="30" baseType="variant">
      <vt:variant>
        <vt:i4>1835121</vt:i4>
      </vt:variant>
      <vt:variant>
        <vt:i4>12</vt:i4>
      </vt:variant>
      <vt:variant>
        <vt:i4>0</vt:i4>
      </vt:variant>
      <vt:variant>
        <vt:i4>5</vt:i4>
      </vt:variant>
      <vt:variant>
        <vt:lpwstr>http://www.edubourse.com/lexique/souscription.php</vt:lpwstr>
      </vt:variant>
      <vt:variant>
        <vt:lpwstr/>
      </vt:variant>
      <vt:variant>
        <vt:i4>7405580</vt:i4>
      </vt:variant>
      <vt:variant>
        <vt:i4>9</vt:i4>
      </vt:variant>
      <vt:variant>
        <vt:i4>0</vt:i4>
      </vt:variant>
      <vt:variant>
        <vt:i4>5</vt:i4>
      </vt:variant>
      <vt:variant>
        <vt:lpwstr>http://www.edubourse.com/lexique/action.php</vt:lpwstr>
      </vt:variant>
      <vt:variant>
        <vt:lpwstr/>
      </vt:variant>
      <vt:variant>
        <vt:i4>5898320</vt:i4>
      </vt:variant>
      <vt:variant>
        <vt:i4>6</vt:i4>
      </vt:variant>
      <vt:variant>
        <vt:i4>0</vt:i4>
      </vt:variant>
      <vt:variant>
        <vt:i4>5</vt:i4>
      </vt:variant>
      <vt:variant>
        <vt:lpwstr>http://www.edubourse.com/lexique/acquisition.php</vt:lpwstr>
      </vt:variant>
      <vt:variant>
        <vt:lpwstr/>
      </vt:variant>
      <vt:variant>
        <vt:i4>1114142</vt:i4>
      </vt:variant>
      <vt:variant>
        <vt:i4>3</vt:i4>
      </vt:variant>
      <vt:variant>
        <vt:i4>0</vt:i4>
      </vt:variant>
      <vt:variant>
        <vt:i4>5</vt:i4>
      </vt:variant>
      <vt:variant>
        <vt:lpwstr>http://www.edubourse.com/lexique/bon-de-souscription.php</vt:lpwstr>
      </vt:variant>
      <vt:variant>
        <vt:lpwstr/>
      </vt:variant>
      <vt:variant>
        <vt:i4>7602181</vt:i4>
      </vt:variant>
      <vt:variant>
        <vt:i4>0</vt:i4>
      </vt:variant>
      <vt:variant>
        <vt:i4>0</vt:i4>
      </vt:variant>
      <vt:variant>
        <vt:i4>5</vt:i4>
      </vt:variant>
      <vt:variant>
        <vt:lpwstr>http://www.edubourse.com/lexique/obligation.php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 : NOTE SUR LES EMPRUNTS OBLIGATAIRES</dc:title>
  <dc:subject/>
  <dc:creator>turq/françois</dc:creator>
  <cp:keywords/>
  <dc:description/>
  <cp:lastModifiedBy>françois turq</cp:lastModifiedBy>
  <cp:revision>13</cp:revision>
  <cp:lastPrinted>2011-11-29T10:00:00Z</cp:lastPrinted>
  <dcterms:created xsi:type="dcterms:W3CDTF">2023-10-21T13:11:00Z</dcterms:created>
  <dcterms:modified xsi:type="dcterms:W3CDTF">2023-10-24T10:37:00Z</dcterms:modified>
</cp:coreProperties>
</file>