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F8" w:rsidRPr="000C25AE" w:rsidRDefault="00A678F8" w:rsidP="00A678F8">
      <w:pPr>
        <w:pStyle w:val="Titre5"/>
        <w:spacing w:before="0"/>
        <w:jc w:val="both"/>
        <w:rPr>
          <w:rFonts w:ascii="Garamond" w:hAnsi="Garamond" w:cs="Times New Roman"/>
          <w:color w:val="auto"/>
          <w:szCs w:val="24"/>
          <w:lang w:val="fr-FR"/>
        </w:rPr>
      </w:pPr>
      <w:bookmarkStart w:id="0" w:name="_Toc152863576"/>
      <w:r>
        <w:rPr>
          <w:rFonts w:ascii="Garamond" w:hAnsi="Garamond" w:cs="Times New Roman"/>
          <w:color w:val="auto"/>
          <w:szCs w:val="24"/>
          <w:lang w:val="fr-FR"/>
        </w:rPr>
        <w:t>C</w:t>
      </w:r>
      <w:r w:rsidRPr="000C25AE">
        <w:rPr>
          <w:rFonts w:ascii="Garamond" w:hAnsi="Garamond" w:cs="Times New Roman"/>
          <w:color w:val="auto"/>
          <w:szCs w:val="24"/>
          <w:lang w:val="fr-FR"/>
        </w:rPr>
        <w:t>. La mission d’assistance de la Cour des comptes</w:t>
      </w:r>
      <w:bookmarkEnd w:id="0"/>
    </w:p>
    <w:p w:rsidR="00A678F8" w:rsidRPr="000C25AE" w:rsidRDefault="00A678F8" w:rsidP="00A678F8">
      <w:pPr>
        <w:pStyle w:val="Titre6"/>
        <w:spacing w:before="0"/>
        <w:rPr>
          <w:rFonts w:ascii="Garamond" w:hAnsi="Garamond" w:cs="Times New Roman"/>
          <w:color w:val="auto"/>
          <w:sz w:val="24"/>
          <w:szCs w:val="24"/>
        </w:rPr>
      </w:pPr>
      <w:bookmarkStart w:id="1" w:name="_Toc152863577"/>
      <w:r w:rsidRPr="000C25AE">
        <w:rPr>
          <w:rFonts w:ascii="Garamond" w:hAnsi="Garamond" w:cs="Times New Roman"/>
          <w:color w:val="auto"/>
          <w:sz w:val="24"/>
          <w:szCs w:val="24"/>
        </w:rPr>
        <w:t>1. Les missions</w:t>
      </w:r>
      <w:bookmarkEnd w:id="1"/>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Cette nouvelle mission assignée à la Cour des comptes est issue de la révision constitutionnelle du 23 juillet </w:t>
      </w:r>
      <w:r w:rsidRPr="000C25AE">
        <w:rPr>
          <w:rFonts w:ascii="Garamond" w:hAnsi="Garamond" w:cs="Times New Roman"/>
          <w:b/>
          <w:bCs/>
          <w:szCs w:val="24"/>
          <w:shd w:val="clear" w:color="auto" w:fill="FFFFFF"/>
        </w:rPr>
        <w:t>2008</w:t>
      </w:r>
      <w:r w:rsidRPr="000C25AE">
        <w:rPr>
          <w:rFonts w:ascii="Garamond" w:hAnsi="Garamond" w:cs="Times New Roman"/>
          <w:szCs w:val="24"/>
          <w:shd w:val="clear" w:color="auto" w:fill="FFFFFF"/>
        </w:rPr>
        <w:t xml:space="preserve"> qui, comme pour les commissions d’enquête, a eu pour objectif une </w:t>
      </w:r>
      <w:r w:rsidRPr="000C25AE">
        <w:rPr>
          <w:rFonts w:ascii="Garamond" w:hAnsi="Garamond" w:cs="Times New Roman"/>
          <w:b/>
          <w:bCs/>
          <w:szCs w:val="24"/>
          <w:shd w:val="clear" w:color="auto" w:fill="FFFFFF"/>
        </w:rPr>
        <w:t>revalorisation du rôle du Parlement</w:t>
      </w:r>
      <w:r w:rsidRPr="000C25AE">
        <w:rPr>
          <w:rFonts w:ascii="Garamond" w:hAnsi="Garamond" w:cs="Times New Roman"/>
          <w:szCs w:val="24"/>
          <w:shd w:val="clear" w:color="auto" w:fill="FFFFFF"/>
        </w:rPr>
        <w:t xml:space="preserve">. </w:t>
      </w:r>
      <w:r w:rsidRPr="000C25AE">
        <w:rPr>
          <w:rFonts w:ascii="Garamond" w:hAnsi="Garamond" w:cs="Times New Roman"/>
          <w:szCs w:val="24"/>
        </w:rPr>
        <w:t xml:space="preserve">La Cour a une </w:t>
      </w:r>
      <w:r w:rsidRPr="000C25AE">
        <w:rPr>
          <w:rFonts w:ascii="Garamond" w:hAnsi="Garamond" w:cs="Times New Roman"/>
          <w:b/>
          <w:bCs/>
          <w:szCs w:val="24"/>
        </w:rPr>
        <w:t>mission d’assistance ou d’information auprès du Parlement ou du Gouvernement dans la mise en œuvre et dans le contrôle des lois de finances et des lois de financement de la sécurité sociale</w:t>
      </w:r>
      <w:r w:rsidRPr="000C25AE">
        <w:rPr>
          <w:rFonts w:ascii="Garamond" w:hAnsi="Garamond" w:cs="Times New Roman"/>
          <w:szCs w:val="24"/>
        </w:rPr>
        <w:t>. Le 1</w:t>
      </w:r>
      <w:r w:rsidRPr="000C25AE">
        <w:rPr>
          <w:rFonts w:ascii="Garamond" w:hAnsi="Garamond" w:cs="Times New Roman"/>
          <w:szCs w:val="24"/>
          <w:vertAlign w:val="superscript"/>
        </w:rPr>
        <w:t>er</w:t>
      </w:r>
      <w:r w:rsidRPr="000C25AE">
        <w:rPr>
          <w:rFonts w:ascii="Garamond" w:hAnsi="Garamond" w:cs="Times New Roman"/>
          <w:szCs w:val="24"/>
        </w:rPr>
        <w:t xml:space="preserve"> alinéa de l’article 47-2 de la Constitution consacre cette mission d’assistance dans ces différents aspects.</w:t>
      </w:r>
    </w:p>
    <w:p w:rsidR="00A678F8" w:rsidRPr="000C25AE" w:rsidRDefault="00A678F8" w:rsidP="00A678F8">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Premièrement, </w:t>
      </w:r>
      <w:r w:rsidRPr="000C25AE">
        <w:rPr>
          <w:rFonts w:ascii="Garamond" w:hAnsi="Garamond" w:cs="Times New Roman"/>
          <w:i/>
          <w:iCs/>
          <w:szCs w:val="24"/>
        </w:rPr>
        <w:t>« la Cour des comptes assiste le Parlement dans le contrôle de l’action du Gouvernement »</w:t>
      </w:r>
      <w:r w:rsidRPr="000C25AE">
        <w:rPr>
          <w:rFonts w:ascii="Garamond" w:hAnsi="Garamond" w:cs="Times New Roman"/>
          <w:szCs w:val="24"/>
        </w:rPr>
        <w:t xml:space="preserve"> et, notamment, le contrôle de l’exécution des lois de finances. En effet, la même révision insère dans </w:t>
      </w:r>
      <w:r w:rsidRPr="000C25AE">
        <w:rPr>
          <w:rFonts w:ascii="Garamond" w:hAnsi="Garamond" w:cs="Times New Roman"/>
          <w:b/>
          <w:bCs/>
          <w:szCs w:val="24"/>
        </w:rPr>
        <w:t>l’article 24</w:t>
      </w:r>
      <w:r w:rsidRPr="000C25AE">
        <w:rPr>
          <w:rFonts w:ascii="Garamond" w:hAnsi="Garamond" w:cs="Times New Roman"/>
          <w:szCs w:val="24"/>
        </w:rPr>
        <w:t xml:space="preserve"> de la Constitution la mission du Parlement de contrôler et d’évaluer les politiques publiques ; aujourd’hui, </w:t>
      </w:r>
      <w:r w:rsidRPr="000C25AE">
        <w:rPr>
          <w:rFonts w:ascii="Garamond" w:hAnsi="Garamond" w:cs="Times New Roman"/>
          <w:b/>
          <w:bCs/>
          <w:szCs w:val="24"/>
        </w:rPr>
        <w:t>en effet, la fonction principale du Parlement n’est pas tant de voter la loi, écrite par l’exécutif, que de contrôler son action</w:t>
      </w:r>
      <w:r w:rsidRPr="000C25AE">
        <w:rPr>
          <w:rFonts w:ascii="Garamond" w:hAnsi="Garamond" w:cs="Times New Roman"/>
          <w:szCs w:val="24"/>
        </w:rPr>
        <w:t xml:space="preserve">. Aussi cette première phrase de l’article 47-2 répond-elle à l’article 24, en faisant de la Cour des comptes un soutien du Parlement dans cette mission d’évaluation et de contrôle, notamment dans sa dimension financière. La Cour doit ainsi </w:t>
      </w:r>
      <w:r w:rsidRPr="000C25AE">
        <w:rPr>
          <w:rFonts w:ascii="Garamond" w:hAnsi="Garamond" w:cs="Times New Roman"/>
          <w:szCs w:val="24"/>
          <w:shd w:val="clear" w:color="auto" w:fill="FFFFFF"/>
        </w:rPr>
        <w:t xml:space="preserve">une assistance toute particulière aux commissions des finances, puisque </w:t>
      </w:r>
      <w:r w:rsidRPr="000C25AE">
        <w:rPr>
          <w:rFonts w:ascii="Garamond" w:hAnsi="Garamond" w:cs="Times New Roman"/>
          <w:b/>
          <w:bCs/>
          <w:szCs w:val="24"/>
          <w:shd w:val="clear" w:color="auto" w:fill="FFFFFF"/>
        </w:rPr>
        <w:t>la Cour a l’obligation de répondre aux sollicitations des présidents et rapporteurs généraux de ces commissions</w:t>
      </w:r>
      <w:r w:rsidRPr="000C25AE">
        <w:rPr>
          <w:rFonts w:ascii="Garamond" w:hAnsi="Garamond" w:cs="Times New Roman"/>
          <w:szCs w:val="24"/>
          <w:shd w:val="clear" w:color="auto" w:fill="FFFFFF"/>
        </w:rPr>
        <w:t xml:space="preserve"> (article L.132-5 du Code des juridictions financières). Elle doit </w:t>
      </w:r>
      <w:r w:rsidRPr="000C25AE">
        <w:rPr>
          <w:rFonts w:ascii="Garamond" w:hAnsi="Garamond" w:cs="Times New Roman"/>
          <w:b/>
          <w:bCs/>
          <w:szCs w:val="24"/>
          <w:shd w:val="clear" w:color="auto" w:fill="FFFFFF"/>
        </w:rPr>
        <w:t>également réaliser des enquêtes demandées par les commissions des finances ou les présidents des assemblées</w:t>
      </w:r>
      <w:r w:rsidRPr="000C25AE">
        <w:rPr>
          <w:rFonts w:ascii="Garamond" w:hAnsi="Garamond" w:cs="Times New Roman"/>
          <w:szCs w:val="24"/>
          <w:shd w:val="clear" w:color="auto" w:fill="FFFFFF"/>
        </w:rPr>
        <w:t xml:space="preserve"> ; l’article L.132-6 du Code des juridictions financières précise que, </w:t>
      </w:r>
      <w:r w:rsidRPr="000C25AE">
        <w:rPr>
          <w:rFonts w:ascii="Garamond" w:hAnsi="Garamond" w:cs="Times New Roman"/>
          <w:i/>
          <w:iCs/>
          <w:szCs w:val="24"/>
          <w:shd w:val="clear" w:color="auto" w:fill="FFFFFF"/>
        </w:rPr>
        <w:t>« au</w:t>
      </w:r>
      <w:r w:rsidRPr="000C25AE">
        <w:rPr>
          <w:rFonts w:ascii="Garamond" w:hAnsi="Garamond" w:cs="Times New Roman"/>
          <w:i/>
          <w:iCs/>
          <w:szCs w:val="24"/>
        </w:rPr>
        <w:t xml:space="preserve"> titre de l’assistance au Parlement dans le domaine de l’évaluation des politiques publiques prévue par l’article 47-2 de la Constitution, la Cour des comptes peut être saisie d’une </w:t>
      </w:r>
      <w:r w:rsidRPr="000C25AE">
        <w:rPr>
          <w:rFonts w:ascii="Garamond" w:hAnsi="Garamond" w:cs="Times New Roman"/>
          <w:b/>
          <w:bCs/>
          <w:i/>
          <w:iCs/>
          <w:szCs w:val="24"/>
        </w:rPr>
        <w:t>demande d’évaluation d’une politique publique</w:t>
      </w:r>
      <w:r w:rsidRPr="000C25AE">
        <w:rPr>
          <w:rFonts w:ascii="Garamond" w:hAnsi="Garamond" w:cs="Times New Roman"/>
          <w:i/>
          <w:iCs/>
          <w:szCs w:val="24"/>
        </w:rPr>
        <w:t xml:space="preserve"> par le président de l’Assemblée nationale ou le président du Sénat, de leur propre initiative ou sur proposition d’une commission permanente dans son domaine de compétence ou de toute instance permanente créée au sein d’une des deux assemblées parlementaires pour procéder à </w:t>
      </w:r>
      <w:r w:rsidRPr="000C25AE">
        <w:rPr>
          <w:rFonts w:ascii="Garamond" w:hAnsi="Garamond" w:cs="Times New Roman"/>
          <w:b/>
          <w:bCs/>
          <w:i/>
          <w:iCs/>
          <w:szCs w:val="24"/>
        </w:rPr>
        <w:t>l’évaluation de politiques publiques dont le champ dépasse le domaine de compétence d’une seule commission permanente</w:t>
      </w:r>
      <w:r w:rsidRPr="000C25AE">
        <w:rPr>
          <w:rFonts w:ascii="Garamond" w:hAnsi="Garamond" w:cs="Times New Roman"/>
          <w:i/>
          <w:iCs/>
          <w:szCs w:val="24"/>
        </w:rPr>
        <w:t xml:space="preserve">. […] L’assistance de la Cour des comptes prend la forme d’un </w:t>
      </w:r>
      <w:r w:rsidRPr="000C25AE">
        <w:rPr>
          <w:rFonts w:ascii="Garamond" w:hAnsi="Garamond" w:cs="Times New Roman"/>
          <w:b/>
          <w:bCs/>
          <w:i/>
          <w:iCs/>
          <w:szCs w:val="24"/>
        </w:rPr>
        <w:t>rapport</w:t>
      </w:r>
      <w:r w:rsidRPr="000C25AE">
        <w:rPr>
          <w:rFonts w:ascii="Garamond" w:hAnsi="Garamond" w:cs="Times New Roman"/>
          <w:i/>
          <w:iCs/>
          <w:szCs w:val="24"/>
        </w:rPr>
        <w:t> »</w:t>
      </w:r>
      <w:r w:rsidRPr="000C25AE">
        <w:rPr>
          <w:rFonts w:ascii="Garamond" w:hAnsi="Garamond" w:cs="Times New Roman"/>
          <w:szCs w:val="24"/>
        </w:rPr>
        <w:t>.</w:t>
      </w:r>
    </w:p>
    <w:p w:rsidR="00A678F8" w:rsidRPr="000C25AE" w:rsidRDefault="00A678F8" w:rsidP="00A678F8">
      <w:pPr>
        <w:widowControl w:val="0"/>
        <w:shd w:val="clear" w:color="auto" w:fill="FFFFFF"/>
        <w:spacing w:line="240" w:lineRule="auto"/>
        <w:ind w:firstLine="709"/>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La Constitution fait ainsi écho, en 2008, au déploiement des pouvoirs de la Cour des comptes déjà effectué en 2001 par la LOLF, dont </w:t>
      </w:r>
      <w:r w:rsidRPr="000C25AE">
        <w:rPr>
          <w:rFonts w:ascii="Garamond" w:hAnsi="Garamond" w:cs="Times New Roman"/>
          <w:b/>
          <w:bCs/>
          <w:szCs w:val="24"/>
          <w:shd w:val="clear" w:color="auto" w:fill="FFFFFF"/>
        </w:rPr>
        <w:t xml:space="preserve">l’article 58 </w:t>
      </w:r>
      <w:r w:rsidRPr="000C25AE">
        <w:rPr>
          <w:rFonts w:ascii="Garamond" w:hAnsi="Garamond" w:cs="Times New Roman"/>
          <w:szCs w:val="24"/>
          <w:shd w:val="clear" w:color="auto" w:fill="FFFFFF"/>
        </w:rPr>
        <w:t xml:space="preserve">détaille le contenu de la mission d’assistance au Parlement qui incombe à la Cour. </w:t>
      </w:r>
      <w:r w:rsidRPr="000C25AE">
        <w:rPr>
          <w:rFonts w:ascii="Garamond" w:hAnsi="Garamond" w:cs="Times New Roman"/>
          <w:i/>
          <w:iCs/>
          <w:szCs w:val="24"/>
          <w:shd w:val="clear" w:color="auto" w:fill="FFFFFF"/>
        </w:rPr>
        <w:t>« La mission d’assistance du Parlement confiée à la Cour des comptes par le dernier alinéa de l’article 47 de la Constitution comporte notamment :</w:t>
      </w:r>
      <w:r w:rsidRPr="000C25AE">
        <w:rPr>
          <w:rStyle w:val="apple-converted-space"/>
          <w:rFonts w:ascii="Garamond" w:hAnsi="Garamond" w:cs="Times New Roman"/>
          <w:i/>
          <w:iCs/>
          <w:szCs w:val="24"/>
          <w:shd w:val="clear" w:color="auto" w:fill="FFFFFF"/>
        </w:rPr>
        <w:t xml:space="preserve"> </w:t>
      </w:r>
      <w:r w:rsidRPr="000C25AE">
        <w:rPr>
          <w:rFonts w:ascii="Garamond" w:hAnsi="Garamond" w:cs="Times New Roman"/>
          <w:i/>
          <w:iCs/>
          <w:szCs w:val="24"/>
          <w:shd w:val="clear" w:color="auto" w:fill="FFFFFF"/>
        </w:rPr>
        <w:t xml:space="preserve">1° </w:t>
      </w:r>
      <w:r w:rsidRPr="000C25AE">
        <w:rPr>
          <w:rFonts w:ascii="Garamond" w:hAnsi="Garamond" w:cs="Times New Roman"/>
          <w:b/>
          <w:bCs/>
          <w:i/>
          <w:iCs/>
          <w:szCs w:val="24"/>
          <w:shd w:val="clear" w:color="auto" w:fill="FFFFFF"/>
        </w:rPr>
        <w:t>L’obligation de répondre aux demandes d’assistance</w:t>
      </w:r>
      <w:r w:rsidRPr="000C25AE">
        <w:rPr>
          <w:rFonts w:ascii="Garamond" w:hAnsi="Garamond" w:cs="Times New Roman"/>
          <w:i/>
          <w:iCs/>
          <w:szCs w:val="24"/>
          <w:shd w:val="clear" w:color="auto" w:fill="FFFFFF"/>
        </w:rPr>
        <w:t xml:space="preserve"> formulées par le Président et le rapporteur général de la commission chargée des finances de chaque assemblée […] ; 2° </w:t>
      </w:r>
      <w:r w:rsidRPr="000C25AE">
        <w:rPr>
          <w:rFonts w:ascii="Garamond" w:hAnsi="Garamond" w:cs="Times New Roman"/>
          <w:b/>
          <w:bCs/>
          <w:i/>
          <w:iCs/>
          <w:szCs w:val="24"/>
          <w:shd w:val="clear" w:color="auto" w:fill="FFFFFF"/>
        </w:rPr>
        <w:t>La réalisation de toute enquête</w:t>
      </w:r>
      <w:r w:rsidRPr="000C25AE">
        <w:rPr>
          <w:rFonts w:ascii="Garamond" w:hAnsi="Garamond" w:cs="Times New Roman"/>
          <w:i/>
          <w:iCs/>
          <w:szCs w:val="24"/>
          <w:shd w:val="clear" w:color="auto" w:fill="FFFFFF"/>
        </w:rPr>
        <w:t xml:space="preserve"> demandée par les commissions de l’Assemblée nationale et du Sénat chargées des finances sur la gestion des services ou organismes qu’elle contrôle. Les conclusions de ces enquêtes sont obligatoirement communiquées dans un délai de </w:t>
      </w:r>
      <w:r w:rsidRPr="000C25AE">
        <w:rPr>
          <w:rFonts w:ascii="Garamond" w:hAnsi="Garamond" w:cs="Times New Roman"/>
          <w:b/>
          <w:bCs/>
          <w:i/>
          <w:iCs/>
          <w:szCs w:val="24"/>
          <w:shd w:val="clear" w:color="auto" w:fill="FFFFFF"/>
        </w:rPr>
        <w:t>huit mois</w:t>
      </w:r>
      <w:r w:rsidRPr="000C25AE">
        <w:rPr>
          <w:rFonts w:ascii="Garamond" w:hAnsi="Garamond" w:cs="Times New Roman"/>
          <w:i/>
          <w:iCs/>
          <w:szCs w:val="24"/>
          <w:shd w:val="clear" w:color="auto" w:fill="FFFFFF"/>
        </w:rPr>
        <w:t xml:space="preserve"> après la formulation de la demande à la commission dont elle émane, qui statue sur leur publication ; 3° Le dépôt d’un</w:t>
      </w:r>
      <w:r w:rsidRPr="000C25AE">
        <w:rPr>
          <w:rFonts w:ascii="Garamond" w:hAnsi="Garamond" w:cs="Times New Roman"/>
          <w:b/>
          <w:bCs/>
          <w:i/>
          <w:iCs/>
          <w:szCs w:val="24"/>
          <w:shd w:val="clear" w:color="auto" w:fill="FFFFFF"/>
        </w:rPr>
        <w:t xml:space="preserve"> rapport préliminaire conjoint au dépôt du rapport mentionné à l’article 48 relatif aux résultats de l’exécution de l’exercice antérieur</w:t>
      </w:r>
      <w:r w:rsidRPr="000C25AE">
        <w:rPr>
          <w:rFonts w:ascii="Garamond" w:hAnsi="Garamond" w:cs="Times New Roman"/>
          <w:i/>
          <w:iCs/>
          <w:szCs w:val="24"/>
          <w:shd w:val="clear" w:color="auto" w:fill="FFFFFF"/>
        </w:rPr>
        <w:t xml:space="preserve"> ; 4° Le dépôt d’un </w:t>
      </w:r>
      <w:r w:rsidRPr="000C25AE">
        <w:rPr>
          <w:rFonts w:ascii="Garamond" w:hAnsi="Garamond" w:cs="Times New Roman"/>
          <w:b/>
          <w:bCs/>
          <w:i/>
          <w:iCs/>
          <w:szCs w:val="24"/>
          <w:shd w:val="clear" w:color="auto" w:fill="FFFFFF"/>
        </w:rPr>
        <w:t>rapport conjoint au dépôt du projet de loi de règlement, relatif aux résultats de l’exécution de l’exercice antérieur et aux comptes associés</w:t>
      </w:r>
      <w:r w:rsidRPr="000C25AE">
        <w:rPr>
          <w:rFonts w:ascii="Garamond" w:hAnsi="Garamond" w:cs="Times New Roman"/>
          <w:i/>
          <w:iCs/>
          <w:szCs w:val="24"/>
          <w:shd w:val="clear" w:color="auto" w:fill="FFFFFF"/>
        </w:rPr>
        <w:t xml:space="preserve"> […] ; 5° La </w:t>
      </w:r>
      <w:r w:rsidRPr="000C25AE">
        <w:rPr>
          <w:rFonts w:ascii="Garamond" w:hAnsi="Garamond" w:cs="Times New Roman"/>
          <w:b/>
          <w:bCs/>
          <w:i/>
          <w:iCs/>
          <w:szCs w:val="24"/>
          <w:shd w:val="clear" w:color="auto" w:fill="FFFFFF"/>
        </w:rPr>
        <w:t>certification de la régularité, de la sincérité et de la fidélité des comptes de l’État</w:t>
      </w:r>
      <w:r w:rsidRPr="000C25AE">
        <w:rPr>
          <w:rFonts w:ascii="Garamond" w:hAnsi="Garamond" w:cs="Times New Roman"/>
          <w:i/>
          <w:iCs/>
          <w:szCs w:val="24"/>
          <w:shd w:val="clear" w:color="auto" w:fill="FFFFFF"/>
        </w:rPr>
        <w:t xml:space="preserve">. Cette certification est </w:t>
      </w:r>
      <w:r w:rsidRPr="000C25AE">
        <w:rPr>
          <w:rFonts w:ascii="Garamond" w:hAnsi="Garamond" w:cs="Times New Roman"/>
          <w:i/>
          <w:iCs/>
          <w:szCs w:val="24"/>
          <w:u w:val="single"/>
          <w:shd w:val="clear" w:color="auto" w:fill="FFFFFF"/>
        </w:rPr>
        <w:t>annexée au projet de loi de règlement et accompagnée du compte rendu des vérifications opérées</w:t>
      </w:r>
      <w:r w:rsidRPr="000C25AE">
        <w:rPr>
          <w:rFonts w:ascii="Garamond" w:hAnsi="Garamond" w:cs="Times New Roman"/>
          <w:i/>
          <w:iCs/>
          <w:szCs w:val="24"/>
          <w:shd w:val="clear" w:color="auto" w:fill="FFFFFF"/>
        </w:rPr>
        <w:t xml:space="preserve"> ; 6° Le dépôt d’un </w:t>
      </w:r>
      <w:r w:rsidRPr="000C25AE">
        <w:rPr>
          <w:rFonts w:ascii="Garamond" w:hAnsi="Garamond" w:cs="Times New Roman"/>
          <w:b/>
          <w:bCs/>
          <w:i/>
          <w:iCs/>
          <w:szCs w:val="24"/>
          <w:shd w:val="clear" w:color="auto" w:fill="FFFFFF"/>
        </w:rPr>
        <w:t>rapport conjoint au dépôt de tout projet de loi de finances sur les mouvements de crédits opérés par voie administrative dont la ratification est demandée dans ledit projet de loi de finances</w:t>
      </w:r>
      <w:r w:rsidRPr="000C25AE">
        <w:rPr>
          <w:rFonts w:ascii="Garamond" w:hAnsi="Garamond" w:cs="Times New Roman"/>
          <w:i/>
          <w:iCs/>
          <w:szCs w:val="24"/>
          <w:shd w:val="clear" w:color="auto" w:fill="FFFFFF"/>
        </w:rPr>
        <w:t> ».</w:t>
      </w:r>
    </w:p>
    <w:p w:rsidR="00A678F8" w:rsidRPr="000C25AE" w:rsidRDefault="00A678F8" w:rsidP="00A678F8">
      <w:pPr>
        <w:widowControl w:val="0"/>
        <w:spacing w:line="240" w:lineRule="auto"/>
        <w:ind w:firstLine="709"/>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Cette nouvelle disposition relative à l’étendue de la mission d’assistance de la Cour des comptes a suscité des interrogations, bien que les fondements mêmes de notre système institutionnel impliquent par principe des contrôles réciproques entre exécutif et Parlement. </w:t>
      </w:r>
      <w:r w:rsidRPr="000C25AE">
        <w:rPr>
          <w:rFonts w:ascii="Garamond" w:hAnsi="Garamond" w:cs="Times New Roman"/>
          <w:szCs w:val="24"/>
          <w:u w:val="single"/>
          <w:shd w:val="clear" w:color="auto" w:fill="FFFFFF"/>
        </w:rPr>
        <w:t xml:space="preserve">Certains ont pu y voir l’instauration, entre la Cour et le Parlement, de liens privilégiés potentiellement nuisibles à l’équilibre des pouvoirs ; alors que l’on insistait traditionnellement </w:t>
      </w:r>
      <w:r w:rsidRPr="000C25AE">
        <w:rPr>
          <w:rFonts w:ascii="Garamond" w:hAnsi="Garamond" w:cs="Times New Roman"/>
          <w:szCs w:val="24"/>
          <w:u w:val="single"/>
        </w:rPr>
        <w:t>sur l’</w:t>
      </w:r>
      <w:r w:rsidRPr="000C25AE">
        <w:rPr>
          <w:rFonts w:ascii="Garamond" w:hAnsi="Garamond" w:cs="Times New Roman"/>
          <w:i/>
          <w:szCs w:val="24"/>
          <w:u w:val="single"/>
        </w:rPr>
        <w:t>équidistance</w:t>
      </w:r>
      <w:r w:rsidRPr="000C25AE">
        <w:rPr>
          <w:rFonts w:ascii="Garamond" w:hAnsi="Garamond" w:cs="Times New Roman"/>
          <w:szCs w:val="24"/>
          <w:u w:val="single"/>
        </w:rPr>
        <w:t xml:space="preserve"> de la Cour des comptes par rapport au Gouvernement et au Parlement</w:t>
      </w:r>
      <w:r w:rsidRPr="000C25AE">
        <w:rPr>
          <w:rFonts w:ascii="Garamond" w:hAnsi="Garamond" w:cs="Times New Roman"/>
          <w:szCs w:val="24"/>
        </w:rPr>
        <w:t xml:space="preserve">, </w:t>
      </w:r>
      <w:r w:rsidRPr="000C25AE">
        <w:rPr>
          <w:rFonts w:ascii="Garamond" w:hAnsi="Garamond" w:cs="Times New Roman"/>
          <w:b/>
          <w:bCs/>
          <w:szCs w:val="24"/>
        </w:rPr>
        <w:t xml:space="preserve">la révision de 2008 </w:t>
      </w:r>
      <w:r w:rsidRPr="000C25AE">
        <w:rPr>
          <w:rFonts w:ascii="Garamond" w:hAnsi="Garamond" w:cs="Times New Roman"/>
          <w:b/>
          <w:bCs/>
          <w:i/>
          <w:iCs/>
          <w:szCs w:val="24"/>
        </w:rPr>
        <w:t xml:space="preserve">« rompt en partie avec le thème de l’équidistance </w:t>
      </w:r>
      <w:r w:rsidRPr="000C25AE">
        <w:rPr>
          <w:rFonts w:ascii="Garamond" w:hAnsi="Garamond" w:cs="Times New Roman"/>
          <w:i/>
          <w:iCs/>
          <w:szCs w:val="24"/>
        </w:rPr>
        <w:t xml:space="preserve">de la Cour des comptes entre le parlement et </w:t>
      </w:r>
      <w:r w:rsidRPr="000C25AE">
        <w:rPr>
          <w:rFonts w:ascii="Garamond" w:hAnsi="Garamond" w:cs="Times New Roman"/>
          <w:i/>
          <w:iCs/>
          <w:szCs w:val="24"/>
        </w:rPr>
        <w:lastRenderedPageBreak/>
        <w:t>le gouvernement, en prévoyant dans la première phrase de l’article 47-2 : "</w:t>
      </w:r>
      <w:r w:rsidRPr="000C25AE">
        <w:rPr>
          <w:rFonts w:ascii="Garamond" w:hAnsi="Garamond" w:cs="Times New Roman"/>
          <w:i/>
          <w:iCs/>
          <w:szCs w:val="24"/>
          <w:u w:val="single"/>
        </w:rPr>
        <w:t>la Cour des comptes assiste le parlement dans le contrôle de l’action du gouvernement</w:t>
      </w:r>
      <w:r w:rsidRPr="000C25AE">
        <w:rPr>
          <w:rFonts w:ascii="Garamond" w:hAnsi="Garamond" w:cs="Times New Roman"/>
          <w:i/>
          <w:iCs/>
          <w:szCs w:val="24"/>
        </w:rPr>
        <w:t>". Elle crée ainsi un axe privilégié avec le parlement, qui n’a pas encore été défini »</w:t>
      </w:r>
      <w:r w:rsidRPr="000C25AE">
        <w:rPr>
          <w:rStyle w:val="Appelnotedebasdep"/>
          <w:rFonts w:ascii="Garamond" w:hAnsi="Garamond" w:cs="Times New Roman"/>
          <w:szCs w:val="24"/>
        </w:rPr>
        <w:footnoteReference w:id="1"/>
      </w:r>
      <w:r w:rsidRPr="000C25AE">
        <w:rPr>
          <w:rFonts w:ascii="Garamond" w:hAnsi="Garamond" w:cs="Times New Roman"/>
          <w:szCs w:val="24"/>
        </w:rPr>
        <w:t>.</w:t>
      </w:r>
      <w:r w:rsidRPr="000C25AE">
        <w:rPr>
          <w:rFonts w:ascii="Garamond" w:hAnsi="Garamond" w:cs="Times New Roman"/>
          <w:szCs w:val="24"/>
          <w:shd w:val="clear" w:color="auto" w:fill="FFFFFF"/>
        </w:rPr>
        <w:t xml:space="preserve"> Toutefois, ce même article 47-2 édicte une </w:t>
      </w:r>
      <w:r w:rsidRPr="000C25AE">
        <w:rPr>
          <w:rFonts w:ascii="Garamond" w:hAnsi="Garamond" w:cs="Times New Roman"/>
          <w:b/>
          <w:bCs/>
          <w:szCs w:val="24"/>
          <w:shd w:val="clear" w:color="auto" w:fill="FFFFFF"/>
        </w:rPr>
        <w:t>obligation de sincérité, de régularité et de fidélité des comptes publics</w:t>
      </w:r>
      <w:r w:rsidRPr="000C25AE">
        <w:rPr>
          <w:rFonts w:ascii="Garamond" w:hAnsi="Garamond" w:cs="Times New Roman"/>
          <w:szCs w:val="24"/>
          <w:shd w:val="clear" w:color="auto" w:fill="FFFFFF"/>
        </w:rPr>
        <w:t xml:space="preserve">, et c’est essentiellement au travers de son contrôle du respect de ces exigences que la Cour doit assister le Parlement dans son contrôle de l’action du Gouvernement. </w:t>
      </w:r>
    </w:p>
    <w:p w:rsidR="00A678F8" w:rsidRPr="000C25AE" w:rsidRDefault="00A678F8" w:rsidP="00A678F8">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Deuxièmement, elle </w:t>
      </w:r>
      <w:r w:rsidRPr="000C25AE">
        <w:rPr>
          <w:rFonts w:ascii="Garamond" w:hAnsi="Garamond" w:cs="Times New Roman"/>
          <w:b/>
          <w:bCs/>
          <w:szCs w:val="24"/>
        </w:rPr>
        <w:t xml:space="preserve">assiste </w:t>
      </w:r>
      <w:r w:rsidRPr="000C25AE">
        <w:rPr>
          <w:rFonts w:ascii="Garamond" w:hAnsi="Garamond" w:cs="Times New Roman"/>
          <w:b/>
          <w:bCs/>
          <w:i/>
          <w:iCs/>
          <w:szCs w:val="24"/>
        </w:rPr>
        <w:t xml:space="preserve">« le Gouvernement dans le contrôle de l’exécution des lois de finances et de l’application des lois de financement de la sécurité sociale ainsi que dans l’évaluation </w:t>
      </w:r>
      <w:r w:rsidRPr="000C25AE">
        <w:rPr>
          <w:rFonts w:ascii="Garamond" w:hAnsi="Garamond" w:cs="Times New Roman"/>
          <w:i/>
          <w:iCs/>
          <w:szCs w:val="24"/>
        </w:rPr>
        <w:t>des politiques publiques »</w:t>
      </w:r>
      <w:r w:rsidRPr="000C25AE">
        <w:rPr>
          <w:rFonts w:ascii="Garamond" w:hAnsi="Garamond" w:cs="Times New Roman"/>
          <w:szCs w:val="24"/>
        </w:rPr>
        <w:t xml:space="preserve">. La Cour des comptes apparaît ainsi comme un </w:t>
      </w:r>
      <w:r w:rsidRPr="000C25AE">
        <w:rPr>
          <w:rFonts w:ascii="Garamond" w:hAnsi="Garamond" w:cs="Times New Roman"/>
          <w:b/>
          <w:bCs/>
          <w:szCs w:val="24"/>
        </w:rPr>
        <w:t>conseiller financier du Gouvernement</w:t>
      </w:r>
      <w:r w:rsidRPr="000C25AE">
        <w:rPr>
          <w:rFonts w:ascii="Garamond" w:hAnsi="Garamond" w:cs="Times New Roman"/>
          <w:szCs w:val="24"/>
        </w:rPr>
        <w:t>.</w:t>
      </w:r>
    </w:p>
    <w:p w:rsidR="00A678F8" w:rsidRPr="000C25AE" w:rsidRDefault="00A678F8" w:rsidP="00A678F8">
      <w:pPr>
        <w:widowControl w:val="0"/>
        <w:shd w:val="clear" w:color="auto" w:fill="FFFFFF"/>
        <w:spacing w:line="240" w:lineRule="auto"/>
        <w:ind w:firstLine="709"/>
        <w:rPr>
          <w:rFonts w:ascii="Garamond" w:hAnsi="Garamond" w:cs="Times New Roman"/>
          <w:szCs w:val="24"/>
        </w:rPr>
      </w:pPr>
      <w:r w:rsidRPr="000C25AE">
        <w:rPr>
          <w:rFonts w:ascii="Garamond" w:hAnsi="Garamond" w:cs="Times New Roman"/>
          <w:szCs w:val="24"/>
        </w:rPr>
        <w:t xml:space="preserve">Troisièmement, l’article 47-2 précise que, </w:t>
      </w:r>
      <w:r w:rsidRPr="000C25AE">
        <w:rPr>
          <w:rFonts w:ascii="Garamond" w:hAnsi="Garamond" w:cs="Times New Roman"/>
          <w:i/>
          <w:iCs/>
          <w:szCs w:val="24"/>
        </w:rPr>
        <w:t>« </w:t>
      </w:r>
      <w:r w:rsidRPr="000C25AE">
        <w:rPr>
          <w:rFonts w:ascii="Garamond" w:hAnsi="Garamond" w:cs="Times New Roman"/>
          <w:b/>
          <w:bCs/>
          <w:i/>
          <w:iCs/>
          <w:szCs w:val="24"/>
        </w:rPr>
        <w:t>par ses rapports publics, elle contribue à l’information des citoyens</w:t>
      </w:r>
      <w:r w:rsidRPr="000C25AE">
        <w:rPr>
          <w:rFonts w:ascii="Garamond" w:hAnsi="Garamond" w:cs="Times New Roman"/>
          <w:i/>
          <w:iCs/>
          <w:szCs w:val="24"/>
        </w:rPr>
        <w:t> ».</w:t>
      </w:r>
      <w:r w:rsidRPr="000C25AE">
        <w:rPr>
          <w:rFonts w:ascii="Garamond" w:hAnsi="Garamond" w:cs="Times New Roman"/>
          <w:szCs w:val="24"/>
        </w:rPr>
        <w:t xml:space="preserve"> Il </w:t>
      </w:r>
      <w:r w:rsidRPr="000C25AE">
        <w:rPr>
          <w:rFonts w:ascii="Garamond" w:hAnsi="Garamond" w:cs="Times New Roman"/>
          <w:szCs w:val="24"/>
          <w:u w:val="single"/>
        </w:rPr>
        <w:t>consacre ainsi la publicité des rapports de la Cour</w:t>
      </w:r>
      <w:r w:rsidRPr="000C25AE">
        <w:rPr>
          <w:rFonts w:ascii="Garamond" w:hAnsi="Garamond" w:cs="Times New Roman"/>
          <w:szCs w:val="24"/>
        </w:rPr>
        <w:t xml:space="preserve"> pour l’information des citoyens. Il entend ainsi mettre en avant un </w:t>
      </w:r>
      <w:r w:rsidRPr="000C25AE">
        <w:rPr>
          <w:rFonts w:ascii="Garamond" w:hAnsi="Garamond" w:cs="Times New Roman"/>
          <w:b/>
          <w:bCs/>
          <w:szCs w:val="24"/>
        </w:rPr>
        <w:t>principe de transparence</w:t>
      </w:r>
      <w:r w:rsidRPr="000C25AE">
        <w:rPr>
          <w:rFonts w:ascii="Garamond" w:hAnsi="Garamond" w:cs="Times New Roman"/>
          <w:szCs w:val="24"/>
        </w:rPr>
        <w:t xml:space="preserve"> des finances de l’État. Cette disposition peut être combinée avec </w:t>
      </w:r>
      <w:r w:rsidRPr="000C25AE">
        <w:rPr>
          <w:rFonts w:ascii="Garamond" w:hAnsi="Garamond" w:cs="Times New Roman"/>
          <w:b/>
          <w:bCs/>
          <w:szCs w:val="24"/>
        </w:rPr>
        <w:t>l’article 15 de la DDHC</w:t>
      </w:r>
      <w:r w:rsidRPr="000C25AE">
        <w:rPr>
          <w:rFonts w:ascii="Garamond" w:hAnsi="Garamond" w:cs="Times New Roman"/>
          <w:szCs w:val="24"/>
        </w:rPr>
        <w:t xml:space="preserve"> de 1789, qui prévoit que </w:t>
      </w:r>
      <w:r w:rsidRPr="000C25AE">
        <w:rPr>
          <w:rFonts w:ascii="Garamond" w:hAnsi="Garamond" w:cs="Times New Roman"/>
          <w:i/>
          <w:iCs/>
          <w:szCs w:val="24"/>
        </w:rPr>
        <w:t>« la Société a le droit de demander compte à tout agent public de son administration »</w:t>
      </w:r>
      <w:r w:rsidRPr="000C25AE">
        <w:rPr>
          <w:rFonts w:ascii="Garamond" w:hAnsi="Garamond" w:cs="Times New Roman"/>
          <w:szCs w:val="24"/>
        </w:rPr>
        <w:t xml:space="preserve"> et dont la Cour des comptes a fait sa devise, gravée au fronton de la Grande chambre de la Cour rue Cambon. </w:t>
      </w:r>
      <w:r w:rsidRPr="000C25AE">
        <w:rPr>
          <w:rFonts w:ascii="Garamond" w:hAnsi="Garamond" w:cs="Times New Roman"/>
          <w:szCs w:val="24"/>
          <w:shd w:val="clear" w:color="auto" w:fill="FFFFFF"/>
        </w:rPr>
        <w:t xml:space="preserve">Cette disposition constitutionnelle n’est </w:t>
      </w:r>
      <w:r w:rsidRPr="000C25AE">
        <w:rPr>
          <w:rFonts w:ascii="Garamond" w:hAnsi="Garamond" w:cs="Times New Roman"/>
          <w:b/>
          <w:bCs/>
          <w:szCs w:val="24"/>
          <w:shd w:val="clear" w:color="auto" w:fill="FFFFFF"/>
        </w:rPr>
        <w:t>pas purement symbolique : dans le prolongement de l’article 15, elle établit expressément un lien entre le citoyen/contribuable et l’institution garante de la fiabilité des comptes publics</w:t>
      </w:r>
      <w:r w:rsidRPr="000C25AE">
        <w:rPr>
          <w:rFonts w:ascii="Garamond" w:hAnsi="Garamond" w:cs="Times New Roman"/>
          <w:szCs w:val="24"/>
          <w:shd w:val="clear" w:color="auto" w:fill="FFFFFF"/>
        </w:rPr>
        <w:t>.</w:t>
      </w:r>
    </w:p>
    <w:p w:rsidR="00A678F8" w:rsidRPr="000C25AE" w:rsidRDefault="00A678F8" w:rsidP="00A678F8">
      <w:pPr>
        <w:pStyle w:val="Titre6"/>
        <w:spacing w:before="0"/>
        <w:rPr>
          <w:rFonts w:ascii="Garamond" w:hAnsi="Garamond" w:cs="Times New Roman"/>
          <w:color w:val="auto"/>
          <w:sz w:val="24"/>
          <w:szCs w:val="24"/>
        </w:rPr>
      </w:pPr>
      <w:bookmarkStart w:id="2" w:name="_Toc152863578"/>
      <w:r w:rsidRPr="000C25AE">
        <w:rPr>
          <w:rFonts w:ascii="Garamond" w:hAnsi="Garamond" w:cs="Times New Roman"/>
          <w:color w:val="auto"/>
          <w:sz w:val="24"/>
          <w:szCs w:val="24"/>
        </w:rPr>
        <w:t>2. Les moyens</w:t>
      </w:r>
      <w:bookmarkEnd w:id="2"/>
    </w:p>
    <w:p w:rsidR="00A678F8" w:rsidRPr="000C25AE" w:rsidRDefault="00A678F8" w:rsidP="00A678F8">
      <w:pPr>
        <w:widowControl w:val="0"/>
        <w:spacing w:line="240" w:lineRule="auto"/>
        <w:ind w:firstLine="708"/>
        <w:rPr>
          <w:rFonts w:ascii="Garamond" w:hAnsi="Garamond" w:cs="Times New Roman"/>
          <w:szCs w:val="24"/>
        </w:rPr>
      </w:pPr>
      <w:r w:rsidRPr="000C25AE">
        <w:rPr>
          <w:rFonts w:ascii="Garamond" w:hAnsi="Garamond" w:cs="Times New Roman"/>
          <w:szCs w:val="24"/>
        </w:rPr>
        <w:t xml:space="preserve">La mission d’assistance s’exerce par le biais de rapports, à la suite des contrôles effectués. </w:t>
      </w:r>
      <w:r w:rsidRPr="000C25AE">
        <w:rPr>
          <w:rFonts w:ascii="Garamond" w:hAnsi="Garamond" w:cs="Times New Roman"/>
          <w:b/>
          <w:bCs/>
          <w:szCs w:val="24"/>
        </w:rPr>
        <w:t>Ces rapports sont destinés au chef de l’État</w:t>
      </w:r>
      <w:r>
        <w:rPr>
          <w:rFonts w:ascii="Garamond" w:hAnsi="Garamond" w:cs="Times New Roman"/>
          <w:b/>
          <w:bCs/>
          <w:szCs w:val="24"/>
        </w:rPr>
        <w:t>, au Gvt</w:t>
      </w:r>
      <w:r w:rsidRPr="000C25AE">
        <w:rPr>
          <w:rFonts w:ascii="Garamond" w:hAnsi="Garamond" w:cs="Times New Roman"/>
          <w:b/>
          <w:bCs/>
          <w:szCs w:val="24"/>
        </w:rPr>
        <w:t xml:space="preserve"> et au Parlement, mais aussi à l’opinion publique</w:t>
      </w:r>
      <w:r w:rsidRPr="000C25AE">
        <w:rPr>
          <w:rFonts w:ascii="Garamond" w:hAnsi="Garamond" w:cs="Times New Roman"/>
          <w:szCs w:val="24"/>
        </w:rPr>
        <w:t xml:space="preserve">. </w:t>
      </w:r>
      <w:r w:rsidRPr="000C25AE">
        <w:rPr>
          <w:rFonts w:ascii="Garamond" w:hAnsi="Garamond" w:cs="Times New Roman"/>
          <w:szCs w:val="24"/>
          <w:shd w:val="clear" w:color="auto" w:fill="FFFFFF"/>
        </w:rPr>
        <w:t>La loi relative à la répartition des contentieux et à l’allègement de certaines procédures juridictionnelles du 13 décembre 2011 étend en effet le champ des travaux que la Cour peut rendre publics, « sous réserve du respect des secrets protégés par la loi » (nouvel article L.143-1 du Code des juridictions financières).</w:t>
      </w:r>
    </w:p>
    <w:p w:rsidR="00A678F8" w:rsidRPr="000C25AE" w:rsidRDefault="00A678F8" w:rsidP="00A678F8">
      <w:pPr>
        <w:widowControl w:val="0"/>
        <w:spacing w:line="240" w:lineRule="auto"/>
        <w:ind w:firstLine="708"/>
        <w:rPr>
          <w:rFonts w:ascii="Garamond" w:hAnsi="Garamond" w:cs="Times New Roman"/>
          <w:szCs w:val="24"/>
        </w:rPr>
      </w:pPr>
      <w:r w:rsidRPr="000C25AE">
        <w:rPr>
          <w:rFonts w:ascii="Garamond" w:hAnsi="Garamond" w:cs="Times New Roman"/>
          <w:szCs w:val="24"/>
        </w:rPr>
        <w:t xml:space="preserve">La Cour des comptes élabore </w:t>
      </w:r>
      <w:r w:rsidRPr="000C25AE">
        <w:rPr>
          <w:rFonts w:ascii="Garamond" w:hAnsi="Garamond" w:cs="Times New Roman"/>
          <w:b/>
          <w:bCs/>
          <w:szCs w:val="24"/>
        </w:rPr>
        <w:t>plusieurs types de rapports : les rapports thématiques, les rapports demandés par les pouvoirs publics et les rapports destinés aux citoyens</w:t>
      </w:r>
      <w:r w:rsidRPr="000C25AE">
        <w:rPr>
          <w:rFonts w:ascii="Garamond" w:hAnsi="Garamond" w:cs="Times New Roman"/>
          <w:szCs w:val="24"/>
        </w:rPr>
        <w:t>.</w:t>
      </w:r>
    </w:p>
    <w:p w:rsidR="00A678F8" w:rsidRPr="000C25AE" w:rsidRDefault="00A678F8" w:rsidP="00A678F8">
      <w:pPr>
        <w:widowControl w:val="0"/>
        <w:spacing w:line="240" w:lineRule="auto"/>
        <w:ind w:firstLine="708"/>
        <w:rPr>
          <w:rFonts w:ascii="Garamond" w:hAnsi="Garamond" w:cs="Times New Roman"/>
          <w:szCs w:val="24"/>
        </w:rPr>
      </w:pPr>
      <w:r w:rsidRPr="000C25AE">
        <w:rPr>
          <w:rFonts w:ascii="Garamond" w:hAnsi="Garamond" w:cs="Times New Roman"/>
          <w:b/>
          <w:bCs/>
          <w:szCs w:val="24"/>
        </w:rPr>
        <w:t>En principe, un rapport se penche sur les défaillances financières dans un secteur précis</w:t>
      </w:r>
      <w:r w:rsidRPr="000C25AE">
        <w:rPr>
          <w:rFonts w:ascii="Garamond" w:hAnsi="Garamond" w:cs="Times New Roman"/>
          <w:szCs w:val="24"/>
        </w:rPr>
        <w:t xml:space="preserve">, le système financier de la sécurité sociale par exemple. Il </w:t>
      </w:r>
      <w:r w:rsidRPr="000C25AE">
        <w:rPr>
          <w:rFonts w:ascii="Garamond" w:hAnsi="Garamond" w:cs="Times New Roman"/>
          <w:b/>
          <w:bCs/>
          <w:szCs w:val="24"/>
        </w:rPr>
        <w:t xml:space="preserve">indique les suites à donner </w:t>
      </w:r>
      <w:r w:rsidRPr="000C25AE">
        <w:rPr>
          <w:rFonts w:ascii="Garamond" w:hAnsi="Garamond" w:cs="Times New Roman"/>
          <w:szCs w:val="24"/>
        </w:rPr>
        <w:t xml:space="preserve">aux affaires (campagnes d’information pour changer les comportements quant à la sécurité sociale par exemple). Enfin, </w:t>
      </w:r>
      <w:r w:rsidRPr="000C25AE">
        <w:rPr>
          <w:rFonts w:ascii="Garamond" w:hAnsi="Garamond" w:cs="Times New Roman"/>
          <w:b/>
          <w:bCs/>
          <w:szCs w:val="24"/>
        </w:rPr>
        <w:t>un nouveau rapport peut être rédigé pour faire le bilan des actions menées</w:t>
      </w:r>
      <w:r w:rsidRPr="000C25AE">
        <w:rPr>
          <w:rFonts w:ascii="Garamond" w:hAnsi="Garamond" w:cs="Times New Roman"/>
          <w:szCs w:val="24"/>
        </w:rPr>
        <w:t xml:space="preserve"> et lorsque la situation s’est améliorée.</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L’article 58 de la LOLF précise que la mission d’assistance comporte notamment </w:t>
      </w:r>
      <w:r w:rsidRPr="000C25AE">
        <w:rPr>
          <w:rFonts w:ascii="Garamond" w:hAnsi="Garamond" w:cs="Times New Roman"/>
          <w:b/>
          <w:bCs/>
          <w:szCs w:val="24"/>
          <w:shd w:val="clear" w:color="auto" w:fill="FFFFFF"/>
        </w:rPr>
        <w:t>trois rapports obligatoires</w:t>
      </w:r>
      <w:r w:rsidRPr="000C25AE">
        <w:rPr>
          <w:rFonts w:ascii="Garamond" w:hAnsi="Garamond" w:cs="Times New Roman"/>
          <w:szCs w:val="24"/>
          <w:shd w:val="clear" w:color="auto" w:fill="FFFFFF"/>
        </w:rPr>
        <w:t>.</w:t>
      </w:r>
    </w:p>
    <w:p w:rsidR="00A678F8" w:rsidRPr="000C25AE" w:rsidRDefault="00A678F8" w:rsidP="00A678F8">
      <w:pPr>
        <w:widowControl w:val="0"/>
        <w:spacing w:line="240" w:lineRule="auto"/>
        <w:ind w:firstLine="709"/>
        <w:rPr>
          <w:rStyle w:val="apple-converted-space"/>
          <w:rFonts w:ascii="Garamond" w:hAnsi="Garamond" w:cs="Times New Roman"/>
          <w:szCs w:val="24"/>
          <w:shd w:val="clear" w:color="auto" w:fill="FFFFFF"/>
        </w:rPr>
      </w:pPr>
      <w:r w:rsidRPr="000C25AE">
        <w:rPr>
          <w:rFonts w:ascii="Garamond" w:hAnsi="Garamond" w:cs="Times New Roman"/>
          <w:szCs w:val="24"/>
          <w:shd w:val="clear" w:color="auto" w:fill="FFFFFF"/>
        </w:rPr>
        <w:t>On peut en premier lieu citer un « </w:t>
      </w:r>
      <w:r w:rsidRPr="000C25AE">
        <w:rPr>
          <w:rStyle w:val="important"/>
          <w:rFonts w:ascii="Garamond" w:hAnsi="Garamond" w:cs="Times New Roman"/>
          <w:b/>
          <w:szCs w:val="24"/>
          <w:shd w:val="clear" w:color="auto" w:fill="FFFFFF"/>
        </w:rPr>
        <w:t>rapport de la Cour des comptes sur la situation et les perspectives des finances publiques</w:t>
      </w:r>
      <w:r w:rsidRPr="000C25AE">
        <w:rPr>
          <w:rFonts w:ascii="Garamond" w:hAnsi="Garamond" w:cs="Times New Roman"/>
          <w:szCs w:val="24"/>
          <w:shd w:val="clear" w:color="auto" w:fill="FFFFFF"/>
        </w:rPr>
        <w:t> » qui accompagne, conformément à l’article 58-3 de la LOLF, le « </w:t>
      </w:r>
      <w:r w:rsidRPr="000C25AE">
        <w:rPr>
          <w:rFonts w:ascii="Garamond" w:hAnsi="Garamond" w:cs="Times New Roman"/>
          <w:b/>
          <w:bCs/>
          <w:szCs w:val="24"/>
          <w:shd w:val="clear" w:color="auto" w:fill="FFFFFF"/>
        </w:rPr>
        <w:t>rapport sur l’évolution de l’économie nationale et sur les orientations des finances publiques</w:t>
      </w:r>
      <w:r w:rsidRPr="000C25AE">
        <w:rPr>
          <w:rFonts w:ascii="Garamond" w:hAnsi="Garamond" w:cs="Times New Roman"/>
          <w:szCs w:val="24"/>
          <w:shd w:val="clear" w:color="auto" w:fill="FFFFFF"/>
        </w:rPr>
        <w:t> » que le Gouvernement doit lui-même présenter au Parlement et qui peut donner lieu à un débat d’orientation des finances publiques (article 48 de la LOLF) ; ce rapport doit être présenté au cours du dernier trimestre de la session ordinaire.</w:t>
      </w:r>
    </w:p>
    <w:p w:rsidR="00A678F8" w:rsidRPr="000C25AE" w:rsidRDefault="00A678F8" w:rsidP="00A678F8">
      <w:pPr>
        <w:widowControl w:val="0"/>
        <w:spacing w:line="240" w:lineRule="auto"/>
        <w:ind w:firstLine="709"/>
        <w:rPr>
          <w:rFonts w:ascii="Garamond" w:hAnsi="Garamond" w:cs="Times New Roman"/>
          <w:szCs w:val="24"/>
          <w:shd w:val="clear" w:color="auto" w:fill="FFFFFF"/>
        </w:rPr>
      </w:pPr>
      <w:r w:rsidRPr="000C25AE">
        <w:rPr>
          <w:rFonts w:ascii="Garamond" w:hAnsi="Garamond" w:cs="Times New Roman"/>
          <w:szCs w:val="24"/>
          <w:shd w:val="clear" w:color="auto" w:fill="FFFFFF"/>
        </w:rPr>
        <w:t>Deuxièmement, un « </w:t>
      </w:r>
      <w:r w:rsidRPr="000C25AE">
        <w:rPr>
          <w:rStyle w:val="important"/>
          <w:rFonts w:ascii="Garamond" w:hAnsi="Garamond" w:cs="Times New Roman"/>
          <w:b/>
          <w:szCs w:val="24"/>
          <w:shd w:val="clear" w:color="auto" w:fill="FFFFFF"/>
        </w:rPr>
        <w:t>rapport annuel sur l’exécution des lois de finances en vue du règlement du budget</w:t>
      </w:r>
      <w:r w:rsidRPr="000C25AE">
        <w:rPr>
          <w:rFonts w:ascii="Garamond" w:hAnsi="Garamond" w:cs="Times New Roman"/>
          <w:b/>
          <w:szCs w:val="24"/>
          <w:shd w:val="clear" w:color="auto" w:fill="FFFFFF"/>
        </w:rPr>
        <w:t> </w:t>
      </w:r>
      <w:r w:rsidRPr="000C25AE">
        <w:rPr>
          <w:rFonts w:ascii="Garamond" w:hAnsi="Garamond" w:cs="Times New Roman"/>
          <w:szCs w:val="24"/>
          <w:shd w:val="clear" w:color="auto" w:fill="FFFFFF"/>
        </w:rPr>
        <w:t>» de l’exercice précédent (article 58-4 de la LOLF) doit être joint au projet de loi de règlement des comptes, qui doit être déposé avant le 1</w:t>
      </w:r>
      <w:r w:rsidRPr="000C25AE">
        <w:rPr>
          <w:rFonts w:ascii="Garamond" w:hAnsi="Garamond" w:cs="Times New Roman"/>
          <w:szCs w:val="24"/>
          <w:shd w:val="clear" w:color="auto" w:fill="FFFFFF"/>
          <w:vertAlign w:val="superscript"/>
        </w:rPr>
        <w:t>er</w:t>
      </w:r>
      <w:r w:rsidRPr="000C25AE">
        <w:rPr>
          <w:rFonts w:ascii="Garamond" w:hAnsi="Garamond" w:cs="Times New Roman"/>
          <w:szCs w:val="24"/>
          <w:shd w:val="clear" w:color="auto" w:fill="FFFFFF"/>
        </w:rPr>
        <w:t xml:space="preserve"> juin de l’année suivant celle de l’exécution du budget concerné : il analyse, par missions et par programmes, l’exécution des crédits de l’année écoulée, et à ce titre, constitue l’outil privilégié de la mission d’assistance de la Cour des comptes dans le contrôle de l’exécution des lois de finances. </w:t>
      </w:r>
    </w:p>
    <w:p w:rsidR="00A678F8" w:rsidRPr="000C25AE" w:rsidRDefault="00A678F8" w:rsidP="00A678F8">
      <w:pPr>
        <w:widowControl w:val="0"/>
        <w:spacing w:line="240" w:lineRule="auto"/>
        <w:ind w:firstLine="709"/>
        <w:rPr>
          <w:rStyle w:val="apple-converted-space"/>
          <w:rFonts w:ascii="Garamond" w:hAnsi="Garamond" w:cs="Times New Roman"/>
          <w:szCs w:val="24"/>
          <w:shd w:val="clear" w:color="auto" w:fill="FFFFFF"/>
        </w:rPr>
      </w:pPr>
      <w:r w:rsidRPr="000C25AE">
        <w:rPr>
          <w:rFonts w:ascii="Garamond" w:hAnsi="Garamond" w:cs="Times New Roman"/>
          <w:szCs w:val="24"/>
          <w:shd w:val="clear" w:color="auto" w:fill="FFFFFF"/>
        </w:rPr>
        <w:t xml:space="preserve">On notera donc la </w:t>
      </w:r>
      <w:r w:rsidRPr="000C25AE">
        <w:rPr>
          <w:rFonts w:ascii="Garamond" w:hAnsi="Garamond" w:cs="Times New Roman"/>
          <w:b/>
          <w:bCs/>
          <w:szCs w:val="24"/>
          <w:shd w:val="clear" w:color="auto" w:fill="FFFFFF"/>
        </w:rPr>
        <w:t>quasi-simultanéité de ces deux rapports</w:t>
      </w:r>
      <w:r w:rsidRPr="000C25AE">
        <w:rPr>
          <w:rFonts w:ascii="Garamond" w:hAnsi="Garamond" w:cs="Times New Roman"/>
          <w:szCs w:val="24"/>
          <w:shd w:val="clear" w:color="auto" w:fill="FFFFFF"/>
        </w:rPr>
        <w:t> </w:t>
      </w:r>
      <w:r w:rsidRPr="000C25AE">
        <w:rPr>
          <w:rFonts w:ascii="Garamond" w:hAnsi="Garamond" w:cs="Times New Roman"/>
          <w:b/>
          <w:bCs/>
          <w:szCs w:val="24"/>
          <w:shd w:val="clear" w:color="auto" w:fill="FFFFFF"/>
        </w:rPr>
        <w:t>: le second analysant l’exécution du budget précédent, le premier examinant le contexte du budget suivant</w:t>
      </w:r>
      <w:r w:rsidRPr="000C25AE">
        <w:rPr>
          <w:rFonts w:ascii="Garamond" w:hAnsi="Garamond" w:cs="Times New Roman"/>
          <w:szCs w:val="24"/>
          <w:shd w:val="clear" w:color="auto" w:fill="FFFFFF"/>
        </w:rPr>
        <w:t xml:space="preserve">, la permanence de la mission d’assistance de la Cour des comptes aux pouvoirs publics est </w:t>
      </w:r>
      <w:r w:rsidRPr="000C25AE">
        <w:rPr>
          <w:rFonts w:ascii="Garamond" w:hAnsi="Garamond" w:cs="Times New Roman"/>
          <w:szCs w:val="24"/>
          <w:shd w:val="clear" w:color="auto" w:fill="FFFFFF"/>
        </w:rPr>
        <w:lastRenderedPageBreak/>
        <w:t>indiscutable.</w:t>
      </w:r>
    </w:p>
    <w:p w:rsidR="00A678F8" w:rsidRPr="000C25AE" w:rsidRDefault="00A678F8" w:rsidP="00A678F8">
      <w:pPr>
        <w:widowControl w:val="0"/>
        <w:spacing w:line="240" w:lineRule="auto"/>
        <w:ind w:firstLine="709"/>
        <w:rPr>
          <w:rFonts w:ascii="Garamond" w:hAnsi="Garamond" w:cs="Times New Roman"/>
          <w:szCs w:val="24"/>
          <w:shd w:val="clear" w:color="auto" w:fill="FFFFFF"/>
        </w:rPr>
      </w:pPr>
      <w:r w:rsidRPr="000C25AE">
        <w:rPr>
          <w:rFonts w:ascii="Garamond" w:hAnsi="Garamond" w:cs="Times New Roman"/>
          <w:szCs w:val="24"/>
          <w:shd w:val="clear" w:color="auto" w:fill="FFFFFF"/>
        </w:rPr>
        <w:t>Troisièmement, le projet de loi de règlement doit aussi être accompagné du « </w:t>
      </w:r>
      <w:r w:rsidRPr="000C25AE">
        <w:rPr>
          <w:rStyle w:val="important"/>
          <w:rFonts w:ascii="Garamond" w:hAnsi="Garamond" w:cs="Times New Roman"/>
          <w:b/>
          <w:szCs w:val="24"/>
          <w:shd w:val="clear" w:color="auto" w:fill="FFFFFF"/>
        </w:rPr>
        <w:t>rapport sur la certification des comptes de l’État</w:t>
      </w:r>
      <w:r w:rsidRPr="000C25AE">
        <w:rPr>
          <w:rFonts w:ascii="Garamond" w:hAnsi="Garamond" w:cs="Times New Roman"/>
          <w:szCs w:val="24"/>
          <w:shd w:val="clear" w:color="auto" w:fill="FFFFFF"/>
        </w:rPr>
        <w:t> », qui fait état des opinions de la Cour sur la régularité, la sincérité et la fidélité des comptes (article 58-5 de la LOLF).</w:t>
      </w:r>
    </w:p>
    <w:p w:rsidR="00A678F8" w:rsidRPr="000C25AE" w:rsidRDefault="00A678F8" w:rsidP="00A678F8">
      <w:pPr>
        <w:widowControl w:val="0"/>
        <w:spacing w:line="240" w:lineRule="auto"/>
        <w:ind w:firstLine="708"/>
        <w:rPr>
          <w:rFonts w:ascii="Garamond" w:hAnsi="Garamond" w:cs="Times New Roman"/>
          <w:b/>
          <w:bCs/>
          <w:szCs w:val="24"/>
        </w:rPr>
      </w:pPr>
      <w:r w:rsidRPr="000C25AE">
        <w:rPr>
          <w:rFonts w:ascii="Garamond" w:hAnsi="Garamond" w:cs="Times New Roman"/>
          <w:b/>
          <w:bCs/>
          <w:szCs w:val="24"/>
          <w:shd w:val="clear" w:color="auto" w:fill="FFFFFF"/>
        </w:rPr>
        <w:t xml:space="preserve">Hormis ces trois rapports obligatoires, </w:t>
      </w:r>
      <w:r w:rsidRPr="000C25AE">
        <w:rPr>
          <w:rFonts w:ascii="Garamond" w:hAnsi="Garamond" w:cs="Times New Roman"/>
          <w:b/>
          <w:bCs/>
          <w:szCs w:val="24"/>
        </w:rPr>
        <w:t xml:space="preserve">il faut aussi indiquer la spécificité du rapport public annuel : il comprend des observations sur l’exécution des lois de finances, sur les entreprises publiques, </w:t>
      </w:r>
      <w:r>
        <w:rPr>
          <w:rFonts w:ascii="Garamond" w:hAnsi="Garamond" w:cs="Times New Roman"/>
          <w:b/>
          <w:bCs/>
          <w:szCs w:val="24"/>
        </w:rPr>
        <w:t xml:space="preserve">ainsi que not. </w:t>
      </w:r>
      <w:proofErr w:type="gramStart"/>
      <w:r w:rsidRPr="000C25AE">
        <w:rPr>
          <w:rFonts w:ascii="Garamond" w:hAnsi="Garamond" w:cs="Times New Roman"/>
          <w:b/>
          <w:bCs/>
          <w:szCs w:val="24"/>
        </w:rPr>
        <w:t>sur</w:t>
      </w:r>
      <w:proofErr w:type="gramEnd"/>
      <w:r w:rsidRPr="000C25AE">
        <w:rPr>
          <w:rFonts w:ascii="Garamond" w:hAnsi="Garamond" w:cs="Times New Roman"/>
          <w:b/>
          <w:bCs/>
          <w:szCs w:val="24"/>
        </w:rPr>
        <w:t xml:space="preserve"> les établissements publics. Le rapport public annuel de la Cour des comptes concerne aussi les finances locales et sociales</w:t>
      </w:r>
      <w:r w:rsidRPr="000C25AE">
        <w:rPr>
          <w:rFonts w:ascii="Garamond" w:hAnsi="Garamond" w:cs="Times New Roman"/>
          <w:szCs w:val="24"/>
        </w:rPr>
        <w:t xml:space="preserve">. Dans ce rapport, sont </w:t>
      </w:r>
      <w:r w:rsidRPr="000C25AE">
        <w:rPr>
          <w:rFonts w:ascii="Garamond" w:hAnsi="Garamond" w:cs="Times New Roman"/>
          <w:b/>
          <w:bCs/>
          <w:szCs w:val="24"/>
        </w:rPr>
        <w:t>aussi publiés les rapports des Chambres régionales et territoriales</w:t>
      </w:r>
      <w:r w:rsidRPr="000C25AE">
        <w:rPr>
          <w:rFonts w:ascii="Garamond" w:hAnsi="Garamond" w:cs="Times New Roman"/>
          <w:szCs w:val="24"/>
        </w:rPr>
        <w:t xml:space="preserve"> des comptes. L’objectif de ce rapport annuel est de </w:t>
      </w:r>
      <w:r w:rsidRPr="000C25AE">
        <w:rPr>
          <w:rFonts w:ascii="Garamond" w:hAnsi="Garamond" w:cs="Times New Roman"/>
          <w:szCs w:val="24"/>
          <w:shd w:val="clear" w:color="auto" w:fill="FFFFFF"/>
        </w:rPr>
        <w:t>présenter un certain nombre d’observations que la Cour a elle-même décidé de rendre publiques : elle y analyse et commente ceux des contrôles les plus significatifs qu’elle a effectués au cours de l’année précédente.</w:t>
      </w:r>
      <w:r w:rsidRPr="000C25AE">
        <w:rPr>
          <w:rFonts w:ascii="Garamond" w:hAnsi="Garamond" w:cs="Times New Roman"/>
          <w:szCs w:val="24"/>
        </w:rPr>
        <w:t xml:space="preserve"> </w:t>
      </w:r>
      <w:r w:rsidRPr="000C25AE">
        <w:rPr>
          <w:rFonts w:ascii="Garamond" w:hAnsi="Garamond" w:cs="Times New Roman"/>
          <w:b/>
          <w:bCs/>
          <w:szCs w:val="24"/>
        </w:rPr>
        <w:t>Ces observations sont suivies des réponses des administrations et des organismes faisant l’objet d’un contrôle. Le rapport public annuel permet de dénoncer les irrégularités et les graves fautes de gestion et de provoquer une modification des comportements.</w:t>
      </w:r>
    </w:p>
    <w:p w:rsidR="00A678F8" w:rsidRPr="000C25AE" w:rsidRDefault="00A678F8" w:rsidP="00A678F8">
      <w:pPr>
        <w:widowControl w:val="0"/>
        <w:spacing w:line="240" w:lineRule="auto"/>
        <w:ind w:firstLine="709"/>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Enfin, la Cour établit chaque année un certain nombre de </w:t>
      </w:r>
      <w:r w:rsidRPr="000C25AE">
        <w:rPr>
          <w:rFonts w:ascii="Garamond" w:hAnsi="Garamond" w:cs="Times New Roman"/>
          <w:b/>
          <w:bCs/>
          <w:szCs w:val="24"/>
          <w:shd w:val="clear" w:color="auto" w:fill="FFFFFF"/>
        </w:rPr>
        <w:t>rapports particuliers consécutifs à des études qu’elle a effectuées soit de sa propre initiative soit à la demande de diverses instances</w:t>
      </w:r>
      <w:r w:rsidRPr="000C25AE">
        <w:rPr>
          <w:rFonts w:ascii="Garamond" w:hAnsi="Garamond" w:cs="Times New Roman"/>
          <w:szCs w:val="24"/>
          <w:shd w:val="clear" w:color="auto" w:fill="FFFFFF"/>
        </w:rPr>
        <w:t xml:space="preserve">. Par exemple, dans une étude du 27 février 2020, la Cour des comptes a réalisé, à la demande du comité d’évaluation et de contrôle des politiques publiques de l’Assemblée nationale, un bilan de la réforme </w:t>
      </w:r>
      <w:proofErr w:type="spellStart"/>
      <w:r w:rsidRPr="000C25AE">
        <w:rPr>
          <w:rFonts w:ascii="Garamond" w:hAnsi="Garamond" w:cs="Times New Roman"/>
          <w:szCs w:val="24"/>
          <w:shd w:val="clear" w:color="auto" w:fill="FFFFFF"/>
        </w:rPr>
        <w:t>ParcourSup</w:t>
      </w:r>
      <w:proofErr w:type="spellEnd"/>
      <w:r w:rsidRPr="000C25AE">
        <w:rPr>
          <w:rFonts w:ascii="Garamond" w:hAnsi="Garamond" w:cs="Times New Roman"/>
          <w:szCs w:val="24"/>
          <w:shd w:val="clear" w:color="auto" w:fill="FFFFFF"/>
        </w:rPr>
        <w:t xml:space="preserve"> et sur la loi d’orientation et de réussite des étudiants qui l’a instaurée. Bon nombre de ces rapports thématiques sont publiés. Certains, le plus souvent ponctuels, sont en revanche directement adressés aux auteurs de la demande, au Premier ministre, aux ministres et aux organismes concernés, mais ils sont parfois publiés.</w:t>
      </w:r>
    </w:p>
    <w:p w:rsidR="00880A63" w:rsidRDefault="00A678F8" w:rsidP="00A678F8">
      <w:pPr>
        <w:widowControl w:val="0"/>
        <w:spacing w:line="240" w:lineRule="auto"/>
        <w:ind w:firstLine="709"/>
        <w:rPr>
          <w:rFonts w:ascii="Garamond" w:hAnsi="Garamond" w:cs="Times New Roman"/>
          <w:szCs w:val="24"/>
        </w:rPr>
      </w:pPr>
      <w:bookmarkStart w:id="3" w:name="_Hlk31001129"/>
      <w:bookmarkStart w:id="4" w:name="_Hlk31001108"/>
      <w:r w:rsidRPr="000C25AE">
        <w:rPr>
          <w:rFonts w:ascii="Garamond" w:hAnsi="Garamond" w:cs="Times New Roman"/>
          <w:szCs w:val="24"/>
          <w:shd w:val="clear" w:color="auto" w:fill="FFFFFF"/>
        </w:rPr>
        <w:t xml:space="preserve">Quelle appréciation peut-on porter sur cette mission d’assistance de la Cour des comptes ? D’une part, cette assistance reste relativement peu exploitée par les parlementaires. </w:t>
      </w:r>
      <w:r w:rsidRPr="000C25AE">
        <w:rPr>
          <w:rFonts w:ascii="Garamond" w:hAnsi="Garamond" w:cs="Times New Roman"/>
          <w:i/>
          <w:iCs/>
          <w:szCs w:val="24"/>
          <w:shd w:val="clear" w:color="auto" w:fill="FFFFFF"/>
        </w:rPr>
        <w:t>« </w:t>
      </w:r>
      <w:r w:rsidRPr="000C25AE">
        <w:rPr>
          <w:rFonts w:ascii="Garamond" w:hAnsi="Garamond" w:cs="Times New Roman"/>
          <w:b/>
          <w:bCs/>
          <w:i/>
          <w:iCs/>
          <w:szCs w:val="24"/>
        </w:rPr>
        <w:t>Si le Parlement dispose d’une information abondante et croissante fournie par la Cour des comptes, le constat est généralement dressé de l’utilisation limitée qu’il en fait, notamment à l’occasion du vote de la loi de règlement</w:t>
      </w:r>
      <w:r w:rsidRPr="000C25AE">
        <w:rPr>
          <w:rFonts w:ascii="Garamond" w:hAnsi="Garamond" w:cs="Times New Roman"/>
          <w:i/>
          <w:iCs/>
          <w:szCs w:val="24"/>
        </w:rPr>
        <w:t> »</w:t>
      </w:r>
      <w:r w:rsidRPr="000C25AE">
        <w:rPr>
          <w:rStyle w:val="Appelnotedebasdep"/>
          <w:rFonts w:ascii="Garamond" w:hAnsi="Garamond" w:cs="Times New Roman"/>
          <w:szCs w:val="24"/>
        </w:rPr>
        <w:footnoteReference w:id="2"/>
      </w:r>
      <w:r w:rsidRPr="000C25AE">
        <w:rPr>
          <w:rFonts w:ascii="Garamond" w:hAnsi="Garamond" w:cs="Times New Roman"/>
          <w:szCs w:val="24"/>
        </w:rPr>
        <w:t xml:space="preserve">. </w:t>
      </w:r>
      <w:r w:rsidRPr="000C25AE">
        <w:rPr>
          <w:rFonts w:ascii="Garamond" w:hAnsi="Garamond" w:cs="Times New Roman"/>
          <w:b/>
          <w:bCs/>
          <w:szCs w:val="24"/>
        </w:rPr>
        <w:t>Cela tient au fait que le contrôle parlementaire est d’une nature différente : il n’est pas technique mais politique</w:t>
      </w:r>
      <w:r w:rsidRPr="000C25AE">
        <w:rPr>
          <w:rFonts w:ascii="Garamond" w:hAnsi="Garamond" w:cs="Times New Roman"/>
          <w:szCs w:val="24"/>
        </w:rPr>
        <w:t xml:space="preserve"> ; cela montre qu’il est </w:t>
      </w:r>
      <w:r w:rsidRPr="000C25AE">
        <w:rPr>
          <w:rFonts w:ascii="Garamond" w:hAnsi="Garamond" w:cs="Times New Roman"/>
          <w:b/>
          <w:bCs/>
          <w:szCs w:val="24"/>
        </w:rPr>
        <w:t>difficile d’articuler l’action de deux autorités qui sont si dissemblables</w:t>
      </w:r>
      <w:r w:rsidRPr="000C25AE">
        <w:rPr>
          <w:rFonts w:ascii="Garamond" w:hAnsi="Garamond" w:cs="Times New Roman"/>
          <w:szCs w:val="24"/>
        </w:rPr>
        <w:t xml:space="preserve"> par la fonction et par la légitimité. D’autre part, avec ce rôle d’assistance, on peut se demander si la Cour ne substitue pas son contrôle à celui du Parlement. En effet, </w:t>
      </w:r>
      <w:r w:rsidRPr="000C25AE">
        <w:rPr>
          <w:rFonts w:ascii="Garamond" w:hAnsi="Garamond" w:cs="Times New Roman"/>
          <w:i/>
          <w:iCs/>
          <w:szCs w:val="24"/>
        </w:rPr>
        <w:t>« </w:t>
      </w:r>
      <w:r w:rsidRPr="000C25AE">
        <w:rPr>
          <w:rFonts w:ascii="Garamond" w:hAnsi="Garamond" w:cs="Times New Roman"/>
          <w:b/>
          <w:bCs/>
          <w:i/>
          <w:iCs/>
          <w:szCs w:val="24"/>
        </w:rPr>
        <w:t xml:space="preserve">puisqu’elle est indépendante, la Cour définit l’étendue de sa saisine, sa méthode, et son agenda. Le Parlement est-il alors véritablement l’évaluateur ? </w:t>
      </w:r>
      <w:r w:rsidRPr="000C25AE">
        <w:rPr>
          <w:rFonts w:ascii="Garamond" w:hAnsi="Garamond" w:cs="Times New Roman"/>
          <w:i/>
          <w:iCs/>
          <w:szCs w:val="24"/>
        </w:rPr>
        <w:t>Il paraît plutôt lié par les contraintes de l’institution de la rue Cambon »</w:t>
      </w:r>
      <w:r w:rsidRPr="000C25AE">
        <w:rPr>
          <w:rStyle w:val="Appelnotedebasdep"/>
          <w:rFonts w:ascii="Garamond" w:hAnsi="Garamond" w:cs="Times New Roman"/>
          <w:szCs w:val="24"/>
        </w:rPr>
        <w:footnoteReference w:id="3"/>
      </w:r>
      <w:r w:rsidRPr="000C25AE">
        <w:rPr>
          <w:rFonts w:ascii="Garamond" w:hAnsi="Garamond" w:cs="Times New Roman"/>
          <w:i/>
          <w:iCs/>
          <w:szCs w:val="24"/>
        </w:rPr>
        <w:t>.</w:t>
      </w:r>
      <w:r w:rsidRPr="000C25AE">
        <w:rPr>
          <w:rFonts w:ascii="Garamond" w:hAnsi="Garamond" w:cs="Times New Roman"/>
          <w:szCs w:val="24"/>
        </w:rPr>
        <w:t xml:space="preserve"> </w:t>
      </w:r>
    </w:p>
    <w:p w:rsidR="00A678F8" w:rsidRPr="000C25AE" w:rsidRDefault="00A678F8" w:rsidP="00A678F8">
      <w:pPr>
        <w:pStyle w:val="Titre4"/>
        <w:spacing w:before="0"/>
        <w:jc w:val="both"/>
        <w:rPr>
          <w:rFonts w:ascii="Garamond" w:hAnsi="Garamond" w:cs="Times New Roman"/>
          <w:color w:val="auto"/>
          <w:szCs w:val="24"/>
          <w:lang w:val="fr-FR"/>
        </w:rPr>
      </w:pPr>
      <w:bookmarkStart w:id="5" w:name="_Toc152863579"/>
      <w:bookmarkEnd w:id="3"/>
      <w:bookmarkEnd w:id="4"/>
      <w:r w:rsidRPr="000C25AE">
        <w:rPr>
          <w:rFonts w:ascii="Garamond" w:hAnsi="Garamond" w:cs="Times New Roman"/>
          <w:color w:val="auto"/>
          <w:szCs w:val="24"/>
          <w:lang w:val="fr-FR"/>
        </w:rPr>
        <w:t xml:space="preserve">II. La </w:t>
      </w:r>
      <w:r w:rsidRPr="00E4140B">
        <w:rPr>
          <w:rFonts w:ascii="Garamond" w:hAnsi="Garamond" w:cs="Times New Roman"/>
          <w:color w:val="auto"/>
          <w:szCs w:val="24"/>
          <w:lang w:val="fr-FR"/>
        </w:rPr>
        <w:t>loi relative aux résultats de la gestion et portant approbation des comptes de l'année</w:t>
      </w:r>
      <w:r w:rsidRPr="000C25AE">
        <w:rPr>
          <w:rFonts w:ascii="Garamond" w:hAnsi="Garamond" w:cs="Times New Roman"/>
          <w:color w:val="auto"/>
          <w:szCs w:val="24"/>
          <w:lang w:val="fr-FR"/>
        </w:rPr>
        <w:t>, vecteur de contrôle</w:t>
      </w:r>
      <w:bookmarkEnd w:id="5"/>
    </w:p>
    <w:p w:rsidR="00A678F8" w:rsidRPr="000C25AE" w:rsidRDefault="00A678F8" w:rsidP="00A678F8">
      <w:pPr>
        <w:pStyle w:val="Titre5"/>
        <w:spacing w:before="0"/>
        <w:jc w:val="both"/>
        <w:rPr>
          <w:rFonts w:ascii="Garamond" w:hAnsi="Garamond" w:cs="Times New Roman"/>
          <w:color w:val="auto"/>
          <w:szCs w:val="24"/>
          <w:lang w:val="fr-FR"/>
        </w:rPr>
      </w:pPr>
      <w:bookmarkStart w:id="6" w:name="_Toc152863580"/>
      <w:r w:rsidRPr="000C25AE">
        <w:rPr>
          <w:rFonts w:ascii="Garamond" w:hAnsi="Garamond" w:cs="Times New Roman"/>
          <w:color w:val="auto"/>
          <w:szCs w:val="24"/>
          <w:lang w:val="fr-FR"/>
        </w:rPr>
        <w:t>A. Une nécessaire revalorisation de la loi de règlement par la loi organique</w:t>
      </w:r>
      <w:bookmarkEnd w:id="6"/>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La </w:t>
      </w:r>
      <w:r w:rsidRPr="000C25AE">
        <w:rPr>
          <w:rFonts w:ascii="Garamond" w:hAnsi="Garamond" w:cs="Times New Roman"/>
          <w:b/>
          <w:bCs/>
          <w:szCs w:val="24"/>
          <w:shd w:val="clear" w:color="auto" w:fill="FFFFFF"/>
        </w:rPr>
        <w:t>loi portant règlement général des comptes de l’État</w:t>
      </w:r>
      <w:r w:rsidRPr="000C25AE">
        <w:rPr>
          <w:rFonts w:ascii="Garamond" w:hAnsi="Garamond" w:cs="Times New Roman"/>
          <w:szCs w:val="24"/>
          <w:shd w:val="clear" w:color="auto" w:fill="FFFFFF"/>
        </w:rPr>
        <w:t xml:space="preserve"> a été créée par la loi du 15 mai </w:t>
      </w:r>
      <w:r w:rsidRPr="000C25AE">
        <w:rPr>
          <w:rFonts w:ascii="Garamond" w:hAnsi="Garamond" w:cs="Times New Roman"/>
          <w:b/>
          <w:bCs/>
          <w:szCs w:val="24"/>
          <w:shd w:val="clear" w:color="auto" w:fill="FFFFFF"/>
        </w:rPr>
        <w:t>1818</w:t>
      </w:r>
      <w:r w:rsidRPr="000C25AE">
        <w:rPr>
          <w:rFonts w:ascii="Garamond" w:hAnsi="Garamond" w:cs="Times New Roman"/>
          <w:szCs w:val="24"/>
          <w:shd w:val="clear" w:color="auto" w:fill="FFFFFF"/>
        </w:rPr>
        <w:t xml:space="preserve"> : la loi de règlement est ainsi </w:t>
      </w:r>
      <w:r w:rsidRPr="000C25AE">
        <w:rPr>
          <w:rFonts w:ascii="Garamond" w:hAnsi="Garamond" w:cs="Times New Roman"/>
          <w:b/>
          <w:bCs/>
          <w:szCs w:val="24"/>
          <w:shd w:val="clear" w:color="auto" w:fill="FFFFFF"/>
        </w:rPr>
        <w:t xml:space="preserve">apparue avec </w:t>
      </w:r>
      <w:r>
        <w:rPr>
          <w:rFonts w:ascii="Garamond" w:hAnsi="Garamond" w:cs="Times New Roman"/>
          <w:b/>
          <w:bCs/>
          <w:szCs w:val="24"/>
          <w:shd w:val="clear" w:color="auto" w:fill="FFFFFF"/>
        </w:rPr>
        <w:t>la parlementarisation du pays</w:t>
      </w:r>
      <w:r w:rsidRPr="000C25AE">
        <w:rPr>
          <w:rFonts w:ascii="Garamond" w:hAnsi="Garamond" w:cs="Times New Roman"/>
          <w:szCs w:val="24"/>
          <w:shd w:val="clear" w:color="auto" w:fill="FFFFFF"/>
        </w:rPr>
        <w:t xml:space="preserve">. </w:t>
      </w:r>
      <w:r>
        <w:rPr>
          <w:rFonts w:ascii="Garamond" w:hAnsi="Garamond" w:cs="Times New Roman"/>
          <w:b/>
          <w:bCs/>
          <w:szCs w:val="24"/>
          <w:shd w:val="clear" w:color="auto" w:fill="FFFFFF"/>
        </w:rPr>
        <w:t>M</w:t>
      </w:r>
      <w:r w:rsidRPr="000C25AE">
        <w:rPr>
          <w:rFonts w:ascii="Garamond" w:hAnsi="Garamond" w:cs="Times New Roman"/>
          <w:b/>
          <w:bCs/>
          <w:szCs w:val="24"/>
          <w:shd w:val="clear" w:color="auto" w:fill="FFFFFF"/>
        </w:rPr>
        <w:t>algré son importance, le débat qui précède le vote de la loi suscite globalement peu d’engouement de la part des membres du Parlement, qui repousse parfois le vote de cette loi de règlement plusieurs années après l’exécution du budget</w:t>
      </w:r>
      <w:r w:rsidRPr="000C25AE">
        <w:rPr>
          <w:rFonts w:ascii="Garamond" w:hAnsi="Garamond" w:cs="Times New Roman"/>
          <w:szCs w:val="24"/>
          <w:shd w:val="clear" w:color="auto" w:fill="FFFFFF"/>
        </w:rPr>
        <w:t xml:space="preserve">. Cette situation est </w:t>
      </w:r>
      <w:r w:rsidRPr="000C25AE">
        <w:rPr>
          <w:rFonts w:ascii="Garamond" w:hAnsi="Garamond" w:cs="Times New Roman"/>
          <w:b/>
          <w:bCs/>
          <w:szCs w:val="24"/>
          <w:shd w:val="clear" w:color="auto" w:fill="FFFFFF"/>
        </w:rPr>
        <w:t>ancienne</w:t>
      </w:r>
      <w:r w:rsidRPr="000C25AE">
        <w:rPr>
          <w:rFonts w:ascii="Garamond" w:hAnsi="Garamond" w:cs="Times New Roman"/>
          <w:szCs w:val="24"/>
          <w:shd w:val="clear" w:color="auto" w:fill="FFFFFF"/>
        </w:rPr>
        <w:t xml:space="preserve">, puisque </w:t>
      </w:r>
      <w:r w:rsidRPr="000C25AE">
        <w:rPr>
          <w:rFonts w:ascii="Garamond" w:hAnsi="Garamond" w:cs="Times New Roman"/>
          <w:b/>
          <w:bCs/>
          <w:szCs w:val="24"/>
          <w:shd w:val="clear" w:color="auto" w:fill="FFFFFF"/>
        </w:rPr>
        <w:t>ce peu d’intérêt des parlementaires date du milieu du XIX</w:t>
      </w:r>
      <w:r w:rsidRPr="000C25AE">
        <w:rPr>
          <w:rFonts w:ascii="Garamond" w:hAnsi="Garamond" w:cs="Times New Roman"/>
          <w:b/>
          <w:bCs/>
          <w:szCs w:val="24"/>
          <w:shd w:val="clear" w:color="auto" w:fill="FFFFFF"/>
          <w:vertAlign w:val="superscript"/>
        </w:rPr>
        <w:t>e</w:t>
      </w:r>
      <w:r w:rsidRPr="000C25AE">
        <w:rPr>
          <w:rFonts w:ascii="Garamond" w:hAnsi="Garamond" w:cs="Times New Roman"/>
          <w:b/>
          <w:bCs/>
          <w:szCs w:val="24"/>
          <w:shd w:val="clear" w:color="auto" w:fill="FFFFFF"/>
        </w:rPr>
        <w:t xml:space="preserve"> siècle</w:t>
      </w:r>
      <w:r w:rsidRPr="000C25AE">
        <w:rPr>
          <w:rFonts w:ascii="Garamond" w:hAnsi="Garamond" w:cs="Times New Roman"/>
          <w:szCs w:val="24"/>
          <w:shd w:val="clear" w:color="auto" w:fill="FFFFFF"/>
        </w:rPr>
        <w:t>. En 1929 par exemple, la loi de règlement votée apure les comptes de l’année 1914.</w:t>
      </w:r>
      <w:r>
        <w:rPr>
          <w:rFonts w:ascii="Garamond" w:hAnsi="Garamond" w:cs="Times New Roman"/>
          <w:szCs w:val="24"/>
          <w:shd w:val="clear" w:color="auto" w:fill="FFFFFF"/>
        </w:rPr>
        <w:t xml:space="preserve"> </w:t>
      </w:r>
      <w:r w:rsidRPr="00145D46">
        <w:rPr>
          <w:rFonts w:ascii="Garamond" w:hAnsi="Garamond" w:cs="Times New Roman"/>
          <w:b/>
          <w:szCs w:val="24"/>
          <w:shd w:val="clear" w:color="auto" w:fill="FFFFFF"/>
        </w:rPr>
        <w:t>Faible contenu décisionnel</w:t>
      </w:r>
      <w:r>
        <w:rPr>
          <w:rFonts w:ascii="Garamond" w:hAnsi="Garamond" w:cs="Times New Roman"/>
          <w:b/>
          <w:szCs w:val="24"/>
          <w:shd w:val="clear" w:color="auto" w:fill="FFFFFF"/>
        </w:rPr>
        <w:t xml:space="preserve"> =&gt; procès fait à un mort</w:t>
      </w:r>
      <w:r>
        <w:rPr>
          <w:rFonts w:ascii="Garamond" w:hAnsi="Garamond" w:cs="Times New Roman"/>
          <w:szCs w:val="24"/>
          <w:shd w:val="clear" w:color="auto" w:fill="FFFFFF"/>
        </w:rPr>
        <w:t>.</w:t>
      </w:r>
    </w:p>
    <w:p w:rsidR="00A678F8" w:rsidRPr="000C25AE" w:rsidRDefault="00A678F8" w:rsidP="00A678F8">
      <w:pPr>
        <w:widowControl w:val="0"/>
        <w:spacing w:line="240" w:lineRule="auto"/>
        <w:ind w:firstLine="708"/>
        <w:rPr>
          <w:rFonts w:ascii="Garamond" w:hAnsi="Garamond" w:cs="Times New Roman"/>
          <w:b/>
          <w:bCs/>
          <w:szCs w:val="24"/>
          <w:shd w:val="clear" w:color="auto" w:fill="FFFFFF"/>
        </w:rPr>
      </w:pPr>
      <w:r w:rsidRPr="000C25AE">
        <w:rPr>
          <w:rFonts w:ascii="Garamond" w:hAnsi="Garamond" w:cs="Times New Roman"/>
          <w:b/>
          <w:bCs/>
          <w:szCs w:val="24"/>
          <w:shd w:val="clear" w:color="auto" w:fill="FFFFFF"/>
        </w:rPr>
        <w:t>L’ordonnance du 2 janvier 1959 n’a pas remis en question cette situation</w:t>
      </w:r>
      <w:r w:rsidRPr="000C25AE">
        <w:rPr>
          <w:rFonts w:ascii="Garamond" w:hAnsi="Garamond" w:cs="Times New Roman"/>
          <w:szCs w:val="24"/>
          <w:shd w:val="clear" w:color="auto" w:fill="FFFFFF"/>
        </w:rPr>
        <w:t xml:space="preserve">. En outre, </w:t>
      </w:r>
      <w:r w:rsidRPr="000C25AE">
        <w:rPr>
          <w:rFonts w:ascii="Garamond" w:hAnsi="Garamond" w:cs="Times New Roman"/>
          <w:b/>
          <w:bCs/>
          <w:szCs w:val="24"/>
          <w:shd w:val="clear" w:color="auto" w:fill="FFFFFF"/>
        </w:rPr>
        <w:t>de la loi de règlement pour 1966 à l’adoption de la loi organique du 1</w:t>
      </w:r>
      <w:r w:rsidRPr="000C25AE">
        <w:rPr>
          <w:rFonts w:ascii="Garamond" w:hAnsi="Garamond" w:cs="Times New Roman"/>
          <w:b/>
          <w:bCs/>
          <w:szCs w:val="24"/>
          <w:shd w:val="clear" w:color="auto" w:fill="FFFFFF"/>
          <w:vertAlign w:val="superscript"/>
        </w:rPr>
        <w:t>er</w:t>
      </w:r>
      <w:r w:rsidRPr="000C25AE">
        <w:rPr>
          <w:rFonts w:ascii="Garamond" w:hAnsi="Garamond" w:cs="Times New Roman"/>
          <w:b/>
          <w:bCs/>
          <w:szCs w:val="24"/>
          <w:shd w:val="clear" w:color="auto" w:fill="FFFFFF"/>
        </w:rPr>
        <w:t xml:space="preserve"> août 2001, les délais </w:t>
      </w:r>
      <w:r w:rsidRPr="000C25AE">
        <w:rPr>
          <w:rFonts w:ascii="Garamond" w:hAnsi="Garamond" w:cs="Times New Roman"/>
          <w:b/>
          <w:bCs/>
          <w:szCs w:val="24"/>
          <w:shd w:val="clear" w:color="auto" w:fill="FFFFFF"/>
        </w:rPr>
        <w:lastRenderedPageBreak/>
        <w:t>d’adoption étaient de deux ans, voire de trois ans en 1979, 1983, 1984, 1995 et enfin 1998.</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Comme l’un des objectifs de la </w:t>
      </w:r>
      <w:r w:rsidRPr="000C25AE">
        <w:rPr>
          <w:rFonts w:ascii="Garamond" w:hAnsi="Garamond" w:cs="Times New Roman"/>
          <w:b/>
          <w:bCs/>
          <w:szCs w:val="24"/>
          <w:shd w:val="clear" w:color="auto" w:fill="FFFFFF"/>
        </w:rPr>
        <w:t>loi organique du 1</w:t>
      </w:r>
      <w:r w:rsidRPr="000C25AE">
        <w:rPr>
          <w:rFonts w:ascii="Garamond" w:hAnsi="Garamond" w:cs="Times New Roman"/>
          <w:b/>
          <w:bCs/>
          <w:szCs w:val="24"/>
          <w:shd w:val="clear" w:color="auto" w:fill="FFFFFF"/>
          <w:vertAlign w:val="superscript"/>
        </w:rPr>
        <w:t>er</w:t>
      </w:r>
      <w:r w:rsidRPr="000C25AE">
        <w:rPr>
          <w:rFonts w:ascii="Garamond" w:hAnsi="Garamond" w:cs="Times New Roman"/>
          <w:b/>
          <w:bCs/>
          <w:szCs w:val="24"/>
          <w:shd w:val="clear" w:color="auto" w:fill="FFFFFF"/>
        </w:rPr>
        <w:t xml:space="preserve"> août 2001</w:t>
      </w:r>
      <w:r w:rsidRPr="000C25AE">
        <w:rPr>
          <w:rFonts w:ascii="Garamond" w:hAnsi="Garamond" w:cs="Times New Roman"/>
          <w:szCs w:val="24"/>
          <w:shd w:val="clear" w:color="auto" w:fill="FFFFFF"/>
        </w:rPr>
        <w:t xml:space="preserve"> est de revaloriser le rôle du Parlement dans le processus budgétaire, il était nécessaire de réformer la loi de règlement. </w:t>
      </w:r>
      <w:r w:rsidRPr="000C25AE">
        <w:rPr>
          <w:rFonts w:ascii="Garamond" w:hAnsi="Garamond" w:cs="Times New Roman"/>
          <w:b/>
          <w:bCs/>
          <w:szCs w:val="24"/>
          <w:shd w:val="clear" w:color="auto" w:fill="FFFFFF"/>
        </w:rPr>
        <w:t>Celle-ci est la seule loi de finances permettant de connaître la réalité de l’exécution des lois de finances</w:t>
      </w:r>
      <w:r w:rsidRPr="000C25AE">
        <w:rPr>
          <w:rFonts w:ascii="Garamond" w:hAnsi="Garamond" w:cs="Times New Roman"/>
          <w:szCs w:val="24"/>
          <w:shd w:val="clear" w:color="auto" w:fill="FFFFFF"/>
        </w:rPr>
        <w:t xml:space="preserve">. C’est ainsi que, </w:t>
      </w:r>
      <w:r w:rsidRPr="000C25AE">
        <w:rPr>
          <w:rFonts w:ascii="Garamond" w:hAnsi="Garamond" w:cs="Times New Roman"/>
          <w:b/>
          <w:bCs/>
          <w:szCs w:val="24"/>
          <w:shd w:val="clear" w:color="auto" w:fill="FFFFFF"/>
        </w:rPr>
        <w:t xml:space="preserve">selon l’article 41 de la LOLF, </w:t>
      </w:r>
      <w:r w:rsidRPr="000C25AE">
        <w:rPr>
          <w:rFonts w:ascii="Garamond" w:hAnsi="Garamond" w:cs="Times New Roman"/>
          <w:b/>
          <w:bCs/>
          <w:i/>
          <w:iCs/>
          <w:szCs w:val="24"/>
          <w:shd w:val="clear" w:color="auto" w:fill="FFFFFF"/>
        </w:rPr>
        <w:t>« </w:t>
      </w:r>
      <w:r w:rsidRPr="000C25AE">
        <w:rPr>
          <w:rStyle w:val="citation"/>
          <w:rFonts w:ascii="Garamond" w:hAnsi="Garamond" w:cs="Times New Roman"/>
          <w:b/>
          <w:bCs/>
          <w:i/>
          <w:iCs/>
          <w:szCs w:val="24"/>
          <w:shd w:val="clear" w:color="auto" w:fill="FFFFFF"/>
        </w:rPr>
        <w:t>le projet de loi de finances de l’année ne peut être mis en discussion devant une assemblée avant le vote par celle-ci, en première lecture, sur le projet de loi de règlement afférent à l’année qui précède</w:t>
      </w:r>
      <w:r w:rsidRPr="000C25AE">
        <w:rPr>
          <w:rStyle w:val="citation"/>
          <w:rFonts w:ascii="Garamond" w:hAnsi="Garamond" w:cs="Times New Roman"/>
          <w:i/>
          <w:iCs/>
          <w:szCs w:val="24"/>
          <w:shd w:val="clear" w:color="auto" w:fill="FFFFFF"/>
        </w:rPr>
        <w:t xml:space="preserve"> celle de la discussion dudit projet de loi de finances</w:t>
      </w:r>
      <w:r w:rsidRPr="000C25AE">
        <w:rPr>
          <w:rStyle w:val="apple-converted-space"/>
          <w:rFonts w:ascii="Garamond" w:hAnsi="Garamond" w:cs="Times New Roman"/>
          <w:i/>
          <w:iCs/>
          <w:szCs w:val="24"/>
          <w:shd w:val="clear" w:color="auto" w:fill="FFFFFF"/>
        </w:rPr>
        <w:t> </w:t>
      </w:r>
      <w:r w:rsidRPr="000C25AE">
        <w:rPr>
          <w:rFonts w:ascii="Garamond" w:hAnsi="Garamond" w:cs="Times New Roman"/>
          <w:i/>
          <w:iCs/>
          <w:szCs w:val="24"/>
          <w:shd w:val="clear" w:color="auto" w:fill="FFFFFF"/>
        </w:rPr>
        <w:t>»</w:t>
      </w:r>
      <w:r w:rsidRPr="000C25AE">
        <w:rPr>
          <w:rFonts w:ascii="Garamond" w:hAnsi="Garamond" w:cs="Times New Roman"/>
          <w:szCs w:val="24"/>
          <w:shd w:val="clear" w:color="auto" w:fill="FFFFFF"/>
        </w:rPr>
        <w:t xml:space="preserve">. </w:t>
      </w:r>
      <w:r w:rsidRPr="000C25AE">
        <w:rPr>
          <w:rFonts w:ascii="Garamond" w:hAnsi="Garamond" w:cs="Times New Roman"/>
          <w:b/>
          <w:bCs/>
          <w:szCs w:val="24"/>
          <w:shd w:val="clear" w:color="auto" w:fill="FFFFFF"/>
        </w:rPr>
        <w:t>L’objectif est que la loi de règlement de l’année antérieure permette aux parlementaires d’être pleinement informés</w:t>
      </w:r>
      <w:r w:rsidRPr="000C25AE">
        <w:rPr>
          <w:rFonts w:ascii="Garamond" w:hAnsi="Garamond" w:cs="Times New Roman"/>
          <w:szCs w:val="24"/>
          <w:shd w:val="clear" w:color="auto" w:fill="FFFFFF"/>
        </w:rPr>
        <w:t xml:space="preserve"> de la situation financière de l’État avant de voter la loi de finances de l’année budgétaire suivante. La loi de règlement permet que </w:t>
      </w:r>
      <w:r w:rsidRPr="000C25AE">
        <w:rPr>
          <w:rFonts w:ascii="Garamond" w:hAnsi="Garamond" w:cs="Times New Roman"/>
          <w:b/>
          <w:bCs/>
          <w:i/>
          <w:iCs/>
          <w:szCs w:val="24"/>
          <w:shd w:val="clear" w:color="auto" w:fill="FFFFFF"/>
        </w:rPr>
        <w:t>« le passé porte sa lumière vers l’avenir »</w:t>
      </w:r>
      <w:r w:rsidRPr="000C25AE">
        <w:rPr>
          <w:rFonts w:ascii="Garamond" w:hAnsi="Garamond" w:cs="Times New Roman"/>
          <w:szCs w:val="24"/>
          <w:shd w:val="clear" w:color="auto" w:fill="FFFFFF"/>
        </w:rPr>
        <w:t>, selon le député Augustin Perrier.</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Cet article n’impose </w:t>
      </w:r>
      <w:r w:rsidRPr="000C25AE">
        <w:rPr>
          <w:rFonts w:ascii="Garamond" w:hAnsi="Garamond" w:cs="Times New Roman"/>
          <w:b/>
          <w:bCs/>
          <w:szCs w:val="24"/>
          <w:shd w:val="clear" w:color="auto" w:fill="FFFFFF"/>
        </w:rPr>
        <w:t>aucun délai dans l’examen et l’adoption de la loi de règlement</w:t>
      </w:r>
      <w:r w:rsidRPr="000C25AE">
        <w:rPr>
          <w:rFonts w:ascii="Garamond" w:hAnsi="Garamond" w:cs="Times New Roman"/>
          <w:szCs w:val="24"/>
          <w:shd w:val="clear" w:color="auto" w:fill="FFFFFF"/>
        </w:rPr>
        <w:t xml:space="preserve">. En effet, </w:t>
      </w:r>
      <w:r w:rsidRPr="000C25AE">
        <w:rPr>
          <w:rFonts w:ascii="Garamond" w:hAnsi="Garamond" w:cs="Times New Roman"/>
          <w:b/>
          <w:bCs/>
          <w:szCs w:val="24"/>
          <w:shd w:val="clear" w:color="auto" w:fill="FFFFFF"/>
        </w:rPr>
        <w:t>il n’est exigé qu’une simple première lecture et le vote peut être négatif</w:t>
      </w:r>
      <w:r w:rsidRPr="000C25AE">
        <w:rPr>
          <w:rFonts w:ascii="Garamond" w:hAnsi="Garamond" w:cs="Times New Roman"/>
          <w:szCs w:val="24"/>
          <w:shd w:val="clear" w:color="auto" w:fill="FFFFFF"/>
        </w:rPr>
        <w:t>.</w:t>
      </w:r>
    </w:p>
    <w:p w:rsidR="00A678F8" w:rsidRPr="000C25AE" w:rsidRDefault="00A678F8" w:rsidP="00A678F8">
      <w:pPr>
        <w:pStyle w:val="Titre5"/>
        <w:spacing w:before="0"/>
        <w:jc w:val="both"/>
        <w:rPr>
          <w:rFonts w:ascii="Garamond" w:hAnsi="Garamond" w:cs="Times New Roman"/>
          <w:color w:val="auto"/>
          <w:szCs w:val="24"/>
          <w:lang w:val="fr-FR"/>
        </w:rPr>
      </w:pPr>
      <w:bookmarkStart w:id="7" w:name="_Toc152863581"/>
      <w:r w:rsidRPr="000C25AE">
        <w:rPr>
          <w:rFonts w:ascii="Garamond" w:hAnsi="Garamond" w:cs="Times New Roman"/>
          <w:color w:val="auto"/>
          <w:szCs w:val="24"/>
          <w:lang w:val="fr-FR"/>
        </w:rPr>
        <w:t xml:space="preserve">B. Le vote </w:t>
      </w:r>
      <w:r>
        <w:rPr>
          <w:rFonts w:ascii="Garamond" w:hAnsi="Garamond" w:cs="Times New Roman"/>
          <w:color w:val="auto"/>
          <w:szCs w:val="24"/>
          <w:lang w:val="fr-FR"/>
        </w:rPr>
        <w:t>du</w:t>
      </w:r>
      <w:r w:rsidRPr="000C25AE">
        <w:rPr>
          <w:rFonts w:ascii="Garamond" w:hAnsi="Garamond" w:cs="Times New Roman"/>
          <w:color w:val="auto"/>
          <w:szCs w:val="24"/>
          <w:lang w:val="fr-FR"/>
        </w:rPr>
        <w:t xml:space="preserve"> </w:t>
      </w:r>
      <w:r w:rsidRPr="00C038F0">
        <w:rPr>
          <w:rFonts w:ascii="Garamond" w:hAnsi="Garamond" w:cs="Times New Roman"/>
          <w:color w:val="auto"/>
          <w:szCs w:val="24"/>
          <w:lang w:val="fr-FR"/>
        </w:rPr>
        <w:t>projet de loi relative aux résultats de la gestion et portant approbation des comptes de l'année</w:t>
      </w:r>
      <w:bookmarkEnd w:id="7"/>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b/>
          <w:bCs/>
          <w:szCs w:val="24"/>
          <w:shd w:val="clear" w:color="auto" w:fill="FFFFFF"/>
        </w:rPr>
        <w:t>La date limite de dépôt du projet de loi de règlement est le 1</w:t>
      </w:r>
      <w:r w:rsidRPr="000C25AE">
        <w:rPr>
          <w:rFonts w:ascii="Garamond" w:hAnsi="Garamond" w:cs="Times New Roman"/>
          <w:b/>
          <w:bCs/>
          <w:szCs w:val="24"/>
          <w:shd w:val="clear" w:color="auto" w:fill="FFFFFF"/>
          <w:vertAlign w:val="superscript"/>
        </w:rPr>
        <w:t>er</w:t>
      </w:r>
      <w:r w:rsidRPr="000C25AE">
        <w:rPr>
          <w:rFonts w:ascii="Garamond" w:hAnsi="Garamond" w:cs="Times New Roman"/>
          <w:b/>
          <w:bCs/>
          <w:szCs w:val="24"/>
          <w:shd w:val="clear" w:color="auto" w:fill="FFFFFF"/>
        </w:rPr>
        <w:t xml:space="preserve"> juin</w:t>
      </w:r>
      <w:r>
        <w:rPr>
          <w:rFonts w:ascii="Garamond" w:hAnsi="Garamond" w:cs="Times New Roman"/>
          <w:b/>
          <w:bCs/>
          <w:szCs w:val="24"/>
          <w:shd w:val="clear" w:color="auto" w:fill="FFFFFF"/>
        </w:rPr>
        <w:t xml:space="preserve"> avant la LO 2021 et, désormais, c’est « avant le 1</w:t>
      </w:r>
      <w:r w:rsidRPr="00C8116E">
        <w:rPr>
          <w:rFonts w:ascii="Garamond" w:hAnsi="Garamond" w:cs="Times New Roman"/>
          <w:b/>
          <w:bCs/>
          <w:szCs w:val="24"/>
          <w:shd w:val="clear" w:color="auto" w:fill="FFFFFF"/>
          <w:vertAlign w:val="superscript"/>
        </w:rPr>
        <w:t>er</w:t>
      </w:r>
      <w:r>
        <w:rPr>
          <w:rFonts w:ascii="Garamond" w:hAnsi="Garamond" w:cs="Times New Roman"/>
          <w:b/>
          <w:bCs/>
          <w:szCs w:val="24"/>
          <w:shd w:val="clear" w:color="auto" w:fill="FFFFFF"/>
        </w:rPr>
        <w:t xml:space="preserve"> mai »</w:t>
      </w:r>
      <w:r w:rsidRPr="000C25AE">
        <w:rPr>
          <w:rFonts w:ascii="Garamond" w:hAnsi="Garamond" w:cs="Times New Roman"/>
          <w:szCs w:val="24"/>
          <w:shd w:val="clear" w:color="auto" w:fill="FFFFFF"/>
        </w:rPr>
        <w:t xml:space="preserve"> </w:t>
      </w:r>
      <w:r>
        <w:rPr>
          <w:rFonts w:ascii="Garamond" w:hAnsi="Garamond" w:cs="Times New Roman"/>
          <w:szCs w:val="24"/>
          <w:shd w:val="clear" w:color="auto" w:fill="FFFFFF"/>
        </w:rPr>
        <w:t>(art. 46 LOLF).</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b/>
          <w:bCs/>
          <w:szCs w:val="24"/>
          <w:shd w:val="clear" w:color="auto" w:fill="FFFFFF"/>
        </w:rPr>
        <w:t>Cependant, cette date limite n’est pas absolue. En effet, même si le dépôt du projet de loi de règlement dépasse les délais impartis, cela n’empêche pas l’examen du projet de loi.</w:t>
      </w:r>
      <w:r w:rsidRPr="000C25AE">
        <w:rPr>
          <w:rFonts w:ascii="Garamond" w:hAnsi="Garamond" w:cs="Times New Roman"/>
          <w:szCs w:val="24"/>
          <w:shd w:val="clear" w:color="auto" w:fill="FFFFFF"/>
        </w:rPr>
        <w:t xml:space="preserve"> Ainsi, en </w:t>
      </w:r>
      <w:r w:rsidRPr="000C25AE">
        <w:rPr>
          <w:rFonts w:ascii="Garamond" w:hAnsi="Garamond" w:cs="Times New Roman"/>
          <w:b/>
          <w:bCs/>
          <w:szCs w:val="24"/>
          <w:shd w:val="clear" w:color="auto" w:fill="FFFFFF"/>
        </w:rPr>
        <w:t>2007</w:t>
      </w:r>
      <w:r w:rsidRPr="000C25AE">
        <w:rPr>
          <w:rFonts w:ascii="Garamond" w:hAnsi="Garamond" w:cs="Times New Roman"/>
          <w:szCs w:val="24"/>
          <w:shd w:val="clear" w:color="auto" w:fill="FFFFFF"/>
        </w:rPr>
        <w:t xml:space="preserve">, le dépôt du projet de loi ne fut effectif que </w:t>
      </w:r>
      <w:r w:rsidRPr="000C25AE">
        <w:rPr>
          <w:rFonts w:ascii="Garamond" w:hAnsi="Garamond" w:cs="Times New Roman"/>
          <w:b/>
          <w:bCs/>
          <w:szCs w:val="24"/>
          <w:shd w:val="clear" w:color="auto" w:fill="FFFFFF"/>
        </w:rPr>
        <w:t>tardivement à cause des élections</w:t>
      </w:r>
      <w:r w:rsidRPr="000C25AE">
        <w:rPr>
          <w:rFonts w:ascii="Garamond" w:hAnsi="Garamond" w:cs="Times New Roman"/>
          <w:szCs w:val="24"/>
          <w:shd w:val="clear" w:color="auto" w:fill="FFFFFF"/>
        </w:rPr>
        <w:t xml:space="preserve"> législatives, puisqu’il eut lieu le </w:t>
      </w:r>
      <w:r w:rsidRPr="000C25AE">
        <w:rPr>
          <w:rFonts w:ascii="Garamond" w:hAnsi="Garamond" w:cs="Times New Roman"/>
          <w:b/>
          <w:bCs/>
          <w:szCs w:val="24"/>
          <w:shd w:val="clear" w:color="auto" w:fill="FFFFFF"/>
        </w:rPr>
        <w:t>27 juin</w:t>
      </w:r>
      <w:r w:rsidRPr="000C25AE">
        <w:rPr>
          <w:rFonts w:ascii="Garamond" w:hAnsi="Garamond" w:cs="Times New Roman"/>
          <w:szCs w:val="24"/>
          <w:shd w:val="clear" w:color="auto" w:fill="FFFFFF"/>
        </w:rPr>
        <w:t xml:space="preserve">. Cela n’a pas empêché son </w:t>
      </w:r>
      <w:r w:rsidRPr="000C25AE">
        <w:rPr>
          <w:rFonts w:ascii="Garamond" w:hAnsi="Garamond" w:cs="Times New Roman"/>
          <w:b/>
          <w:bCs/>
          <w:szCs w:val="24"/>
          <w:shd w:val="clear" w:color="auto" w:fill="FFFFFF"/>
        </w:rPr>
        <w:t>adoption</w:t>
      </w:r>
      <w:r w:rsidRPr="000C25AE">
        <w:rPr>
          <w:rFonts w:ascii="Garamond" w:hAnsi="Garamond" w:cs="Times New Roman"/>
          <w:szCs w:val="24"/>
          <w:shd w:val="clear" w:color="auto" w:fill="FFFFFF"/>
        </w:rPr>
        <w:t>.</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b/>
          <w:bCs/>
          <w:szCs w:val="24"/>
          <w:shd w:val="clear" w:color="auto" w:fill="FFFFFF"/>
        </w:rPr>
        <w:t>En principe, son examen n’intéresse que la Commission des finances mais, en 2007, cinq autres commissions s’étaient saisies</w:t>
      </w:r>
      <w:r w:rsidRPr="000C25AE">
        <w:rPr>
          <w:rFonts w:ascii="Garamond" w:hAnsi="Garamond" w:cs="Times New Roman"/>
          <w:szCs w:val="24"/>
          <w:shd w:val="clear" w:color="auto" w:fill="FFFFFF"/>
        </w:rPr>
        <w:t xml:space="preserve">. </w:t>
      </w:r>
      <w:r>
        <w:rPr>
          <w:rFonts w:ascii="Garamond" w:hAnsi="Garamond" w:cs="Times New Roman"/>
          <w:szCs w:val="24"/>
          <w:shd w:val="clear" w:color="auto" w:fill="FFFFFF"/>
        </w:rPr>
        <w:t>S</w:t>
      </w:r>
      <w:r w:rsidRPr="000C25AE">
        <w:rPr>
          <w:rFonts w:ascii="Garamond" w:hAnsi="Garamond" w:cs="Times New Roman"/>
          <w:szCs w:val="24"/>
          <w:shd w:val="clear" w:color="auto" w:fill="FFFFFF"/>
        </w:rPr>
        <w:t xml:space="preserve">eule une d’entre elles avait publié son avis. Dans ce cadre, la Commission des finances </w:t>
      </w:r>
      <w:r w:rsidRPr="000C25AE">
        <w:rPr>
          <w:rFonts w:ascii="Garamond" w:hAnsi="Garamond" w:cs="Times New Roman"/>
          <w:b/>
          <w:bCs/>
          <w:szCs w:val="24"/>
          <w:shd w:val="clear" w:color="auto" w:fill="FFFFFF"/>
        </w:rPr>
        <w:t>auditionne</w:t>
      </w:r>
      <w:r w:rsidRPr="000C25AE">
        <w:rPr>
          <w:rFonts w:ascii="Garamond" w:hAnsi="Garamond" w:cs="Times New Roman"/>
          <w:szCs w:val="24"/>
          <w:shd w:val="clear" w:color="auto" w:fill="FFFFFF"/>
        </w:rPr>
        <w:t xml:space="preserve"> le </w:t>
      </w:r>
      <w:r w:rsidRPr="008945CE">
        <w:rPr>
          <w:rFonts w:ascii="Garamond" w:hAnsi="Garamond" w:cs="Times New Roman"/>
          <w:szCs w:val="24"/>
          <w:u w:val="single"/>
          <w:shd w:val="clear" w:color="auto" w:fill="FFFFFF"/>
        </w:rPr>
        <w:t>Gouvernement</w:t>
      </w:r>
      <w:r w:rsidRPr="000C25AE">
        <w:rPr>
          <w:rFonts w:ascii="Garamond" w:hAnsi="Garamond" w:cs="Times New Roman"/>
          <w:szCs w:val="24"/>
          <w:shd w:val="clear" w:color="auto" w:fill="FFFFFF"/>
        </w:rPr>
        <w:t xml:space="preserve"> après sa délibération en Conseil des ministres, ainsi que le </w:t>
      </w:r>
      <w:r w:rsidRPr="008945CE">
        <w:rPr>
          <w:rFonts w:ascii="Garamond" w:hAnsi="Garamond" w:cs="Times New Roman"/>
          <w:szCs w:val="24"/>
          <w:u w:val="single"/>
          <w:shd w:val="clear" w:color="auto" w:fill="FFFFFF"/>
        </w:rPr>
        <w:t>premier Président de la Cour des comptes</w:t>
      </w:r>
      <w:r w:rsidRPr="000C25AE">
        <w:rPr>
          <w:rFonts w:ascii="Garamond" w:hAnsi="Garamond" w:cs="Times New Roman"/>
          <w:szCs w:val="24"/>
          <w:shd w:val="clear" w:color="auto" w:fill="FFFFFF"/>
        </w:rPr>
        <w:t xml:space="preserve"> sur la certification des comptes de l’État et sur le rapport relatif à la gestion de l’exercice considéré. Ensuite, le projet de loi est examiné en Commission des finances à la lumière du </w:t>
      </w:r>
      <w:r w:rsidRPr="000C25AE">
        <w:rPr>
          <w:rFonts w:ascii="Garamond" w:hAnsi="Garamond" w:cs="Times New Roman"/>
          <w:b/>
          <w:bCs/>
          <w:szCs w:val="24"/>
          <w:shd w:val="clear" w:color="auto" w:fill="FFFFFF"/>
        </w:rPr>
        <w:t>rapport général</w:t>
      </w:r>
      <w:r w:rsidRPr="000C25AE">
        <w:rPr>
          <w:rFonts w:ascii="Garamond" w:hAnsi="Garamond" w:cs="Times New Roman"/>
          <w:szCs w:val="24"/>
          <w:shd w:val="clear" w:color="auto" w:fill="FFFFFF"/>
        </w:rPr>
        <w:t xml:space="preserve">. </w:t>
      </w:r>
      <w:r w:rsidRPr="000C25AE">
        <w:rPr>
          <w:rFonts w:ascii="Garamond" w:hAnsi="Garamond" w:cs="Times New Roman"/>
          <w:b/>
          <w:bCs/>
          <w:szCs w:val="24"/>
          <w:shd w:val="clear" w:color="auto" w:fill="FFFFFF"/>
        </w:rPr>
        <w:t>Que ce soit en commission ou en hémicycle, la durée des débats est généralement brève</w:t>
      </w:r>
      <w:r w:rsidRPr="000C25AE">
        <w:rPr>
          <w:rFonts w:ascii="Garamond" w:hAnsi="Garamond" w:cs="Times New Roman"/>
          <w:szCs w:val="24"/>
          <w:shd w:val="clear" w:color="auto" w:fill="FFFFFF"/>
        </w:rPr>
        <w:t xml:space="preserve"> (1h30 est prévue pour la discussion générale dans le second cas).</w:t>
      </w:r>
    </w:p>
    <w:p w:rsidR="00A678F8" w:rsidRPr="00BE7947" w:rsidRDefault="00A678F8" w:rsidP="00A678F8">
      <w:pPr>
        <w:widowControl w:val="0"/>
        <w:spacing w:line="240" w:lineRule="auto"/>
        <w:ind w:firstLine="708"/>
        <w:rPr>
          <w:rFonts w:ascii="Garamond" w:hAnsi="Garamond" w:cs="Times New Roman"/>
          <w:szCs w:val="24"/>
          <w:shd w:val="clear" w:color="auto" w:fill="FFFFFF"/>
        </w:rPr>
      </w:pPr>
      <w:r w:rsidRPr="00BE7947">
        <w:rPr>
          <w:rFonts w:ascii="Garamond" w:hAnsi="Garamond" w:cs="Times New Roman"/>
          <w:szCs w:val="24"/>
          <w:shd w:val="clear" w:color="auto" w:fill="FFFFFF"/>
        </w:rPr>
        <w:t xml:space="preserve">Comme l’indique l’article </w:t>
      </w:r>
      <w:r w:rsidRPr="00BE7947">
        <w:rPr>
          <w:rFonts w:ascii="Garamond" w:hAnsi="Garamond" w:cs="Times New Roman"/>
          <w:b/>
          <w:bCs/>
          <w:szCs w:val="24"/>
          <w:shd w:val="clear" w:color="auto" w:fill="FFFFFF"/>
        </w:rPr>
        <w:t>41</w:t>
      </w:r>
      <w:r w:rsidRPr="00BE7947">
        <w:rPr>
          <w:rFonts w:ascii="Garamond" w:hAnsi="Garamond" w:cs="Times New Roman"/>
          <w:szCs w:val="24"/>
          <w:shd w:val="clear" w:color="auto" w:fill="FFFFFF"/>
        </w:rPr>
        <w:t xml:space="preserve"> de la loi organique, </w:t>
      </w:r>
      <w:r w:rsidRPr="00BE7947">
        <w:rPr>
          <w:rFonts w:ascii="Garamond" w:hAnsi="Garamond" w:cs="Times New Roman"/>
          <w:b/>
          <w:bCs/>
          <w:szCs w:val="24"/>
          <w:shd w:val="clear" w:color="auto" w:fill="FFFFFF"/>
        </w:rPr>
        <w:t>la loi de règlement doit être votée en première lecture par l’Assemblée nationale avant la discussion du projet de loi de finances</w:t>
      </w:r>
      <w:r w:rsidRPr="00BE7947">
        <w:rPr>
          <w:rFonts w:ascii="Garamond" w:hAnsi="Garamond" w:cs="Times New Roman"/>
          <w:szCs w:val="24"/>
          <w:shd w:val="clear" w:color="auto" w:fill="FFFFFF"/>
        </w:rPr>
        <w:t>. C’est ce que l’on appelle le</w:t>
      </w:r>
      <w:r w:rsidRPr="00BE7947">
        <w:rPr>
          <w:rFonts w:ascii="Garamond" w:hAnsi="Garamond" w:cs="Times New Roman"/>
          <w:i/>
          <w:iCs/>
          <w:szCs w:val="24"/>
          <w:shd w:val="clear" w:color="auto" w:fill="FFFFFF"/>
        </w:rPr>
        <w:t xml:space="preserve"> « </w:t>
      </w:r>
      <w:r w:rsidRPr="00BE7947">
        <w:rPr>
          <w:rFonts w:ascii="Garamond" w:hAnsi="Garamond" w:cs="Times New Roman"/>
          <w:b/>
          <w:bCs/>
          <w:i/>
          <w:iCs/>
          <w:szCs w:val="24"/>
          <w:shd w:val="clear" w:color="auto" w:fill="FFFFFF"/>
        </w:rPr>
        <w:t>chaînage vertueux</w:t>
      </w:r>
      <w:r w:rsidRPr="00BE7947">
        <w:rPr>
          <w:rFonts w:ascii="Garamond" w:hAnsi="Garamond" w:cs="Times New Roman"/>
          <w:i/>
          <w:iCs/>
          <w:szCs w:val="24"/>
          <w:shd w:val="clear" w:color="auto" w:fill="FFFFFF"/>
        </w:rPr>
        <w:t> »</w:t>
      </w:r>
      <w:r w:rsidRPr="00BE7947">
        <w:rPr>
          <w:rFonts w:ascii="Garamond" w:hAnsi="Garamond" w:cs="Times New Roman"/>
          <w:szCs w:val="24"/>
          <w:shd w:val="clear" w:color="auto" w:fill="FFFFFF"/>
        </w:rPr>
        <w:t xml:space="preserve"> ou </w:t>
      </w:r>
      <w:r w:rsidRPr="00BE7947">
        <w:rPr>
          <w:rFonts w:ascii="Garamond" w:hAnsi="Garamond" w:cs="Times New Roman"/>
          <w:i/>
          <w:iCs/>
          <w:szCs w:val="24"/>
          <w:shd w:val="clear" w:color="auto" w:fill="FFFFFF"/>
        </w:rPr>
        <w:t>« calendrier vertueux »</w:t>
      </w:r>
      <w:r w:rsidRPr="00BE7947">
        <w:rPr>
          <w:rFonts w:ascii="Garamond" w:hAnsi="Garamond" w:cs="Times New Roman"/>
          <w:szCs w:val="24"/>
          <w:shd w:val="clear" w:color="auto" w:fill="FFFFFF"/>
        </w:rPr>
        <w:t xml:space="preserve">. Cela permet de </w:t>
      </w:r>
      <w:r w:rsidRPr="00BE7947">
        <w:rPr>
          <w:rFonts w:ascii="Garamond" w:hAnsi="Garamond" w:cs="Times New Roman"/>
          <w:b/>
          <w:bCs/>
          <w:szCs w:val="24"/>
          <w:shd w:val="clear" w:color="auto" w:fill="FFFFFF"/>
        </w:rPr>
        <w:t>mettre en parallèle l’examen des projets annuels de performance pour l’année à venir et les rapports annuels de performance</w:t>
      </w:r>
      <w:r w:rsidRPr="00BE7947">
        <w:rPr>
          <w:rFonts w:ascii="Garamond" w:hAnsi="Garamond" w:cs="Times New Roman"/>
          <w:szCs w:val="24"/>
          <w:shd w:val="clear" w:color="auto" w:fill="FFFFFF"/>
        </w:rPr>
        <w:t xml:space="preserve"> </w:t>
      </w:r>
      <w:r w:rsidRPr="00BE7947">
        <w:rPr>
          <w:rFonts w:ascii="Garamond" w:hAnsi="Garamond" w:cs="Times New Roman"/>
          <w:b/>
          <w:bCs/>
          <w:szCs w:val="24"/>
          <w:shd w:val="clear" w:color="auto" w:fill="FFFFFF"/>
        </w:rPr>
        <w:t>de l’année précédente.</w:t>
      </w:r>
    </w:p>
    <w:p w:rsidR="00A678F8" w:rsidRPr="000C25AE"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szCs w:val="24"/>
          <w:shd w:val="clear" w:color="auto" w:fill="FFFFFF"/>
        </w:rPr>
        <w:t xml:space="preserve">Il faut également noter que </w:t>
      </w:r>
      <w:r w:rsidRPr="000C25AE">
        <w:rPr>
          <w:rFonts w:ascii="Garamond" w:hAnsi="Garamond" w:cs="Times New Roman"/>
          <w:szCs w:val="24"/>
          <w:u w:val="single"/>
          <w:shd w:val="clear" w:color="auto" w:fill="FFFFFF"/>
        </w:rPr>
        <w:t>ce calendrier intègre une clôture des comptes plus tôt dans l’année, puisque la période complémentaire n’est plus que de vingt jours depuis 2006, contre environ neuf semaines auparavant</w:t>
      </w:r>
      <w:r w:rsidRPr="000C25AE">
        <w:rPr>
          <w:rFonts w:ascii="Garamond" w:hAnsi="Garamond" w:cs="Times New Roman"/>
          <w:szCs w:val="24"/>
          <w:shd w:val="clear" w:color="auto" w:fill="FFFFFF"/>
        </w:rPr>
        <w:t xml:space="preserve">. La reddition des comptes devant le Parlement est ainsi plus précoce. Ce « chaînage vertueux » peut être interprété comme une </w:t>
      </w:r>
      <w:r w:rsidRPr="000C25AE">
        <w:rPr>
          <w:rFonts w:ascii="Garamond" w:hAnsi="Garamond" w:cs="Times New Roman"/>
          <w:b/>
          <w:bCs/>
          <w:szCs w:val="24"/>
          <w:shd w:val="clear" w:color="auto" w:fill="FFFFFF"/>
        </w:rPr>
        <w:t>rationalisation du processus budgétaire, dans une logique nouvelle de performance et de résultats</w:t>
      </w:r>
      <w:r w:rsidRPr="000C25AE">
        <w:rPr>
          <w:rFonts w:ascii="Garamond" w:hAnsi="Garamond" w:cs="Times New Roman"/>
          <w:szCs w:val="24"/>
          <w:shd w:val="clear" w:color="auto" w:fill="FFFFFF"/>
        </w:rPr>
        <w:t>.</w:t>
      </w:r>
    </w:p>
    <w:p w:rsidR="00A678F8" w:rsidRDefault="00A678F8" w:rsidP="00A678F8">
      <w:pPr>
        <w:widowControl w:val="0"/>
        <w:spacing w:line="240" w:lineRule="auto"/>
        <w:ind w:firstLine="708"/>
        <w:rPr>
          <w:rFonts w:ascii="Garamond" w:hAnsi="Garamond" w:cs="Times New Roman"/>
          <w:szCs w:val="24"/>
          <w:shd w:val="clear" w:color="auto" w:fill="FFFFFF"/>
        </w:rPr>
      </w:pPr>
      <w:r w:rsidRPr="000C25AE">
        <w:rPr>
          <w:rFonts w:ascii="Garamond" w:hAnsi="Garamond" w:cs="Times New Roman"/>
          <w:b/>
          <w:bCs/>
          <w:szCs w:val="24"/>
          <w:shd w:val="clear" w:color="auto" w:fill="FFFFFF"/>
        </w:rPr>
        <w:t>Néanmoins, malgré les efforts mis en place avec la loi organique, la revalorisation de la loi de règlement n’a pas suscité un plus grand intérêt des parlementaires</w:t>
      </w:r>
      <w:r w:rsidRPr="000C25AE">
        <w:rPr>
          <w:rFonts w:ascii="Garamond" w:hAnsi="Garamond" w:cs="Times New Roman"/>
          <w:szCs w:val="24"/>
          <w:shd w:val="clear" w:color="auto" w:fill="FFFFFF"/>
        </w:rPr>
        <w:t xml:space="preserve">. La </w:t>
      </w:r>
      <w:r w:rsidRPr="000C25AE">
        <w:rPr>
          <w:rFonts w:ascii="Garamond" w:hAnsi="Garamond" w:cs="Times New Roman"/>
          <w:b/>
          <w:bCs/>
          <w:szCs w:val="24"/>
          <w:shd w:val="clear" w:color="auto" w:fill="FFFFFF"/>
        </w:rPr>
        <w:t>Cour des comptes</w:t>
      </w:r>
      <w:r w:rsidRPr="000C25AE">
        <w:rPr>
          <w:rFonts w:ascii="Garamond" w:hAnsi="Garamond" w:cs="Times New Roman"/>
          <w:szCs w:val="24"/>
          <w:shd w:val="clear" w:color="auto" w:fill="FFFFFF"/>
        </w:rPr>
        <w:t xml:space="preserve"> a ainsi pu déplorer en </w:t>
      </w:r>
      <w:r w:rsidRPr="000C25AE">
        <w:rPr>
          <w:rFonts w:ascii="Garamond" w:hAnsi="Garamond" w:cs="Times New Roman"/>
          <w:b/>
          <w:bCs/>
          <w:szCs w:val="24"/>
          <w:shd w:val="clear" w:color="auto" w:fill="FFFFFF"/>
        </w:rPr>
        <w:t>2011</w:t>
      </w:r>
      <w:r w:rsidRPr="000C25AE">
        <w:rPr>
          <w:rFonts w:ascii="Garamond" w:hAnsi="Garamond" w:cs="Times New Roman"/>
          <w:szCs w:val="24"/>
          <w:shd w:val="clear" w:color="auto" w:fill="FFFFFF"/>
        </w:rPr>
        <w:t xml:space="preserve"> </w:t>
      </w:r>
      <w:r w:rsidRPr="000C25AE">
        <w:rPr>
          <w:rFonts w:ascii="Garamond" w:hAnsi="Garamond" w:cs="Times New Roman"/>
          <w:i/>
          <w:iCs/>
          <w:szCs w:val="24"/>
          <w:shd w:val="clear" w:color="auto" w:fill="FFFFFF"/>
        </w:rPr>
        <w:t>«</w:t>
      </w:r>
      <w:r w:rsidRPr="000C25AE">
        <w:rPr>
          <w:rStyle w:val="citation"/>
          <w:rFonts w:ascii="Garamond" w:hAnsi="Garamond" w:cs="Times New Roman"/>
          <w:i/>
          <w:iCs/>
          <w:szCs w:val="24"/>
          <w:shd w:val="clear" w:color="auto" w:fill="FFFFFF"/>
        </w:rPr>
        <w:t> l’absence d’intérêt renouvelé pour le projet de loi de règlement</w:t>
      </w:r>
      <w:r w:rsidRPr="000C25AE">
        <w:rPr>
          <w:rFonts w:ascii="Garamond" w:hAnsi="Garamond" w:cs="Times New Roman"/>
          <w:i/>
          <w:iCs/>
          <w:szCs w:val="24"/>
          <w:shd w:val="clear" w:color="auto" w:fill="FFFFFF"/>
        </w:rPr>
        <w:t> »</w:t>
      </w:r>
      <w:r w:rsidRPr="000C25AE">
        <w:rPr>
          <w:rFonts w:ascii="Garamond" w:hAnsi="Garamond" w:cs="Times New Roman"/>
          <w:szCs w:val="24"/>
          <w:shd w:val="clear" w:color="auto" w:fill="FFFFFF"/>
        </w:rPr>
        <w:t xml:space="preserve">. Ce désintérêt est </w:t>
      </w:r>
      <w:r w:rsidRPr="000C25AE">
        <w:rPr>
          <w:rFonts w:ascii="Garamond" w:hAnsi="Garamond" w:cs="Times New Roman"/>
          <w:b/>
          <w:bCs/>
          <w:szCs w:val="24"/>
          <w:shd w:val="clear" w:color="auto" w:fill="FFFFFF"/>
        </w:rPr>
        <w:t>manifeste dans les journaux officiels</w:t>
      </w:r>
      <w:r w:rsidRPr="000C25AE">
        <w:rPr>
          <w:rFonts w:ascii="Garamond" w:hAnsi="Garamond" w:cs="Times New Roman"/>
          <w:szCs w:val="24"/>
          <w:shd w:val="clear" w:color="auto" w:fill="FFFFFF"/>
        </w:rPr>
        <w:t xml:space="preserve"> dans lesquels </w:t>
      </w:r>
      <w:r w:rsidRPr="000C25AE">
        <w:rPr>
          <w:rFonts w:ascii="Garamond" w:hAnsi="Garamond" w:cs="Times New Roman"/>
          <w:szCs w:val="24"/>
          <w:u w:val="single"/>
          <w:shd w:val="clear" w:color="auto" w:fill="FFFFFF"/>
        </w:rPr>
        <w:t>la transcription des débats du projet de loi de règlement ne représente que quelques colonnes contre des numéros complets pour le projet de loi de finances initiale</w:t>
      </w:r>
      <w:r w:rsidRPr="000C25AE">
        <w:rPr>
          <w:rFonts w:ascii="Garamond" w:hAnsi="Garamond" w:cs="Times New Roman"/>
          <w:szCs w:val="24"/>
          <w:shd w:val="clear" w:color="auto" w:fill="FFFFFF"/>
        </w:rPr>
        <w:t>.</w:t>
      </w:r>
    </w:p>
    <w:p w:rsidR="00CD5EA5" w:rsidRPr="000C25AE" w:rsidRDefault="00CD5EA5" w:rsidP="00A678F8">
      <w:pPr>
        <w:widowControl w:val="0"/>
        <w:spacing w:line="240" w:lineRule="auto"/>
        <w:ind w:firstLine="708"/>
        <w:rPr>
          <w:rFonts w:ascii="Garamond" w:hAnsi="Garamond" w:cs="Times New Roman"/>
          <w:szCs w:val="24"/>
          <w:shd w:val="clear" w:color="auto" w:fill="FFFFFF"/>
        </w:rPr>
      </w:pPr>
    </w:p>
    <w:p w:rsidR="00A678F8" w:rsidRPr="000C25AE" w:rsidRDefault="00A678F8" w:rsidP="00A678F8">
      <w:pPr>
        <w:pStyle w:val="Titre4"/>
        <w:spacing w:before="0"/>
        <w:jc w:val="both"/>
        <w:rPr>
          <w:rFonts w:ascii="Garamond" w:hAnsi="Garamond" w:cs="Times New Roman"/>
          <w:color w:val="auto"/>
          <w:szCs w:val="24"/>
          <w:lang w:val="fr-FR"/>
        </w:rPr>
      </w:pPr>
      <w:bookmarkStart w:id="8" w:name="_Toc152863583"/>
      <w:r w:rsidRPr="000C25AE">
        <w:rPr>
          <w:rFonts w:ascii="Garamond" w:hAnsi="Garamond" w:cs="Times New Roman"/>
          <w:color w:val="auto"/>
          <w:szCs w:val="24"/>
          <w:lang w:val="fr-FR"/>
        </w:rPr>
        <w:t>IV. Les insuffisances du contrôle parlementaire</w:t>
      </w:r>
      <w:bookmarkEnd w:id="8"/>
    </w:p>
    <w:p w:rsidR="00A678F8" w:rsidRPr="000C25AE" w:rsidRDefault="00A678F8" w:rsidP="00A678F8">
      <w:pPr>
        <w:pStyle w:val="Titre5"/>
        <w:spacing w:before="0"/>
        <w:jc w:val="both"/>
        <w:rPr>
          <w:rFonts w:ascii="Garamond" w:hAnsi="Garamond" w:cs="Times New Roman"/>
          <w:color w:val="auto"/>
          <w:szCs w:val="24"/>
        </w:rPr>
      </w:pPr>
      <w:bookmarkStart w:id="9" w:name="_Toc152863584"/>
      <w:r w:rsidRPr="000C25AE">
        <w:rPr>
          <w:rFonts w:ascii="Garamond" w:hAnsi="Garamond" w:cs="Times New Roman"/>
          <w:color w:val="auto"/>
          <w:szCs w:val="24"/>
        </w:rPr>
        <w:t xml:space="preserve">A. Des </w:t>
      </w:r>
      <w:proofErr w:type="spellStart"/>
      <w:r w:rsidRPr="000C25AE">
        <w:rPr>
          <w:rFonts w:ascii="Garamond" w:hAnsi="Garamond" w:cs="Times New Roman"/>
          <w:color w:val="auto"/>
          <w:szCs w:val="24"/>
        </w:rPr>
        <w:t>limites</w:t>
      </w:r>
      <w:proofErr w:type="spellEnd"/>
      <w:r w:rsidRPr="000C25AE">
        <w:rPr>
          <w:rFonts w:ascii="Garamond" w:hAnsi="Garamond" w:cs="Times New Roman"/>
          <w:color w:val="auto"/>
          <w:szCs w:val="24"/>
        </w:rPr>
        <w:t xml:space="preserve"> </w:t>
      </w:r>
      <w:proofErr w:type="spellStart"/>
      <w:r w:rsidRPr="000C25AE">
        <w:rPr>
          <w:rFonts w:ascii="Garamond" w:hAnsi="Garamond" w:cs="Times New Roman"/>
          <w:color w:val="auto"/>
          <w:szCs w:val="24"/>
        </w:rPr>
        <w:t>pratiques</w:t>
      </w:r>
      <w:bookmarkEnd w:id="9"/>
      <w:proofErr w:type="spellEnd"/>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bCs/>
          <w:szCs w:val="24"/>
          <w:u w:val="single"/>
        </w:rPr>
        <w:t>Débat sur l’opportunité des critères</w:t>
      </w:r>
      <w:r w:rsidRPr="000C25AE">
        <w:rPr>
          <w:rFonts w:ascii="Garamond" w:hAnsi="Garamond" w:cs="Times New Roman"/>
          <w:bCs/>
          <w:szCs w:val="24"/>
        </w:rPr>
        <w:t xml:space="preserve"> retenus : </w:t>
      </w:r>
      <w:r w:rsidRPr="000C25AE">
        <w:rPr>
          <w:rFonts w:ascii="Garamond" w:hAnsi="Garamond" w:cs="Times New Roman"/>
          <w:bCs/>
          <w:szCs w:val="24"/>
          <w:u w:val="single"/>
        </w:rPr>
        <w:t>les notions de profit, de valeur ajoutée, de bénéfice, ne sont pas transposables à l'action publique, d'où le débat sur les indicateurs de performance : si ceux-ci peuvent appréhender des notions quantifiées</w:t>
      </w:r>
      <w:r w:rsidRPr="000C25AE">
        <w:rPr>
          <w:rFonts w:ascii="Garamond" w:hAnsi="Garamond" w:cs="Times New Roman"/>
          <w:szCs w:val="24"/>
        </w:rPr>
        <w:t xml:space="preserve"> : le temps – délais de </w:t>
      </w:r>
      <w:r w:rsidRPr="000C25AE">
        <w:rPr>
          <w:rFonts w:ascii="Garamond" w:hAnsi="Garamond" w:cs="Times New Roman"/>
          <w:szCs w:val="24"/>
        </w:rPr>
        <w:lastRenderedPageBreak/>
        <w:t xml:space="preserve">jugement, durée des embouteillages – la dépense, le fonctionnement matériel d'un bien à disposition du public, les conditions d'accueil des administrés, etc. </w:t>
      </w:r>
      <w:r w:rsidRPr="000C25AE">
        <w:rPr>
          <w:rFonts w:ascii="Garamond" w:hAnsi="Garamond" w:cs="Times New Roman"/>
          <w:szCs w:val="24"/>
          <w:u w:val="single"/>
        </w:rPr>
        <w:t>il est parfois plus difficile de mettre en corrélation de tels éléments avec les résultats atteints</w:t>
      </w:r>
      <w:r w:rsidRPr="000C25AE">
        <w:rPr>
          <w:rFonts w:ascii="Garamond" w:hAnsi="Garamond" w:cs="Times New Roman"/>
          <w:szCs w:val="24"/>
        </w:rPr>
        <w:t xml:space="preserve"> : pour un magistrat la durée d'une instance n'est jamais une durée moyenne ; l'évolution du nombre d'interpellations, la proportion de contrôles d'alcoolémie positifs ou le nombre de gardes à vue peuvent être interprétés dans deux sens totalement différents. </w:t>
      </w:r>
      <w:r w:rsidRPr="000C25AE">
        <w:rPr>
          <w:rFonts w:ascii="Garamond" w:hAnsi="Garamond" w:cs="Times New Roman"/>
          <w:szCs w:val="24"/>
          <w:u w:val="single"/>
        </w:rPr>
        <w:t>Le succès d'une autorité administrative ne se mesure pas aux sanctions qu'elle prononce, mais à la régulation d'ensemble qu'elle assure, etc</w:t>
      </w:r>
      <w:r w:rsidRPr="000C25AE">
        <w:rPr>
          <w:rFonts w:ascii="Garamond" w:hAnsi="Garamond" w:cs="Times New Roman"/>
          <w:szCs w:val="24"/>
        </w:rPr>
        <w:t>.</w:t>
      </w:r>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szCs w:val="24"/>
          <w:u w:val="single"/>
        </w:rPr>
        <w:t>Complexité</w:t>
      </w:r>
      <w:r w:rsidRPr="000C25AE">
        <w:rPr>
          <w:rFonts w:ascii="Garamond" w:hAnsi="Garamond" w:cs="Times New Roman"/>
          <w:szCs w:val="24"/>
        </w:rPr>
        <w:t xml:space="preserve"> de l'évaluation. Pour s'en tenir à la seule loi de finances, on compte, outre la mission « pouvoirs publics », </w:t>
      </w:r>
      <w:r w:rsidRPr="000C25AE">
        <w:rPr>
          <w:rFonts w:ascii="Garamond" w:hAnsi="Garamond" w:cs="Times New Roman"/>
          <w:szCs w:val="24"/>
          <w:u w:val="single"/>
        </w:rPr>
        <w:t>31 missions à programmes dans le budget général, 2 budgets annexes, 15 comptes spéciaux</w:t>
      </w:r>
      <w:r w:rsidRPr="000C25AE">
        <w:rPr>
          <w:rFonts w:ascii="Garamond" w:hAnsi="Garamond" w:cs="Times New Roman"/>
          <w:szCs w:val="24"/>
        </w:rPr>
        <w:t xml:space="preserve">. Ces unités de vote représentent, pour le budget général, </w:t>
      </w:r>
      <w:r w:rsidRPr="000C25AE">
        <w:rPr>
          <w:rFonts w:ascii="Garamond" w:hAnsi="Garamond" w:cs="Times New Roman"/>
          <w:szCs w:val="24"/>
          <w:u w:val="single"/>
        </w:rPr>
        <w:t>124 programmes, 419 objectifs, 891 indicateurs</w:t>
      </w:r>
      <w:r w:rsidRPr="000C25AE">
        <w:rPr>
          <w:rFonts w:ascii="Garamond" w:hAnsi="Garamond" w:cs="Times New Roman"/>
          <w:szCs w:val="24"/>
        </w:rPr>
        <w:t>. Les indicateurs d'efficacité représentent 48 % du total, ceux qui appréhendent la qualité du service public 19 %, et les indicateurs d'efficience – destinés au contribuable – 33 %. Comment parvenir à une évaluation dans un ensemble aussi diversifié ?</w:t>
      </w:r>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szCs w:val="24"/>
        </w:rPr>
        <w:t xml:space="preserve">L'évaluation pose un </w:t>
      </w:r>
      <w:r w:rsidRPr="000C25AE">
        <w:rPr>
          <w:rFonts w:ascii="Garamond" w:hAnsi="Garamond" w:cs="Times New Roman"/>
          <w:bCs/>
          <w:szCs w:val="24"/>
          <w:u w:val="single"/>
        </w:rPr>
        <w:t>problème récurrent : celui du recours à des expertises spécialisées. Le Parlement doit compter sur ses propres forces : ses experts, affirme le Conseil constitutionnel, ne peuvent dépendre de l'exécutif, séparation des pouvoirs oblige</w:t>
      </w:r>
      <w:r w:rsidRPr="000C25AE">
        <w:rPr>
          <w:rFonts w:ascii="Garamond" w:hAnsi="Garamond" w:cs="Times New Roman"/>
          <w:szCs w:val="24"/>
        </w:rPr>
        <w:t xml:space="preserve"> (n° 2009-581 DC du 25 juin 2009, cons. 61). Outre l'apport de plus en plus manifeste de la Cour des comptes, existe la possibilité de </w:t>
      </w:r>
      <w:r w:rsidRPr="000C25AE">
        <w:rPr>
          <w:rFonts w:ascii="Garamond" w:hAnsi="Garamond" w:cs="Times New Roman"/>
          <w:bCs/>
          <w:szCs w:val="24"/>
          <w:u w:val="single"/>
        </w:rPr>
        <w:t>mobiliser des expertises indépendantes</w:t>
      </w:r>
      <w:r w:rsidRPr="000C25AE">
        <w:rPr>
          <w:rFonts w:ascii="Garamond" w:hAnsi="Garamond" w:cs="Times New Roman"/>
          <w:szCs w:val="24"/>
        </w:rPr>
        <w:t xml:space="preserve">, possibilité utilisée par le CEC. </w:t>
      </w:r>
      <w:r w:rsidRPr="000C25AE">
        <w:rPr>
          <w:rFonts w:ascii="Garamond" w:hAnsi="Garamond" w:cs="Times New Roman"/>
          <w:szCs w:val="24"/>
          <w:u w:val="single"/>
        </w:rPr>
        <w:t>Mais les dépenses publiques entrent malaisément dans le cadre d'audits comme ceux d'une entreprise que ces experts sont habitués à conduire : derrière la dépense, il y a naturellement un service public, et des priorités politiques</w:t>
      </w:r>
      <w:r w:rsidRPr="000C25AE">
        <w:rPr>
          <w:rFonts w:ascii="Garamond" w:hAnsi="Garamond" w:cs="Times New Roman"/>
          <w:szCs w:val="24"/>
        </w:rPr>
        <w:t>.</w:t>
      </w:r>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szCs w:val="24"/>
          <w:u w:val="single"/>
        </w:rPr>
        <w:t>La traduction des travaux de contrôle et d’évaluation en amendements aux lois de finances n’est pas automatique</w:t>
      </w:r>
      <w:r w:rsidRPr="000C25AE">
        <w:rPr>
          <w:rFonts w:ascii="Garamond" w:hAnsi="Garamond" w:cs="Times New Roman"/>
          <w:szCs w:val="24"/>
        </w:rPr>
        <w:t>, tant s’en faut. De plus, faible attention du Gouvernement et des médias.</w:t>
      </w:r>
      <w:r w:rsidRPr="000C25AE">
        <w:rPr>
          <w:rFonts w:ascii="Garamond" w:hAnsi="Garamond" w:cs="Times New Roman"/>
          <w:bCs/>
          <w:szCs w:val="24"/>
        </w:rPr>
        <w:t xml:space="preserve"> </w:t>
      </w:r>
      <w:r w:rsidRPr="000C25AE">
        <w:rPr>
          <w:rFonts w:ascii="Garamond" w:hAnsi="Garamond" w:cs="Times New Roman"/>
          <w:bCs/>
          <w:szCs w:val="24"/>
          <w:u w:val="single"/>
        </w:rPr>
        <w:t xml:space="preserve">Le Conseil constitutionnel pose en l'occurrence une limite forte au contrôle, dans la décision du 25 juin 2009 au sujet du CEC : </w:t>
      </w:r>
      <w:r w:rsidRPr="000C25AE">
        <w:rPr>
          <w:rFonts w:ascii="Garamond" w:hAnsi="Garamond" w:cs="Times New Roman"/>
          <w:bCs/>
          <w:i/>
          <w:szCs w:val="24"/>
          <w:u w:val="single"/>
        </w:rPr>
        <w:t>« les recommandations du comité transmises au Gouvernement comme le rapport de suivi de leur mise en œuvre ne sauraient, en aucun cas, adresser une injonction au Gouvernement »</w:t>
      </w:r>
      <w:r w:rsidRPr="000C25AE">
        <w:rPr>
          <w:rFonts w:ascii="Garamond" w:hAnsi="Garamond" w:cs="Times New Roman"/>
          <w:bCs/>
          <w:szCs w:val="24"/>
        </w:rPr>
        <w:t>.</w:t>
      </w:r>
      <w:r w:rsidRPr="000C25AE">
        <w:rPr>
          <w:rFonts w:ascii="Garamond" w:hAnsi="Garamond" w:cs="Times New Roman"/>
          <w:szCs w:val="24"/>
        </w:rPr>
        <w:t xml:space="preserve"> C'est bien là un des problèmes fondamentaux : les résultats du contrôle parlementaire n'ont </w:t>
      </w:r>
      <w:r w:rsidRPr="000C25AE">
        <w:rPr>
          <w:rFonts w:ascii="Garamond" w:hAnsi="Garamond" w:cs="Times New Roman"/>
          <w:bCs/>
          <w:szCs w:val="24"/>
          <w:u w:val="single"/>
        </w:rPr>
        <w:t>pas de portée impérative</w:t>
      </w:r>
      <w:r w:rsidRPr="000C25AE">
        <w:rPr>
          <w:rFonts w:ascii="Garamond" w:hAnsi="Garamond" w:cs="Times New Roman"/>
          <w:b/>
          <w:szCs w:val="24"/>
        </w:rPr>
        <w:t>.</w:t>
      </w:r>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bCs/>
          <w:szCs w:val="24"/>
          <w:u w:val="single"/>
        </w:rPr>
        <w:t>Dispersion des dispositifs et des moyens</w:t>
      </w:r>
      <w:r w:rsidRPr="000C25AE">
        <w:rPr>
          <w:rFonts w:ascii="Garamond" w:hAnsi="Garamond" w:cs="Times New Roman"/>
          <w:bCs/>
          <w:szCs w:val="24"/>
        </w:rPr>
        <w:t xml:space="preserve"> : fondé après 2008, le </w:t>
      </w:r>
      <w:r w:rsidRPr="000C25AE">
        <w:rPr>
          <w:rFonts w:ascii="Garamond" w:hAnsi="Garamond" w:cs="Times New Roman"/>
          <w:bCs/>
          <w:szCs w:val="24"/>
          <w:u w:val="single"/>
        </w:rPr>
        <w:t>CEC</w:t>
      </w:r>
      <w:r w:rsidRPr="000C25AE">
        <w:rPr>
          <w:rFonts w:ascii="Garamond" w:hAnsi="Garamond" w:cs="Times New Roman"/>
          <w:bCs/>
          <w:szCs w:val="24"/>
        </w:rPr>
        <w:t xml:space="preserve"> s’occupe aussi d’évaluation et de contrôle des politiques publiques sans empiéter sur les compétences des commissions des finances et des affaires sociales. Il y a également la </w:t>
      </w:r>
      <w:r w:rsidRPr="000C25AE">
        <w:rPr>
          <w:rFonts w:ascii="Garamond" w:hAnsi="Garamond" w:cs="Times New Roman"/>
          <w:bCs/>
          <w:szCs w:val="24"/>
          <w:u w:val="single"/>
        </w:rPr>
        <w:t>MECSS</w:t>
      </w:r>
      <w:r w:rsidRPr="000C25AE">
        <w:rPr>
          <w:rFonts w:ascii="Garamond" w:hAnsi="Garamond" w:cs="Times New Roman"/>
          <w:bCs/>
          <w:szCs w:val="24"/>
        </w:rPr>
        <w:t xml:space="preserve"> (créée par la LO sur les LFSS de 2005).</w:t>
      </w:r>
    </w:p>
    <w:p w:rsidR="00A678F8" w:rsidRPr="000C25AE" w:rsidRDefault="00A678F8" w:rsidP="00A678F8">
      <w:pPr>
        <w:pStyle w:val="Titre5"/>
        <w:spacing w:before="0"/>
        <w:jc w:val="both"/>
        <w:rPr>
          <w:rFonts w:ascii="Garamond" w:hAnsi="Garamond" w:cs="Times New Roman"/>
          <w:color w:val="auto"/>
          <w:szCs w:val="24"/>
        </w:rPr>
      </w:pPr>
      <w:bookmarkStart w:id="10" w:name="_Toc152863585"/>
      <w:r w:rsidRPr="000C25AE">
        <w:rPr>
          <w:rFonts w:ascii="Garamond" w:hAnsi="Garamond" w:cs="Times New Roman"/>
          <w:color w:val="auto"/>
          <w:szCs w:val="24"/>
        </w:rPr>
        <w:t xml:space="preserve">B. Des </w:t>
      </w:r>
      <w:proofErr w:type="spellStart"/>
      <w:r w:rsidRPr="000C25AE">
        <w:rPr>
          <w:rFonts w:ascii="Garamond" w:hAnsi="Garamond" w:cs="Times New Roman"/>
          <w:color w:val="auto"/>
          <w:szCs w:val="24"/>
        </w:rPr>
        <w:t>limites</w:t>
      </w:r>
      <w:proofErr w:type="spellEnd"/>
      <w:r w:rsidRPr="000C25AE">
        <w:rPr>
          <w:rFonts w:ascii="Garamond" w:hAnsi="Garamond" w:cs="Times New Roman"/>
          <w:color w:val="auto"/>
          <w:szCs w:val="24"/>
        </w:rPr>
        <w:t xml:space="preserve"> </w:t>
      </w:r>
      <w:proofErr w:type="spellStart"/>
      <w:r w:rsidRPr="000C25AE">
        <w:rPr>
          <w:rFonts w:ascii="Garamond" w:hAnsi="Garamond" w:cs="Times New Roman"/>
          <w:color w:val="auto"/>
          <w:szCs w:val="24"/>
        </w:rPr>
        <w:t>structurelles</w:t>
      </w:r>
      <w:bookmarkEnd w:id="10"/>
      <w:proofErr w:type="spellEnd"/>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bCs/>
          <w:szCs w:val="24"/>
        </w:rPr>
        <w:t xml:space="preserve">Depuis 1959 et de jurisprudence constante, le </w:t>
      </w:r>
      <w:r w:rsidRPr="000C25AE">
        <w:rPr>
          <w:rFonts w:ascii="Garamond" w:hAnsi="Garamond" w:cs="Times New Roman"/>
          <w:bCs/>
          <w:szCs w:val="24"/>
          <w:u w:val="single"/>
        </w:rPr>
        <w:t>CC</w:t>
      </w:r>
      <w:r w:rsidRPr="000C25AE">
        <w:rPr>
          <w:rFonts w:ascii="Garamond" w:hAnsi="Garamond" w:cs="Times New Roman"/>
          <w:bCs/>
          <w:szCs w:val="24"/>
        </w:rPr>
        <w:t xml:space="preserve"> limite le contrôle parlementaire à un pur </w:t>
      </w:r>
      <w:r w:rsidRPr="000C25AE">
        <w:rPr>
          <w:rFonts w:ascii="Garamond" w:hAnsi="Garamond" w:cs="Times New Roman"/>
          <w:bCs/>
          <w:szCs w:val="24"/>
          <w:u w:val="single"/>
        </w:rPr>
        <w:t>rôle d’information des assemblées</w:t>
      </w:r>
      <w:r w:rsidRPr="000C25AE">
        <w:rPr>
          <w:rFonts w:ascii="Garamond" w:hAnsi="Garamond" w:cs="Times New Roman"/>
          <w:bCs/>
          <w:szCs w:val="24"/>
        </w:rPr>
        <w:t xml:space="preserve">. </w:t>
      </w:r>
      <w:r w:rsidRPr="000C25AE">
        <w:rPr>
          <w:rFonts w:ascii="Garamond" w:hAnsi="Garamond" w:cs="Times New Roman"/>
          <w:bCs/>
          <w:szCs w:val="24"/>
          <w:u w:val="single"/>
        </w:rPr>
        <w:t>Aucune « injonction »</w:t>
      </w:r>
      <w:r w:rsidRPr="000C25AE">
        <w:rPr>
          <w:rFonts w:ascii="Garamond" w:hAnsi="Garamond" w:cs="Times New Roman"/>
          <w:bCs/>
          <w:szCs w:val="24"/>
        </w:rPr>
        <w:t xml:space="preserve"> à l’endroit de l’exécutif n’est admissible. C’est </w:t>
      </w:r>
      <w:r w:rsidRPr="000C25AE">
        <w:rPr>
          <w:rFonts w:ascii="Garamond" w:hAnsi="Garamond" w:cs="Times New Roman"/>
          <w:bCs/>
          <w:szCs w:val="24"/>
          <w:u w:val="single"/>
        </w:rPr>
        <w:t>différent du modèle britannique</w:t>
      </w:r>
      <w:r w:rsidRPr="000C25AE">
        <w:rPr>
          <w:rFonts w:ascii="Garamond" w:hAnsi="Garamond" w:cs="Times New Roman"/>
          <w:bCs/>
          <w:szCs w:val="24"/>
        </w:rPr>
        <w:t xml:space="preserve">, selon lequel le Gouvernement doit venir répondre aux questions posées par le </w:t>
      </w:r>
      <w:r w:rsidRPr="000C25AE">
        <w:rPr>
          <w:rFonts w:ascii="Garamond" w:hAnsi="Garamond" w:cs="Times New Roman"/>
          <w:bCs/>
          <w:i/>
          <w:iCs/>
          <w:szCs w:val="24"/>
        </w:rPr>
        <w:t xml:space="preserve">Public </w:t>
      </w:r>
      <w:proofErr w:type="spellStart"/>
      <w:r w:rsidRPr="000C25AE">
        <w:rPr>
          <w:rFonts w:ascii="Garamond" w:hAnsi="Garamond" w:cs="Times New Roman"/>
          <w:bCs/>
          <w:i/>
          <w:iCs/>
          <w:szCs w:val="24"/>
        </w:rPr>
        <w:t>Accounts</w:t>
      </w:r>
      <w:proofErr w:type="spellEnd"/>
      <w:r w:rsidRPr="000C25AE">
        <w:rPr>
          <w:rFonts w:ascii="Garamond" w:hAnsi="Garamond" w:cs="Times New Roman"/>
          <w:bCs/>
          <w:i/>
          <w:iCs/>
          <w:szCs w:val="24"/>
        </w:rPr>
        <w:t xml:space="preserve"> </w:t>
      </w:r>
      <w:proofErr w:type="spellStart"/>
      <w:r w:rsidRPr="000C25AE">
        <w:rPr>
          <w:rFonts w:ascii="Garamond" w:hAnsi="Garamond" w:cs="Times New Roman"/>
          <w:bCs/>
          <w:i/>
          <w:iCs/>
          <w:szCs w:val="24"/>
        </w:rPr>
        <w:t>Commitee</w:t>
      </w:r>
      <w:proofErr w:type="spellEnd"/>
      <w:r w:rsidRPr="000C25AE">
        <w:rPr>
          <w:rFonts w:ascii="Garamond" w:hAnsi="Garamond" w:cs="Times New Roman"/>
          <w:bCs/>
          <w:szCs w:val="24"/>
        </w:rPr>
        <w:t>.</w:t>
      </w:r>
    </w:p>
    <w:p w:rsidR="00A678F8" w:rsidRPr="000C25AE" w:rsidRDefault="00A678F8" w:rsidP="00A678F8">
      <w:pPr>
        <w:numPr>
          <w:ilvl w:val="0"/>
          <w:numId w:val="1"/>
        </w:numPr>
        <w:spacing w:line="240" w:lineRule="auto"/>
        <w:rPr>
          <w:rFonts w:ascii="Garamond" w:hAnsi="Garamond" w:cs="Times New Roman"/>
          <w:bCs/>
          <w:szCs w:val="24"/>
        </w:rPr>
      </w:pPr>
      <w:r w:rsidRPr="000C25AE">
        <w:rPr>
          <w:rFonts w:ascii="Garamond" w:hAnsi="Garamond" w:cs="Times New Roman"/>
          <w:bCs/>
          <w:szCs w:val="24"/>
          <w:u w:val="single"/>
        </w:rPr>
        <w:t>Parlementarisme négatif</w:t>
      </w:r>
      <w:r w:rsidRPr="000C25AE">
        <w:rPr>
          <w:rFonts w:ascii="Garamond" w:hAnsi="Garamond" w:cs="Times New Roman"/>
          <w:bCs/>
          <w:szCs w:val="24"/>
        </w:rPr>
        <w:t xml:space="preserve">, selon l’expression de Max Weber : le </w:t>
      </w:r>
      <w:r w:rsidRPr="000C25AE">
        <w:rPr>
          <w:rFonts w:ascii="Garamond" w:hAnsi="Garamond" w:cs="Times New Roman"/>
          <w:bCs/>
          <w:szCs w:val="24"/>
          <w:u w:val="single"/>
        </w:rPr>
        <w:t>fait majoritaire</w:t>
      </w:r>
      <w:r w:rsidRPr="000C25AE">
        <w:rPr>
          <w:rFonts w:ascii="Garamond" w:hAnsi="Garamond" w:cs="Times New Roman"/>
          <w:bCs/>
          <w:szCs w:val="24"/>
        </w:rPr>
        <w:t xml:space="preserve"> et la </w:t>
      </w:r>
      <w:r w:rsidRPr="000C25AE">
        <w:rPr>
          <w:rFonts w:ascii="Garamond" w:hAnsi="Garamond" w:cs="Times New Roman"/>
          <w:bCs/>
          <w:szCs w:val="24"/>
          <w:u w:val="single"/>
        </w:rPr>
        <w:t>discipline partisane</w:t>
      </w:r>
      <w:r w:rsidRPr="000C25AE">
        <w:rPr>
          <w:rFonts w:ascii="Garamond" w:hAnsi="Garamond" w:cs="Times New Roman"/>
          <w:bCs/>
          <w:szCs w:val="24"/>
        </w:rPr>
        <w:t xml:space="preserve"> qui s’ensuit ont </w:t>
      </w:r>
      <w:r w:rsidRPr="000C25AE">
        <w:rPr>
          <w:rFonts w:ascii="Garamond" w:hAnsi="Garamond" w:cs="Times New Roman"/>
          <w:bCs/>
          <w:szCs w:val="24"/>
          <w:u w:val="single"/>
        </w:rPr>
        <w:t>tendance à neutraliser</w:t>
      </w:r>
      <w:r w:rsidRPr="000C25AE">
        <w:rPr>
          <w:rFonts w:ascii="Garamond" w:hAnsi="Garamond" w:cs="Times New Roman"/>
          <w:bCs/>
          <w:szCs w:val="24"/>
        </w:rPr>
        <w:t xml:space="preserve"> le rendement des dispositifs de contrôle et d’évaluation.</w:t>
      </w:r>
    </w:p>
    <w:p w:rsidR="00A678F8" w:rsidRPr="000C25AE" w:rsidRDefault="00A678F8" w:rsidP="00A678F8">
      <w:pPr>
        <w:numPr>
          <w:ilvl w:val="0"/>
          <w:numId w:val="1"/>
        </w:numPr>
        <w:spacing w:line="240" w:lineRule="auto"/>
        <w:rPr>
          <w:rFonts w:ascii="Garamond" w:hAnsi="Garamond" w:cs="Times New Roman"/>
          <w:bCs/>
          <w:szCs w:val="24"/>
          <w:u w:val="single"/>
        </w:rPr>
      </w:pPr>
      <w:r w:rsidRPr="000C25AE">
        <w:rPr>
          <w:rFonts w:ascii="Garamond" w:hAnsi="Garamond" w:cs="Times New Roman"/>
          <w:bCs/>
          <w:szCs w:val="24"/>
          <w:u w:val="single"/>
        </w:rPr>
        <w:t>Loi de règlement habituellement expédiée en qq heures.</w:t>
      </w:r>
    </w:p>
    <w:p w:rsidR="00A678F8" w:rsidRPr="000C25AE" w:rsidRDefault="00A678F8" w:rsidP="00A678F8">
      <w:pPr>
        <w:spacing w:line="240" w:lineRule="auto"/>
        <w:rPr>
          <w:rFonts w:ascii="Garamond" w:hAnsi="Garamond" w:cs="Times New Roman"/>
          <w:bCs/>
          <w:i/>
          <w:iCs/>
          <w:szCs w:val="24"/>
          <w:u w:val="single"/>
        </w:rPr>
      </w:pPr>
      <w:r w:rsidRPr="000C25AE">
        <w:rPr>
          <w:rFonts w:ascii="Garamond" w:hAnsi="Garamond" w:cs="Times New Roman"/>
          <w:bCs/>
          <w:i/>
          <w:iCs/>
          <w:szCs w:val="24"/>
          <w:u w:val="single"/>
        </w:rPr>
        <w:t>Conclusion</w:t>
      </w:r>
    </w:p>
    <w:p w:rsidR="00A678F8" w:rsidRPr="000C25AE" w:rsidRDefault="00A678F8" w:rsidP="00A678F8">
      <w:pPr>
        <w:numPr>
          <w:ilvl w:val="0"/>
          <w:numId w:val="1"/>
        </w:numPr>
        <w:spacing w:line="240" w:lineRule="auto"/>
        <w:rPr>
          <w:rFonts w:ascii="Garamond" w:hAnsi="Garamond" w:cs="Times New Roman"/>
          <w:bCs/>
          <w:szCs w:val="24"/>
          <w:u w:val="single"/>
        </w:rPr>
      </w:pPr>
      <w:r w:rsidRPr="000C25AE">
        <w:rPr>
          <w:rFonts w:ascii="Garamond" w:hAnsi="Garamond" w:cs="Times New Roman"/>
          <w:szCs w:val="24"/>
          <w:u w:val="single"/>
        </w:rPr>
        <w:t>Les moyens d'action et l'information, déjà très importants avant 2008, ont été renforcés.</w:t>
      </w:r>
    </w:p>
    <w:p w:rsidR="00951B56" w:rsidRPr="006405A5" w:rsidRDefault="00A678F8" w:rsidP="006405A5">
      <w:pPr>
        <w:numPr>
          <w:ilvl w:val="0"/>
          <w:numId w:val="1"/>
        </w:numPr>
        <w:spacing w:line="240" w:lineRule="auto"/>
        <w:rPr>
          <w:rFonts w:ascii="Garamond" w:hAnsi="Garamond" w:cs="Times New Roman"/>
          <w:bCs/>
          <w:szCs w:val="24"/>
        </w:rPr>
      </w:pPr>
      <w:r w:rsidRPr="006405A5">
        <w:rPr>
          <w:rFonts w:ascii="Garamond" w:hAnsi="Garamond" w:cs="Times New Roman"/>
          <w:bCs/>
          <w:szCs w:val="24"/>
        </w:rPr>
        <w:t>Le contrôle parlementaire et, plus spécialement, celui des commissions des finances demeurent bien souvent trop « </w:t>
      </w:r>
      <w:r w:rsidRPr="006405A5">
        <w:rPr>
          <w:rFonts w:ascii="Garamond" w:hAnsi="Garamond" w:cs="Times New Roman"/>
          <w:bCs/>
          <w:szCs w:val="24"/>
          <w:u w:val="single"/>
        </w:rPr>
        <w:t>platoniques</w:t>
      </w:r>
      <w:r w:rsidRPr="006405A5">
        <w:rPr>
          <w:rFonts w:ascii="Garamond" w:hAnsi="Garamond" w:cs="Times New Roman"/>
          <w:bCs/>
          <w:szCs w:val="24"/>
        </w:rPr>
        <w:t xml:space="preserve"> ». Certes, il n’est </w:t>
      </w:r>
      <w:r w:rsidRPr="006405A5">
        <w:rPr>
          <w:rFonts w:ascii="Garamond" w:hAnsi="Garamond" w:cs="Times New Roman"/>
          <w:bCs/>
          <w:szCs w:val="24"/>
          <w:u w:val="single"/>
        </w:rPr>
        <w:t>pas nécessaire qu’une sanction advienne pour que le contrôle soit effectif</w:t>
      </w:r>
      <w:r w:rsidRPr="006405A5">
        <w:rPr>
          <w:rFonts w:ascii="Garamond" w:hAnsi="Garamond" w:cs="Times New Roman"/>
          <w:bCs/>
          <w:szCs w:val="24"/>
        </w:rPr>
        <w:t xml:space="preserve">, mais </w:t>
      </w:r>
      <w:r w:rsidRPr="006405A5">
        <w:rPr>
          <w:rFonts w:ascii="Garamond" w:hAnsi="Garamond" w:cs="Times New Roman"/>
          <w:bCs/>
          <w:szCs w:val="24"/>
          <w:u w:val="single"/>
        </w:rPr>
        <w:t>les ambitions et moyens d’action des commissions des finances sont concrètement limités</w:t>
      </w:r>
      <w:r w:rsidRPr="006405A5">
        <w:rPr>
          <w:rFonts w:ascii="Garamond" w:hAnsi="Garamond" w:cs="Times New Roman"/>
          <w:bCs/>
          <w:szCs w:val="24"/>
        </w:rPr>
        <w:t xml:space="preserve">. Les </w:t>
      </w:r>
      <w:r w:rsidRPr="006405A5">
        <w:rPr>
          <w:rFonts w:ascii="Garamond" w:hAnsi="Garamond" w:cs="Times New Roman"/>
          <w:bCs/>
          <w:szCs w:val="24"/>
          <w:u w:val="single"/>
        </w:rPr>
        <w:t>suites</w:t>
      </w:r>
      <w:r w:rsidRPr="006405A5">
        <w:rPr>
          <w:rFonts w:ascii="Garamond" w:hAnsi="Garamond" w:cs="Times New Roman"/>
          <w:bCs/>
          <w:szCs w:val="24"/>
        </w:rPr>
        <w:t xml:space="preserve"> données à leurs travaux sont </w:t>
      </w:r>
      <w:r w:rsidRPr="006405A5">
        <w:rPr>
          <w:rFonts w:ascii="Garamond" w:hAnsi="Garamond" w:cs="Times New Roman"/>
          <w:bCs/>
          <w:szCs w:val="24"/>
          <w:u w:val="single"/>
        </w:rPr>
        <w:t>hypothétiques</w:t>
      </w:r>
      <w:r w:rsidRPr="006405A5">
        <w:rPr>
          <w:rFonts w:ascii="Garamond" w:hAnsi="Garamond" w:cs="Times New Roman"/>
          <w:bCs/>
          <w:szCs w:val="24"/>
        </w:rPr>
        <w:t>.</w:t>
      </w:r>
      <w:bookmarkStart w:id="11" w:name="_GoBack"/>
      <w:bookmarkEnd w:id="11"/>
    </w:p>
    <w:p w:rsidR="00872427" w:rsidRDefault="00872427"/>
    <w:sectPr w:rsidR="00872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7B" w:rsidRDefault="00DC227B" w:rsidP="00A678F8">
      <w:pPr>
        <w:spacing w:line="240" w:lineRule="auto"/>
      </w:pPr>
      <w:r>
        <w:separator/>
      </w:r>
    </w:p>
  </w:endnote>
  <w:endnote w:type="continuationSeparator" w:id="0">
    <w:p w:rsidR="00DC227B" w:rsidRDefault="00DC227B" w:rsidP="00A6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7B" w:rsidRDefault="00DC227B" w:rsidP="00A678F8">
      <w:pPr>
        <w:spacing w:line="240" w:lineRule="auto"/>
      </w:pPr>
      <w:r>
        <w:separator/>
      </w:r>
    </w:p>
  </w:footnote>
  <w:footnote w:type="continuationSeparator" w:id="0">
    <w:p w:rsidR="00DC227B" w:rsidRDefault="00DC227B" w:rsidP="00A678F8">
      <w:pPr>
        <w:spacing w:line="240" w:lineRule="auto"/>
      </w:pPr>
      <w:r>
        <w:continuationSeparator/>
      </w:r>
    </w:p>
  </w:footnote>
  <w:footnote w:id="1">
    <w:p w:rsidR="00A678F8" w:rsidRPr="005A2EAC" w:rsidRDefault="00A678F8" w:rsidP="00A678F8">
      <w:pPr>
        <w:pStyle w:val="Notedebasdepage"/>
        <w:widowControl w:val="0"/>
        <w:jc w:val="both"/>
        <w:rPr>
          <w:rFonts w:ascii="Garamond" w:hAnsi="Garamond"/>
          <w:sz w:val="22"/>
          <w:szCs w:val="22"/>
          <w:lang w:val="fr-FR"/>
        </w:rPr>
      </w:pPr>
      <w:r w:rsidRPr="005A2EAC">
        <w:rPr>
          <w:rStyle w:val="Appelnotedebasdep"/>
          <w:rFonts w:ascii="Garamond" w:hAnsi="Garamond"/>
          <w:sz w:val="22"/>
          <w:szCs w:val="22"/>
          <w:lang w:val="fr-FR"/>
        </w:rPr>
        <w:footnoteRef/>
      </w:r>
      <w:r w:rsidRPr="005A2EAC">
        <w:rPr>
          <w:rFonts w:ascii="Garamond" w:hAnsi="Garamond"/>
          <w:sz w:val="22"/>
          <w:szCs w:val="22"/>
          <w:lang w:val="fr-FR"/>
        </w:rPr>
        <w:t xml:space="preserve"> Alain Lambert, « Vers un modèle français de contrôle budgétaire ? », </w:t>
      </w:r>
      <w:r w:rsidRPr="005A2EAC">
        <w:rPr>
          <w:rFonts w:ascii="Garamond" w:hAnsi="Garamond"/>
          <w:i/>
          <w:sz w:val="22"/>
          <w:szCs w:val="22"/>
          <w:lang w:val="fr-FR"/>
        </w:rPr>
        <w:t>Pouvoirs</w:t>
      </w:r>
      <w:r w:rsidRPr="005A2EAC">
        <w:rPr>
          <w:rFonts w:ascii="Garamond" w:hAnsi="Garamond"/>
          <w:sz w:val="22"/>
          <w:szCs w:val="22"/>
          <w:lang w:val="fr-FR"/>
        </w:rPr>
        <w:t>, n° 134, 2010, p. 54.</w:t>
      </w:r>
    </w:p>
  </w:footnote>
  <w:footnote w:id="2">
    <w:p w:rsidR="00A678F8" w:rsidRPr="005A2EAC" w:rsidRDefault="00A678F8" w:rsidP="00A678F8">
      <w:pPr>
        <w:pStyle w:val="Notedebasdepage"/>
        <w:widowControl w:val="0"/>
        <w:jc w:val="both"/>
        <w:rPr>
          <w:rFonts w:ascii="Garamond" w:hAnsi="Garamond"/>
          <w:sz w:val="22"/>
          <w:szCs w:val="22"/>
          <w:lang w:val="fr-FR"/>
        </w:rPr>
      </w:pPr>
      <w:r w:rsidRPr="005A2EAC">
        <w:rPr>
          <w:rStyle w:val="Appelnotedebasdep"/>
          <w:rFonts w:ascii="Garamond" w:hAnsi="Garamond"/>
          <w:sz w:val="22"/>
          <w:szCs w:val="22"/>
          <w:lang w:val="fr-FR"/>
        </w:rPr>
        <w:footnoteRef/>
      </w:r>
      <w:r w:rsidRPr="005A2EAC">
        <w:rPr>
          <w:rFonts w:ascii="Garamond" w:hAnsi="Garamond"/>
          <w:sz w:val="22"/>
          <w:szCs w:val="22"/>
          <w:lang w:val="fr-FR"/>
        </w:rPr>
        <w:t xml:space="preserve"> Danièle Lamarque, « Article 47-2 de la Constitution : un cadre suffisant pour la Cour des comptes ? », </w:t>
      </w:r>
      <w:r w:rsidRPr="005A2EAC">
        <w:rPr>
          <w:rStyle w:val="citation"/>
          <w:rFonts w:ascii="Garamond" w:hAnsi="Garamond"/>
          <w:i/>
          <w:iCs/>
          <w:sz w:val="22"/>
          <w:szCs w:val="22"/>
          <w:lang w:val="fr-FR"/>
        </w:rPr>
        <w:t>RFFP</w:t>
      </w:r>
      <w:r w:rsidRPr="005A2EAC">
        <w:rPr>
          <w:rFonts w:ascii="Garamond" w:hAnsi="Garamond"/>
          <w:sz w:val="22"/>
          <w:szCs w:val="22"/>
          <w:lang w:val="fr-FR"/>
        </w:rPr>
        <w:t>, n° 144, 2018, p. 151.</w:t>
      </w:r>
    </w:p>
  </w:footnote>
  <w:footnote w:id="3">
    <w:p w:rsidR="00A678F8" w:rsidRPr="005A2EAC" w:rsidRDefault="00A678F8" w:rsidP="00A678F8">
      <w:pPr>
        <w:pStyle w:val="Notedebasdepage"/>
        <w:widowControl w:val="0"/>
        <w:jc w:val="both"/>
        <w:rPr>
          <w:rFonts w:ascii="Garamond" w:hAnsi="Garamond"/>
          <w:sz w:val="22"/>
          <w:szCs w:val="22"/>
          <w:lang w:val="fr-FR"/>
        </w:rPr>
      </w:pPr>
      <w:r w:rsidRPr="005A2EAC">
        <w:rPr>
          <w:rStyle w:val="Appelnotedebasdep"/>
          <w:rFonts w:ascii="Garamond" w:hAnsi="Garamond"/>
          <w:sz w:val="22"/>
          <w:szCs w:val="22"/>
          <w:lang w:val="fr-FR"/>
        </w:rPr>
        <w:footnoteRef/>
      </w:r>
      <w:r w:rsidRPr="005A2EAC">
        <w:rPr>
          <w:rFonts w:ascii="Garamond" w:hAnsi="Garamond"/>
          <w:sz w:val="22"/>
          <w:szCs w:val="22"/>
          <w:lang w:val="fr-FR"/>
        </w:rPr>
        <w:t xml:space="preserve"> Marie-Odile </w:t>
      </w:r>
      <w:proofErr w:type="spellStart"/>
      <w:r w:rsidRPr="005A2EAC">
        <w:rPr>
          <w:rFonts w:ascii="Garamond" w:hAnsi="Garamond"/>
          <w:sz w:val="22"/>
          <w:szCs w:val="22"/>
          <w:lang w:val="fr-FR"/>
        </w:rPr>
        <w:t>Peyroux</w:t>
      </w:r>
      <w:proofErr w:type="spellEnd"/>
      <w:r w:rsidRPr="005A2EAC">
        <w:rPr>
          <w:rFonts w:ascii="Garamond" w:hAnsi="Garamond"/>
          <w:sz w:val="22"/>
          <w:szCs w:val="22"/>
          <w:lang w:val="fr-FR"/>
        </w:rPr>
        <w:t xml:space="preserve">-Sissoko, « L’évaluation des politiques publiques de l’article 47-2 de la Constitution. L’échec de la revalorisation du rôle du Parlement », </w:t>
      </w:r>
      <w:r w:rsidRPr="005A2EAC">
        <w:rPr>
          <w:rStyle w:val="citation"/>
          <w:rFonts w:ascii="Garamond" w:hAnsi="Garamond"/>
          <w:i/>
          <w:iCs/>
          <w:sz w:val="22"/>
          <w:szCs w:val="22"/>
          <w:lang w:val="fr-FR"/>
        </w:rPr>
        <w:t>RDP</w:t>
      </w:r>
      <w:r w:rsidRPr="005A2EAC">
        <w:rPr>
          <w:rFonts w:ascii="Garamond" w:hAnsi="Garamond"/>
          <w:sz w:val="22"/>
          <w:szCs w:val="22"/>
          <w:lang w:val="fr-FR"/>
        </w:rPr>
        <w:t>, 2019, n° 5, p. 1239.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14424"/>
    <w:multiLevelType w:val="hybridMultilevel"/>
    <w:tmpl w:val="871CC67A"/>
    <w:lvl w:ilvl="0" w:tplc="6776A6E0">
      <w:start w:val="1"/>
      <w:numFmt w:val="bullet"/>
      <w:lvlText w:val="-"/>
      <w:lvlJc w:val="left"/>
      <w:pPr>
        <w:ind w:left="720" w:hanging="360"/>
      </w:pPr>
      <w:rPr>
        <w:rFonts w:ascii="Times New Roman" w:eastAsia="Arial"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F8"/>
    <w:rsid w:val="00012A2D"/>
    <w:rsid w:val="00176559"/>
    <w:rsid w:val="00437344"/>
    <w:rsid w:val="006405A5"/>
    <w:rsid w:val="008020FC"/>
    <w:rsid w:val="00872427"/>
    <w:rsid w:val="00880A63"/>
    <w:rsid w:val="00951B56"/>
    <w:rsid w:val="009B3820"/>
    <w:rsid w:val="00A678F8"/>
    <w:rsid w:val="00B54909"/>
    <w:rsid w:val="00C746A7"/>
    <w:rsid w:val="00CD5EA5"/>
    <w:rsid w:val="00DC227B"/>
    <w:rsid w:val="00EB6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030"/>
  <w15:chartTrackingRefBased/>
  <w15:docId w15:val="{60754202-482B-435B-89FC-3E1402C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F8"/>
    <w:pPr>
      <w:spacing w:after="0" w:line="360" w:lineRule="auto"/>
      <w:jc w:val="both"/>
    </w:pPr>
    <w:rPr>
      <w:rFonts w:ascii="Times New Roman" w:hAnsi="Times New Roman"/>
      <w:sz w:val="24"/>
    </w:rPr>
  </w:style>
  <w:style w:type="paragraph" w:styleId="Titre4">
    <w:name w:val="heading 4"/>
    <w:basedOn w:val="Normal"/>
    <w:next w:val="Normal"/>
    <w:link w:val="Titre4Car"/>
    <w:uiPriority w:val="9"/>
    <w:unhideWhenUsed/>
    <w:qFormat/>
    <w:rsid w:val="00A678F8"/>
    <w:pPr>
      <w:keepNext/>
      <w:keepLines/>
      <w:suppressAutoHyphens/>
      <w:spacing w:before="200" w:line="240" w:lineRule="auto"/>
      <w:jc w:val="left"/>
      <w:outlineLvl w:val="3"/>
    </w:pPr>
    <w:rPr>
      <w:rFonts w:asciiTheme="majorHAnsi" w:eastAsiaTheme="majorEastAsia" w:hAnsiTheme="majorHAnsi" w:cstheme="majorBidi"/>
      <w:b/>
      <w:bCs/>
      <w:i/>
      <w:iCs/>
      <w:color w:val="4472C4" w:themeColor="accent1"/>
      <w:lang w:val="en-US" w:eastAsia="ar-SA"/>
    </w:rPr>
  </w:style>
  <w:style w:type="paragraph" w:styleId="Titre5">
    <w:name w:val="heading 5"/>
    <w:basedOn w:val="Normal"/>
    <w:next w:val="Normal"/>
    <w:link w:val="Titre5Car"/>
    <w:uiPriority w:val="9"/>
    <w:unhideWhenUsed/>
    <w:qFormat/>
    <w:rsid w:val="00A678F8"/>
    <w:pPr>
      <w:keepNext/>
      <w:keepLines/>
      <w:suppressAutoHyphens/>
      <w:spacing w:before="200" w:line="240" w:lineRule="auto"/>
      <w:jc w:val="left"/>
      <w:outlineLvl w:val="4"/>
    </w:pPr>
    <w:rPr>
      <w:rFonts w:asciiTheme="majorHAnsi" w:eastAsiaTheme="majorEastAsia" w:hAnsiTheme="majorHAnsi" w:cstheme="majorBidi"/>
      <w:color w:val="1F3763" w:themeColor="accent1" w:themeShade="7F"/>
      <w:lang w:val="en-US" w:eastAsia="ar-SA"/>
    </w:rPr>
  </w:style>
  <w:style w:type="paragraph" w:styleId="Titre6">
    <w:name w:val="heading 6"/>
    <w:basedOn w:val="Normal"/>
    <w:next w:val="Normal"/>
    <w:link w:val="Titre6Car"/>
    <w:uiPriority w:val="9"/>
    <w:unhideWhenUsed/>
    <w:qFormat/>
    <w:rsid w:val="00A678F8"/>
    <w:pPr>
      <w:keepNext/>
      <w:keepLines/>
      <w:spacing w:before="40" w:line="240" w:lineRule="auto"/>
      <w:outlineLvl w:val="5"/>
    </w:pPr>
    <w:rPr>
      <w:rFonts w:asciiTheme="majorHAnsi" w:eastAsiaTheme="majorEastAsia" w:hAnsiTheme="majorHAnsi" w:cstheme="majorBidi"/>
      <w:color w:val="1F3763" w:themeColor="accent1" w:themeShade="7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678F8"/>
    <w:rPr>
      <w:rFonts w:asciiTheme="majorHAnsi" w:eastAsiaTheme="majorEastAsia" w:hAnsiTheme="majorHAnsi" w:cstheme="majorBidi"/>
      <w:b/>
      <w:bCs/>
      <w:i/>
      <w:iCs/>
      <w:color w:val="4472C4" w:themeColor="accent1"/>
      <w:sz w:val="24"/>
      <w:lang w:val="en-US" w:eastAsia="ar-SA"/>
    </w:rPr>
  </w:style>
  <w:style w:type="character" w:customStyle="1" w:styleId="Titre5Car">
    <w:name w:val="Titre 5 Car"/>
    <w:basedOn w:val="Policepardfaut"/>
    <w:link w:val="Titre5"/>
    <w:uiPriority w:val="9"/>
    <w:rsid w:val="00A678F8"/>
    <w:rPr>
      <w:rFonts w:asciiTheme="majorHAnsi" w:eastAsiaTheme="majorEastAsia" w:hAnsiTheme="majorHAnsi" w:cstheme="majorBidi"/>
      <w:color w:val="1F3763" w:themeColor="accent1" w:themeShade="7F"/>
      <w:sz w:val="24"/>
      <w:lang w:val="en-US" w:eastAsia="ar-SA"/>
    </w:rPr>
  </w:style>
  <w:style w:type="character" w:customStyle="1" w:styleId="Titre6Car">
    <w:name w:val="Titre 6 Car"/>
    <w:basedOn w:val="Policepardfaut"/>
    <w:link w:val="Titre6"/>
    <w:uiPriority w:val="9"/>
    <w:rsid w:val="00A678F8"/>
    <w:rPr>
      <w:rFonts w:asciiTheme="majorHAnsi" w:eastAsiaTheme="majorEastAsia" w:hAnsiTheme="majorHAnsi" w:cstheme="majorBidi"/>
      <w:color w:val="1F3763" w:themeColor="accent1" w:themeShade="7F"/>
    </w:rPr>
  </w:style>
  <w:style w:type="character" w:customStyle="1" w:styleId="apple-converted-space">
    <w:name w:val="apple-converted-space"/>
    <w:basedOn w:val="Policepardfaut"/>
    <w:rsid w:val="00A678F8"/>
  </w:style>
  <w:style w:type="character" w:styleId="Appelnotedebasdep">
    <w:name w:val="footnote reference"/>
    <w:basedOn w:val="Policepardfaut"/>
    <w:uiPriority w:val="99"/>
    <w:rsid w:val="00A678F8"/>
    <w:rPr>
      <w:vertAlign w:val="superscript"/>
    </w:rPr>
  </w:style>
  <w:style w:type="paragraph" w:styleId="Notedebasdepage">
    <w:name w:val="footnote text"/>
    <w:basedOn w:val="Normal"/>
    <w:link w:val="NotedebasdepageCar"/>
    <w:uiPriority w:val="99"/>
    <w:rsid w:val="00A678F8"/>
    <w:pPr>
      <w:spacing w:line="240" w:lineRule="auto"/>
      <w:jc w:val="left"/>
    </w:pPr>
    <w:rPr>
      <w:rFonts w:eastAsia="Times New Roman" w:cs="Times New Roman"/>
      <w:sz w:val="20"/>
      <w:szCs w:val="20"/>
      <w:lang w:val="en-US" w:eastAsia="fr-FR"/>
    </w:rPr>
  </w:style>
  <w:style w:type="character" w:customStyle="1" w:styleId="NotedebasdepageCar">
    <w:name w:val="Note de bas de page Car"/>
    <w:basedOn w:val="Policepardfaut"/>
    <w:link w:val="Notedebasdepage"/>
    <w:uiPriority w:val="99"/>
    <w:qFormat/>
    <w:rsid w:val="00A678F8"/>
    <w:rPr>
      <w:rFonts w:ascii="Times New Roman" w:eastAsia="Times New Roman" w:hAnsi="Times New Roman" w:cs="Times New Roman"/>
      <w:sz w:val="20"/>
      <w:szCs w:val="20"/>
      <w:lang w:val="en-US" w:eastAsia="fr-FR"/>
    </w:rPr>
  </w:style>
  <w:style w:type="character" w:customStyle="1" w:styleId="citation">
    <w:name w:val="citation"/>
    <w:basedOn w:val="Policepardfaut"/>
    <w:rsid w:val="00A678F8"/>
  </w:style>
  <w:style w:type="character" w:customStyle="1" w:styleId="important">
    <w:name w:val="important"/>
    <w:basedOn w:val="Policepardfaut"/>
    <w:rsid w:val="00A6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3253</Words>
  <Characters>17894</Characters>
  <Application>Microsoft Office Word</Application>
  <DocSecurity>0</DocSecurity>
  <Lines>149</Lines>
  <Paragraphs>42</Paragraphs>
  <ScaleCrop>false</ScaleCrop>
  <Company>Université Paris 1 Panthéon Sorbonne</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dcterms:created xsi:type="dcterms:W3CDTF">2023-12-15T16:49:00Z</dcterms:created>
  <dcterms:modified xsi:type="dcterms:W3CDTF">2023-12-15T17:42:00Z</dcterms:modified>
</cp:coreProperties>
</file>