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837" w:rsidRDefault="00F76DDF" w:rsidP="00B13CC7">
      <w:pPr>
        <w:jc w:val="center"/>
        <w:rPr>
          <w:rFonts w:ascii="Garamond" w:hAnsi="Garamond"/>
          <w:b/>
          <w:bCs/>
          <w:sz w:val="22"/>
          <w:szCs w:val="22"/>
          <w:lang w:val="fr-FR"/>
        </w:rPr>
      </w:pPr>
      <w:r w:rsidRPr="005D2C50">
        <w:rPr>
          <w:rFonts w:ascii="Garamond" w:hAnsi="Garamond"/>
          <w:b/>
          <w:bCs/>
          <w:sz w:val="22"/>
          <w:szCs w:val="22"/>
          <w:lang w:val="fr-FR"/>
        </w:rPr>
        <w:t>Le prince et l'animal (Occident, XIII</w:t>
      </w:r>
      <w:r w:rsidRPr="005D2C50">
        <w:rPr>
          <w:rFonts w:ascii="Garamond" w:hAnsi="Garamond"/>
          <w:b/>
          <w:bCs/>
          <w:sz w:val="22"/>
          <w:szCs w:val="22"/>
          <w:vertAlign w:val="superscript"/>
          <w:lang w:val="fr-FR"/>
        </w:rPr>
        <w:t>e</w:t>
      </w:r>
      <w:r w:rsidRPr="005D2C50">
        <w:rPr>
          <w:rFonts w:ascii="Garamond" w:hAnsi="Garamond"/>
          <w:b/>
          <w:bCs/>
          <w:sz w:val="22"/>
          <w:szCs w:val="22"/>
          <w:lang w:val="fr-FR"/>
        </w:rPr>
        <w:t>-XV</w:t>
      </w:r>
      <w:r w:rsidRPr="005D2C50">
        <w:rPr>
          <w:rFonts w:ascii="Garamond" w:hAnsi="Garamond"/>
          <w:b/>
          <w:bCs/>
          <w:sz w:val="22"/>
          <w:szCs w:val="22"/>
          <w:vertAlign w:val="superscript"/>
          <w:lang w:val="fr-FR"/>
        </w:rPr>
        <w:t>e</w:t>
      </w:r>
      <w:r w:rsidRPr="005D2C50">
        <w:rPr>
          <w:rFonts w:ascii="Garamond" w:hAnsi="Garamond"/>
          <w:b/>
          <w:bCs/>
          <w:sz w:val="22"/>
          <w:szCs w:val="22"/>
          <w:lang w:val="fr-FR"/>
        </w:rPr>
        <w:t xml:space="preserve"> siècle)</w:t>
      </w:r>
    </w:p>
    <w:p w:rsidR="005D2C50" w:rsidRPr="005D2C50" w:rsidRDefault="005D2C50" w:rsidP="00B13CC7">
      <w:pPr>
        <w:jc w:val="center"/>
        <w:rPr>
          <w:rFonts w:ascii="Garamond" w:hAnsi="Garamond"/>
          <w:b/>
          <w:bCs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Programme des Travaux dirigés</w:t>
      </w:r>
    </w:p>
    <w:p w:rsidR="00703837" w:rsidRPr="000B419B" w:rsidRDefault="00703837">
      <w:pPr>
        <w:rPr>
          <w:rFonts w:ascii="Garamond" w:hAnsi="Garamond"/>
          <w:sz w:val="22"/>
          <w:szCs w:val="22"/>
          <w:lang w:val="fr-FR"/>
        </w:rPr>
      </w:pPr>
    </w:p>
    <w:tbl>
      <w:tblPr>
        <w:tblStyle w:val="Grilledutableau"/>
        <w:tblW w:w="10307" w:type="dxa"/>
        <w:tblLook w:val="04A0" w:firstRow="1" w:lastRow="0" w:firstColumn="1" w:lastColumn="0" w:noHBand="0" w:noVBand="1"/>
      </w:tblPr>
      <w:tblGrid>
        <w:gridCol w:w="1129"/>
        <w:gridCol w:w="2592"/>
        <w:gridCol w:w="6586"/>
      </w:tblGrid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0" w:type="auto"/>
          </w:tcPr>
          <w:p w:rsidR="00703837" w:rsidRPr="000B419B" w:rsidRDefault="00703837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Thématiqu</w:t>
            </w:r>
            <w:r w:rsidRPr="000B419B">
              <w:rPr>
                <w:rFonts w:ascii="Garamond" w:hAnsi="Garamond"/>
                <w:sz w:val="22"/>
                <w:szCs w:val="22"/>
                <w:lang w:val="fr-FR"/>
              </w:rPr>
              <w:t>e</w:t>
            </w:r>
          </w:p>
        </w:tc>
        <w:tc>
          <w:tcPr>
            <w:tcW w:w="0" w:type="auto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b/>
                <w:bCs/>
                <w:sz w:val="22"/>
                <w:szCs w:val="22"/>
                <w:lang w:val="fr-FR"/>
              </w:rPr>
              <w:t>Travaux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30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-31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/01</w:t>
            </w:r>
          </w:p>
        </w:tc>
        <w:tc>
          <w:tcPr>
            <w:tcW w:w="0" w:type="auto"/>
          </w:tcPr>
          <w:p w:rsidR="00703837" w:rsidRPr="00385F6D" w:rsidRDefault="00703837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Présentation générale</w:t>
            </w:r>
          </w:p>
        </w:tc>
        <w:tc>
          <w:tcPr>
            <w:tcW w:w="0" w:type="auto"/>
          </w:tcPr>
          <w:p w:rsidR="00703837" w:rsidRPr="00385F6D" w:rsidRDefault="00774B26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documentaire - Bibliographie générale - Organisation des travaux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06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-07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/02</w:t>
            </w:r>
          </w:p>
        </w:tc>
        <w:tc>
          <w:tcPr>
            <w:tcW w:w="0" w:type="auto"/>
          </w:tcPr>
          <w:p w:rsidR="00703837" w:rsidRPr="00385F6D" w:rsidRDefault="00703837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Dossier 1. </w:t>
            </w:r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Renart, </w:t>
            </w:r>
            <w:proofErr w:type="spellStart"/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>Calila</w:t>
            </w:r>
            <w:proofErr w:type="spellEnd"/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et Fauvel dans la révolution du </w:t>
            </w:r>
            <w:proofErr w:type="spellStart"/>
            <w:r w:rsidR="00503B49" w:rsidRPr="00385F6D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regimen</w:t>
            </w:r>
            <w:proofErr w:type="spellEnd"/>
          </w:p>
        </w:tc>
        <w:tc>
          <w:tcPr>
            <w:tcW w:w="0" w:type="auto"/>
          </w:tcPr>
          <w:p w:rsidR="00FB2DAB" w:rsidRPr="00385F6D" w:rsidRDefault="00160D41" w:rsidP="00385F6D">
            <w:pPr>
              <w:spacing w:line="240" w:lineRule="atLeast"/>
              <w:ind w:left="142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="00FB2DAB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proofErr w:type="spellStart"/>
            <w:r w:rsidR="009A7F18" w:rsidRPr="00385F6D">
              <w:rPr>
                <w:rFonts w:ascii="Garamond" w:hAnsi="Garamond"/>
                <w:sz w:val="22"/>
                <w:szCs w:val="22"/>
              </w:rPr>
              <w:t>Lalou</w:t>
            </w:r>
            <w:proofErr w:type="spellEnd"/>
            <w:r w:rsidR="009A7F18" w:rsidRPr="00385F6D">
              <w:rPr>
                <w:rFonts w:ascii="Garamond" w:hAnsi="Garamond"/>
                <w:sz w:val="22"/>
                <w:szCs w:val="22"/>
              </w:rPr>
              <w:t xml:space="preserve">, Élisabeth, « Le 'Roman de Fauvel' ou le miroir déformant », dans Frédérique Lachaud et Lydwine </w:t>
            </w:r>
            <w:proofErr w:type="spellStart"/>
            <w:r w:rsidR="009A7F18" w:rsidRPr="00385F6D">
              <w:rPr>
                <w:rFonts w:ascii="Garamond" w:hAnsi="Garamond"/>
                <w:sz w:val="22"/>
                <w:szCs w:val="22"/>
              </w:rPr>
              <w:t>Scordia</w:t>
            </w:r>
            <w:proofErr w:type="spellEnd"/>
            <w:r w:rsidR="009A7F18" w:rsidRPr="00385F6D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="009A7F18" w:rsidRPr="00385F6D">
              <w:rPr>
                <w:rFonts w:ascii="Garamond" w:hAnsi="Garamond"/>
                <w:sz w:val="22"/>
                <w:szCs w:val="22"/>
              </w:rPr>
              <w:t>dir</w:t>
            </w:r>
            <w:proofErr w:type="spellEnd"/>
            <w:r w:rsidR="009A7F18" w:rsidRPr="00385F6D">
              <w:rPr>
                <w:rFonts w:ascii="Garamond" w:hAnsi="Garamond"/>
                <w:sz w:val="22"/>
                <w:szCs w:val="22"/>
              </w:rPr>
              <w:t xml:space="preserve">.), </w:t>
            </w:r>
            <w:r w:rsidR="009A7F18" w:rsidRPr="00385F6D">
              <w:rPr>
                <w:rFonts w:ascii="Garamond" w:hAnsi="Garamond"/>
                <w:i/>
                <w:iCs/>
                <w:sz w:val="22"/>
                <w:szCs w:val="22"/>
              </w:rPr>
              <w:t>Le prince au miroir de la littérature politique de l'Antiquité aux Lumières</w:t>
            </w:r>
            <w:r w:rsidR="009A7F18" w:rsidRPr="00385F6D">
              <w:rPr>
                <w:rFonts w:ascii="Garamond" w:hAnsi="Garamond"/>
                <w:sz w:val="22"/>
                <w:szCs w:val="22"/>
              </w:rPr>
              <w:t>, Rouen, Publications des universités de Rouen et du Havre, 2007, pp. 217-228.</w:t>
            </w:r>
          </w:p>
          <w:p w:rsidR="00503B49" w:rsidRPr="00385F6D" w:rsidRDefault="00A875CD" w:rsidP="00385F6D">
            <w:pPr>
              <w:spacing w:line="240" w:lineRule="atLeast"/>
              <w:ind w:left="145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>La métaphore animale à la cour de Philippe le Bel (docs. 4 et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 </w:t>
            </w:r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>5</w:t>
            </w:r>
            <w:r w:rsidR="008C0771" w:rsidRPr="00385F6D">
              <w:rPr>
                <w:rFonts w:ascii="Garamond" w:hAnsi="Garamond"/>
                <w:sz w:val="22"/>
                <w:szCs w:val="22"/>
                <w:lang w:val="fr-FR"/>
              </w:rPr>
              <w:t>, pp. 12-18</w:t>
            </w:r>
            <w:r w:rsidR="00F76DDF">
              <w:rPr>
                <w:rFonts w:ascii="Garamond" w:hAnsi="Garamond"/>
                <w:sz w:val="22"/>
                <w:szCs w:val="22"/>
                <w:lang w:val="fr-FR"/>
              </w:rPr>
              <w:t>)</w:t>
            </w:r>
            <w:r w:rsidR="008C0771" w:rsidRPr="00385F6D">
              <w:rPr>
                <w:rFonts w:ascii="Garamond" w:hAnsi="Garamond"/>
                <w:sz w:val="22"/>
                <w:szCs w:val="22"/>
                <w:lang w:val="fr-FR"/>
              </w:rPr>
              <w:t>.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13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-14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/02</w:t>
            </w:r>
          </w:p>
        </w:tc>
        <w:tc>
          <w:tcPr>
            <w:tcW w:w="0" w:type="auto"/>
          </w:tcPr>
          <w:p w:rsidR="00703837" w:rsidRPr="00385F6D" w:rsidRDefault="00703837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3</w:t>
            </w:r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>. Les devises animalières des princes de France revendications et rivalités politiques</w:t>
            </w:r>
          </w:p>
        </w:tc>
        <w:tc>
          <w:tcPr>
            <w:tcW w:w="0" w:type="auto"/>
          </w:tcPr>
          <w:p w:rsidR="00FB2DAB" w:rsidRPr="00385F6D" w:rsidRDefault="00160D41" w:rsidP="00385F6D">
            <w:pPr>
              <w:spacing w:line="240" w:lineRule="atLeast"/>
              <w:ind w:left="145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="00FB2DAB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proofErr w:type="spellStart"/>
            <w:r w:rsidR="00441BB0" w:rsidRPr="00385F6D">
              <w:rPr>
                <w:rFonts w:ascii="Garamond" w:hAnsi="Garamond"/>
                <w:sz w:val="22"/>
                <w:szCs w:val="22"/>
              </w:rPr>
              <w:t>Hablot</w:t>
            </w:r>
            <w:proofErr w:type="spellEnd"/>
            <w:r w:rsidR="00441BB0" w:rsidRPr="00385F6D">
              <w:rPr>
                <w:rFonts w:ascii="Garamond" w:hAnsi="Garamond"/>
                <w:sz w:val="22"/>
                <w:szCs w:val="22"/>
              </w:rPr>
              <w:t xml:space="preserve">, Laurent, « La 'mise en signes' du livre princier à la fin du Moyen Âge. Emblématique, histoire politique et codicologie », </w:t>
            </w:r>
            <w:r w:rsidR="00441BB0" w:rsidRPr="00385F6D">
              <w:rPr>
                <w:rFonts w:ascii="Garamond" w:hAnsi="Garamond"/>
                <w:i/>
                <w:iCs/>
                <w:sz w:val="22"/>
                <w:szCs w:val="22"/>
              </w:rPr>
              <w:t>Gazette du livre médiéval</w:t>
            </w:r>
            <w:r w:rsidR="00441BB0" w:rsidRPr="00385F6D">
              <w:rPr>
                <w:rFonts w:ascii="Garamond" w:hAnsi="Garamond"/>
                <w:sz w:val="22"/>
                <w:szCs w:val="22"/>
              </w:rPr>
              <w:t>, 36, 2000, pp. 25-35.</w:t>
            </w:r>
          </w:p>
          <w:p w:rsidR="00703837" w:rsidRPr="00385F6D" w:rsidRDefault="00A875CD" w:rsidP="00385F6D">
            <w:pPr>
              <w:spacing w:line="240" w:lineRule="atLeast"/>
              <w:ind w:left="145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 w:rsidR="00503B49" w:rsidRPr="00385F6D">
              <w:rPr>
                <w:rFonts w:ascii="Garamond" w:hAnsi="Garamond"/>
                <w:sz w:val="22"/>
                <w:szCs w:val="22"/>
                <w:lang w:val="fr-FR"/>
              </w:rPr>
              <w:t>Le meurtre du duc d'Orléans (1407), le lion contre le loup (doc. 2b</w:t>
            </w:r>
            <w:r w:rsidR="008C0771" w:rsidRPr="00385F6D">
              <w:rPr>
                <w:rFonts w:ascii="Garamond" w:hAnsi="Garamond"/>
                <w:sz w:val="22"/>
                <w:szCs w:val="22"/>
                <w:lang w:val="fr-FR"/>
              </w:rPr>
              <w:t>, pp. 39-42)</w:t>
            </w:r>
            <w:r w:rsidR="00F76DDF">
              <w:rPr>
                <w:rFonts w:ascii="Garamond" w:hAnsi="Garamond"/>
                <w:sz w:val="22"/>
                <w:szCs w:val="22"/>
                <w:lang w:val="fr-FR"/>
              </w:rPr>
              <w:t>.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27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-28/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02</w:t>
            </w:r>
          </w:p>
        </w:tc>
        <w:tc>
          <w:tcPr>
            <w:tcW w:w="0" w:type="auto"/>
          </w:tcPr>
          <w:p w:rsidR="00703837" w:rsidRPr="00385F6D" w:rsidRDefault="00A875CD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DST</w:t>
            </w:r>
          </w:p>
        </w:tc>
        <w:tc>
          <w:tcPr>
            <w:tcW w:w="0" w:type="auto"/>
          </w:tcPr>
          <w:p w:rsidR="00703837" w:rsidRPr="00385F6D" w:rsidRDefault="005652C1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5D2C50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 w:rsidR="00774B26" w:rsidRPr="00385F6D">
              <w:rPr>
                <w:rFonts w:ascii="Garamond" w:hAnsi="Garamond"/>
                <w:sz w:val="22"/>
                <w:szCs w:val="22"/>
                <w:lang w:val="fr-FR"/>
              </w:rPr>
              <w:t>mise en ligne la semaine précédente</w:t>
            </w:r>
          </w:p>
        </w:tc>
      </w:tr>
      <w:tr w:rsidR="00DE4875" w:rsidRPr="000B419B" w:rsidTr="004470F7">
        <w:tc>
          <w:tcPr>
            <w:tcW w:w="1129" w:type="dxa"/>
          </w:tcPr>
          <w:p w:rsidR="00DE4875" w:rsidRPr="00385F6D" w:rsidRDefault="00DE4875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05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-06/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03</w:t>
            </w:r>
          </w:p>
        </w:tc>
        <w:tc>
          <w:tcPr>
            <w:tcW w:w="0" w:type="auto"/>
            <w:gridSpan w:val="2"/>
          </w:tcPr>
          <w:p w:rsidR="00DE4875" w:rsidRPr="00385F6D" w:rsidRDefault="00DE4875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Correction du DST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12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-13/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03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4</w:t>
            </w:r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>. A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nimal et dispositif palatial, le cheval au palais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pStyle w:val="Titre2"/>
              <w:spacing w:before="0" w:beforeAutospacing="0" w:after="0" w:afterAutospacing="0" w:line="240" w:lineRule="atLeast"/>
              <w:ind w:left="145" w:hanging="145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u w:val="single"/>
                <w:lang w:val="fr-FR"/>
              </w:rPr>
              <w:t>Lecture préparatoire</w:t>
            </w:r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 xml:space="preserve"> : </w:t>
            </w:r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Boucheron, Patrick, « </w:t>
            </w:r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 xml:space="preserve">Non </w:t>
            </w:r>
            <w:proofErr w:type="spellStart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>domus</w:t>
            </w:r>
            <w:proofErr w:type="spellEnd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>ista</w:t>
            </w:r>
            <w:proofErr w:type="spellEnd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>sed</w:t>
            </w:r>
            <w:proofErr w:type="spellEnd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>urbs</w:t>
            </w:r>
            <w:proofErr w:type="spellEnd"/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: palais princiers et environnement urbain au Quattrocento (Milan, Mantoue, Urbino) », dans </w:t>
            </w:r>
            <w:r w:rsidR="007377D9"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>Les palais dans la ville. Espaces urbains et lieux de la puissance publique dans la Méditerranée médiévale,</w:t>
            </w:r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>dir</w:t>
            </w:r>
            <w:proofErr w:type="spellEnd"/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. Patrick Boucheron et Jacques </w:t>
            </w:r>
            <w:proofErr w:type="spellStart"/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>Chiffoleau</w:t>
            </w:r>
            <w:proofErr w:type="spellEnd"/>
            <w:r w:rsidR="007377D9" w:rsidRPr="00385F6D">
              <w:rPr>
                <w:rFonts w:ascii="Garamond" w:hAnsi="Garamond"/>
                <w:b w:val="0"/>
                <w:bCs w:val="0"/>
                <w:sz w:val="22"/>
                <w:szCs w:val="22"/>
              </w:rPr>
              <w:t>, Lyon, Presses universitaires de Lyon, 2004, pp. 249-284.</w:t>
            </w:r>
          </w:p>
          <w:p w:rsidR="007377D9" w:rsidRPr="00385F6D" w:rsidRDefault="008C0771" w:rsidP="00385F6D">
            <w:pPr>
              <w:spacing w:line="240" w:lineRule="atLeast"/>
              <w:ind w:left="145" w:hanging="145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La description de la Data par son architecte (doc. 3, pp. 49)</w:t>
            </w:r>
            <w:r w:rsidR="00F76DDF">
              <w:rPr>
                <w:rFonts w:ascii="Garamond" w:hAnsi="Garamond"/>
                <w:sz w:val="22"/>
                <w:szCs w:val="22"/>
                <w:lang w:val="fr-FR"/>
              </w:rPr>
              <w:t>.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19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-20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/03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5</w:t>
            </w:r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 xml:space="preserve">. 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L'animal dans l'alimentation princière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spacing w:line="240" w:lineRule="atLeast"/>
              <w:ind w:left="172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="00BB7DF2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proofErr w:type="spellStart"/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>Laurioux</w:t>
            </w:r>
            <w:proofErr w:type="spellEnd"/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>, Bruno, « Manger par le menu. Fonctions et formes des listes de mets aux XIV</w:t>
            </w:r>
            <w:r w:rsidR="00884007" w:rsidRPr="00385F6D">
              <w:rPr>
                <w:rFonts w:ascii="Garamond" w:hAnsi="Garamond"/>
                <w:sz w:val="22"/>
                <w:szCs w:val="22"/>
                <w:vertAlign w:val="superscript"/>
                <w:lang w:val="fr-FR"/>
              </w:rPr>
              <w:t>e</w:t>
            </w:r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et XV</w:t>
            </w:r>
            <w:r w:rsidR="00884007" w:rsidRPr="00385F6D">
              <w:rPr>
                <w:rFonts w:ascii="Garamond" w:hAnsi="Garamond"/>
                <w:sz w:val="22"/>
                <w:szCs w:val="22"/>
                <w:vertAlign w:val="superscript"/>
                <w:lang w:val="fr-FR"/>
              </w:rPr>
              <w:t>e</w:t>
            </w:r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siècle », dans </w:t>
            </w:r>
            <w:r w:rsidR="00884007" w:rsidRPr="00385F6D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Le pouvoir des listes au Moyen Âge - II. Listes d'objets, listes de personnes</w:t>
            </w:r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, éd. Étienne </w:t>
            </w:r>
            <w:proofErr w:type="spellStart"/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>Anheim</w:t>
            </w:r>
            <w:proofErr w:type="spellEnd"/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, Laurent Feller, Madeleine </w:t>
            </w:r>
            <w:proofErr w:type="spellStart"/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>Jeay</w:t>
            </w:r>
            <w:proofErr w:type="spellEnd"/>
            <w:r w:rsidR="00884007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et Giuliano Milani, Paris, éditions de la Sorbonne, 2020, pp. 177-194.</w:t>
            </w:r>
          </w:p>
          <w:p w:rsidR="007377D9" w:rsidRPr="00385F6D" w:rsidRDefault="00536715" w:rsidP="00385F6D">
            <w:pPr>
              <w:spacing w:line="240" w:lineRule="atLeast"/>
              <w:ind w:left="172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 xml:space="preserve">Le </w:t>
            </w:r>
            <w:proofErr w:type="spellStart"/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>Viandier</w:t>
            </w:r>
            <w:proofErr w:type="spellEnd"/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 xml:space="preserve"> de Taillevent, chapitre des rôtis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(doc.</w:t>
            </w:r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> 2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, p. </w:t>
            </w:r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>56-57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)</w:t>
            </w:r>
            <w:r w:rsidR="00F76DDF">
              <w:rPr>
                <w:rFonts w:ascii="Garamond" w:hAnsi="Garamond"/>
                <w:sz w:val="22"/>
                <w:szCs w:val="22"/>
                <w:lang w:val="fr-FR"/>
              </w:rPr>
              <w:t>.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26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-27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/03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6</w:t>
            </w:r>
            <w:r w:rsidR="009142DC">
              <w:rPr>
                <w:rFonts w:ascii="Garamond" w:hAnsi="Garamond"/>
                <w:sz w:val="22"/>
                <w:szCs w:val="22"/>
                <w:lang w:val="fr-FR"/>
              </w:rPr>
              <w:t xml:space="preserve">. 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Des cours ensauvagées ?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spacing w:line="240" w:lineRule="atLeast"/>
              <w:ind w:left="172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="007377D9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 w:rsidR="00BB7DF2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Boudet, Jean-Patrice, « Un charivari tragique à la cour de Charles VI. Le bal des Ardents », dans </w:t>
            </w:r>
            <w:r w:rsidR="00BB7DF2" w:rsidRPr="00385F6D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Rituels de la vie publique et privée du Moyen Âge à nos jours</w:t>
            </w:r>
            <w:r w:rsidR="00BB7DF2"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, Anne </w:t>
            </w:r>
            <w:proofErr w:type="spellStart"/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>Friederike</w:t>
            </w:r>
            <w:proofErr w:type="spellEnd"/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>Delouis</w:t>
            </w:r>
            <w:proofErr w:type="spellEnd"/>
            <w:r w:rsidR="00BB7DF2" w:rsidRPr="00385F6D">
              <w:rPr>
                <w:rFonts w:ascii="Garamond" w:hAnsi="Garamond"/>
                <w:sz w:val="22"/>
                <w:szCs w:val="22"/>
              </w:rPr>
              <w:t xml:space="preserve">, Aude </w:t>
            </w:r>
            <w:proofErr w:type="spellStart"/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>Déruelle</w:t>
            </w:r>
            <w:proofErr w:type="spellEnd"/>
            <w:r w:rsidR="00BB7DF2" w:rsidRPr="00385F6D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 xml:space="preserve">Philippe </w:t>
            </w:r>
            <w:proofErr w:type="spellStart"/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>Haugeard</w:t>
            </w:r>
            <w:proofErr w:type="spellEnd"/>
            <w:r w:rsidR="00BB7DF2" w:rsidRPr="00385F6D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BB7DF2" w:rsidRPr="00385F6D">
              <w:rPr>
                <w:rStyle w:val="noticecontact"/>
                <w:rFonts w:ascii="Garamond" w:hAnsi="Garamond"/>
                <w:sz w:val="22"/>
                <w:szCs w:val="22"/>
              </w:rPr>
              <w:t xml:space="preserve">Gaël Rideau, Paris, Classiques Garnier, </w:t>
            </w:r>
            <w:r w:rsidR="00BB7DF2" w:rsidRPr="00385F6D">
              <w:rPr>
                <w:rFonts w:ascii="Garamond" w:hAnsi="Garamond"/>
                <w:sz w:val="22"/>
                <w:szCs w:val="22"/>
                <w:lang w:val="fr-FR"/>
              </w:rPr>
              <w:t>2021, pp. 81-92.</w:t>
            </w:r>
          </w:p>
          <w:p w:rsidR="007377D9" w:rsidRPr="00385F6D" w:rsidRDefault="008041E9" w:rsidP="00385F6D">
            <w:pPr>
              <w:spacing w:line="240" w:lineRule="atLeast"/>
              <w:ind w:left="172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5D2C50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le Bal des Ardents d'après Michel </w:t>
            </w:r>
            <w:proofErr w:type="spellStart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Pintoin</w:t>
            </w:r>
            <w:proofErr w:type="spellEnd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(doc. 1, pp. 65-66).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02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-03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/04</w:t>
            </w:r>
          </w:p>
        </w:tc>
        <w:tc>
          <w:tcPr>
            <w:tcW w:w="0" w:type="auto"/>
          </w:tcPr>
          <w:p w:rsidR="00703837" w:rsidRPr="00385F6D" w:rsidRDefault="000B419B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DST</w:t>
            </w:r>
          </w:p>
        </w:tc>
        <w:tc>
          <w:tcPr>
            <w:tcW w:w="0" w:type="auto"/>
          </w:tcPr>
          <w:p w:rsidR="00703837" w:rsidRPr="00385F6D" w:rsidRDefault="00B12E8E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="009142DC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 xml:space="preserve"> </w:t>
            </w:r>
            <w:r w:rsidR="009142DC" w:rsidRPr="009142DC">
              <w:rPr>
                <w:rFonts w:ascii="Garamond" w:hAnsi="Garamond"/>
                <w:sz w:val="22"/>
                <w:szCs w:val="22"/>
                <w:lang w:val="fr-FR"/>
              </w:rPr>
              <w:t>(?)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 w:rsidR="00774B26" w:rsidRPr="00385F6D">
              <w:rPr>
                <w:rFonts w:ascii="Garamond" w:hAnsi="Garamond"/>
                <w:sz w:val="22"/>
                <w:szCs w:val="22"/>
                <w:lang w:val="fr-FR"/>
              </w:rPr>
              <w:t>mise en ligne la semaine précédente</w:t>
            </w:r>
          </w:p>
        </w:tc>
      </w:tr>
      <w:tr w:rsidR="0018423D" w:rsidRPr="000B419B" w:rsidTr="007700F3">
        <w:tc>
          <w:tcPr>
            <w:tcW w:w="1129" w:type="dxa"/>
          </w:tcPr>
          <w:p w:rsidR="0018423D" w:rsidRPr="00385F6D" w:rsidRDefault="0018423D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16-17/04</w:t>
            </w:r>
          </w:p>
        </w:tc>
        <w:tc>
          <w:tcPr>
            <w:tcW w:w="0" w:type="auto"/>
          </w:tcPr>
          <w:p w:rsidR="0018423D" w:rsidRPr="00385F6D" w:rsidRDefault="0018423D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7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. 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Les ménageries princières</w:t>
            </w:r>
          </w:p>
        </w:tc>
        <w:tc>
          <w:tcPr>
            <w:tcW w:w="0" w:type="auto"/>
          </w:tcPr>
          <w:p w:rsidR="0018423D" w:rsidRPr="00385F6D" w:rsidRDefault="0018423D" w:rsidP="0018423D">
            <w:pPr>
              <w:spacing w:line="240" w:lineRule="atLeast"/>
              <w:ind w:left="172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Lecture préparatoire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proofErr w:type="spellStart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Buquet</w:t>
            </w:r>
            <w:proofErr w:type="spellEnd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. Thierry, « Les animaux exotiques dans les ménageries médiévales », dans Jacques Toussaint (</w:t>
            </w:r>
            <w:proofErr w:type="spellStart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dir</w:t>
            </w:r>
            <w:proofErr w:type="spellEnd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.), </w:t>
            </w:r>
            <w:r w:rsidRPr="00385F6D">
              <w:rPr>
                <w:rFonts w:ascii="Garamond" w:hAnsi="Garamond"/>
                <w:i/>
                <w:iCs/>
                <w:sz w:val="22"/>
                <w:szCs w:val="22"/>
                <w:lang w:val="fr-FR"/>
              </w:rPr>
              <w:t>Fabuleuses histoires des bêtes et des hommes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, Namur, </w:t>
            </w:r>
            <w:proofErr w:type="spellStart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Trema</w:t>
            </w:r>
            <w:proofErr w:type="spellEnd"/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- Société archéologique de Namur, 2013, pp.97-121.</w:t>
            </w:r>
          </w:p>
          <w:p w:rsidR="0018423D" w:rsidRPr="00385F6D" w:rsidRDefault="0018423D" w:rsidP="0018423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5D2C50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 xml:space="preserve"> : 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les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fr-FR"/>
              </w:rPr>
              <w:t>Taboch</w:t>
            </w:r>
            <w:proofErr w:type="spellEnd"/>
            <w:r>
              <w:rPr>
                <w:rFonts w:ascii="Garamond" w:hAnsi="Garamond"/>
                <w:sz w:val="22"/>
                <w:szCs w:val="22"/>
                <w:lang w:val="fr-FR"/>
              </w:rPr>
              <w:t>, Juifs de Saragosse, « 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fr-FR"/>
              </w:rPr>
              <w:t>Lionniers</w:t>
            </w:r>
            <w:proofErr w:type="spellEnd"/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 » de Pierre IV d'Aragon (doc. 3, pp. 83-84)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23</w:t>
            </w:r>
            <w:r w:rsidR="00A478FB" w:rsidRPr="00385F6D">
              <w:rPr>
                <w:rFonts w:ascii="Garamond" w:hAnsi="Garamond"/>
                <w:sz w:val="22"/>
                <w:szCs w:val="22"/>
                <w:lang w:val="fr-FR"/>
              </w:rPr>
              <w:t>-24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/04</w:t>
            </w:r>
          </w:p>
        </w:tc>
        <w:tc>
          <w:tcPr>
            <w:tcW w:w="0" w:type="auto"/>
          </w:tcPr>
          <w:p w:rsidR="00703837" w:rsidRPr="00385F6D" w:rsidRDefault="0018423D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Dossier 8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. </w:t>
            </w: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La souveraineté sur l'animal, le prince et la chasse</w:t>
            </w:r>
          </w:p>
        </w:tc>
        <w:tc>
          <w:tcPr>
            <w:tcW w:w="0" w:type="auto"/>
          </w:tcPr>
          <w:p w:rsidR="0018423D" w:rsidRPr="00385F6D" w:rsidRDefault="0018423D" w:rsidP="0018423D">
            <w:pPr>
              <w:pStyle w:val="Titre2"/>
              <w:spacing w:before="0" w:beforeAutospacing="0" w:after="0" w:afterAutospacing="0" w:line="240" w:lineRule="atLeast"/>
              <w:ind w:left="142" w:hanging="142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u w:val="single"/>
                <w:lang w:val="fr-FR"/>
              </w:rPr>
              <w:t>Lecture préparatoire</w:t>
            </w:r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 xml:space="preserve"> : </w:t>
            </w:r>
            <w:proofErr w:type="spellStart"/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Strubel</w:t>
            </w:r>
            <w:proofErr w:type="spellEnd"/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 xml:space="preserve">, Armand, « Écrire la chasse : le prologue du Livre de chasse de Gaston </w:t>
            </w:r>
            <w:proofErr w:type="spellStart"/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Fébus</w:t>
            </w:r>
            <w:proofErr w:type="spellEnd"/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 xml:space="preserve"> », </w:t>
            </w:r>
            <w:r w:rsidRPr="00385F6D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  <w:lang w:val="fr-FR"/>
              </w:rPr>
              <w:t>Le Moyen Âge</w:t>
            </w:r>
            <w:r w:rsidRPr="00385F6D">
              <w:rPr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, 95, 1989, pp. 491-502.</w:t>
            </w:r>
          </w:p>
          <w:p w:rsidR="007377D9" w:rsidRPr="00385F6D" w:rsidRDefault="0018423D" w:rsidP="0018423D">
            <w:pPr>
              <w:spacing w:line="240" w:lineRule="atLeast"/>
              <w:ind w:left="172" w:hanging="142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 w:rsidRPr="005D2C50">
              <w:rPr>
                <w:rFonts w:ascii="Garamond" w:hAnsi="Garamond"/>
                <w:sz w:val="22"/>
                <w:szCs w:val="22"/>
                <w:u w:val="single"/>
              </w:rPr>
              <w:t>Travail de commentaire</w:t>
            </w:r>
            <w:r w:rsidRPr="00385F6D">
              <w:rPr>
                <w:rFonts w:ascii="Garamond" w:hAnsi="Garamond"/>
                <w:sz w:val="22"/>
                <w:szCs w:val="22"/>
              </w:rPr>
              <w:t xml:space="preserve"> : Prologue du Traité de fauconnerie de Pedro </w:t>
            </w:r>
            <w:proofErr w:type="spellStart"/>
            <w:r w:rsidRPr="00385F6D">
              <w:rPr>
                <w:rFonts w:ascii="Garamond" w:hAnsi="Garamond"/>
                <w:sz w:val="22"/>
                <w:szCs w:val="22"/>
              </w:rPr>
              <w:t>López</w:t>
            </w:r>
            <w:proofErr w:type="spellEnd"/>
            <w:r w:rsidRPr="00385F6D">
              <w:rPr>
                <w:rFonts w:ascii="Garamond" w:hAnsi="Garamond"/>
                <w:sz w:val="22"/>
                <w:szCs w:val="22"/>
              </w:rPr>
              <w:t xml:space="preserve"> de Ayala (doc. 1b, pp. 97-98).</w:t>
            </w:r>
          </w:p>
        </w:tc>
      </w:tr>
      <w:tr w:rsidR="004470F7" w:rsidRPr="000B419B" w:rsidTr="004470F7">
        <w:tc>
          <w:tcPr>
            <w:tcW w:w="1129" w:type="dxa"/>
          </w:tcPr>
          <w:p w:rsidR="00703837" w:rsidRPr="00385F6D" w:rsidRDefault="00703837" w:rsidP="00385F6D">
            <w:pPr>
              <w:spacing w:line="240" w:lineRule="atLeast"/>
              <w:rPr>
                <w:rFonts w:ascii="Garamond" w:hAnsi="Garamond"/>
                <w:sz w:val="22"/>
                <w:szCs w:val="22"/>
                <w:lang w:val="fr-FR"/>
              </w:rPr>
            </w:pPr>
            <w:r w:rsidRPr="00385F6D">
              <w:rPr>
                <w:rFonts w:ascii="Garamond" w:hAnsi="Garamond"/>
                <w:sz w:val="22"/>
                <w:szCs w:val="22"/>
                <w:lang w:val="fr-FR"/>
              </w:rPr>
              <w:t>30</w:t>
            </w:r>
            <w:r w:rsidR="00DB4678">
              <w:rPr>
                <w:rFonts w:ascii="Garamond" w:hAnsi="Garamond"/>
                <w:sz w:val="22"/>
                <w:szCs w:val="22"/>
                <w:lang w:val="fr-FR"/>
              </w:rPr>
              <w:t>/04</w:t>
            </w:r>
            <w:r w:rsidR="00C7058E">
              <w:rPr>
                <w:rFonts w:ascii="Garamond" w:hAnsi="Garamond"/>
                <w:sz w:val="22"/>
                <w:szCs w:val="22"/>
                <w:lang w:val="fr-FR"/>
              </w:rPr>
              <w:t xml:space="preserve"> (01/05)</w:t>
            </w:r>
          </w:p>
        </w:tc>
        <w:tc>
          <w:tcPr>
            <w:tcW w:w="0" w:type="auto"/>
          </w:tcPr>
          <w:p w:rsidR="00703837" w:rsidRPr="00385F6D" w:rsidRDefault="0018423D" w:rsidP="00385F6D">
            <w:pPr>
              <w:spacing w:line="240" w:lineRule="atLeast"/>
              <w:jc w:val="both"/>
              <w:rPr>
                <w:rFonts w:ascii="Garamond" w:hAnsi="Garamond"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sz w:val="22"/>
                <w:szCs w:val="22"/>
                <w:lang w:val="fr-FR"/>
              </w:rPr>
              <w:t>Correction DST</w:t>
            </w:r>
          </w:p>
        </w:tc>
        <w:tc>
          <w:tcPr>
            <w:tcW w:w="0" w:type="auto"/>
          </w:tcPr>
          <w:p w:rsidR="00703837" w:rsidRPr="00385F6D" w:rsidRDefault="00703837" w:rsidP="00385F6D">
            <w:pPr>
              <w:pStyle w:val="Titre2"/>
              <w:spacing w:before="0" w:beforeAutospacing="0" w:after="0" w:afterAutospacing="0" w:line="240" w:lineRule="atLeast"/>
              <w:ind w:left="142" w:hanging="142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</w:tbl>
    <w:p w:rsidR="00703837" w:rsidRPr="000B419B" w:rsidRDefault="00703837">
      <w:pPr>
        <w:rPr>
          <w:rFonts w:ascii="Garamond" w:hAnsi="Garamond"/>
          <w:sz w:val="22"/>
          <w:szCs w:val="22"/>
          <w:lang w:val="fr-FR"/>
        </w:rPr>
      </w:pPr>
    </w:p>
    <w:sectPr w:rsidR="00703837" w:rsidRPr="000B419B" w:rsidSect="0070383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37"/>
    <w:rsid w:val="00055D91"/>
    <w:rsid w:val="000A7DA5"/>
    <w:rsid w:val="000B419B"/>
    <w:rsid w:val="000C0C5A"/>
    <w:rsid w:val="00160D41"/>
    <w:rsid w:val="0018423D"/>
    <w:rsid w:val="00385F6D"/>
    <w:rsid w:val="00441BB0"/>
    <w:rsid w:val="004470F7"/>
    <w:rsid w:val="00503B49"/>
    <w:rsid w:val="00536715"/>
    <w:rsid w:val="00551EF9"/>
    <w:rsid w:val="005652C1"/>
    <w:rsid w:val="005D2C50"/>
    <w:rsid w:val="006563FE"/>
    <w:rsid w:val="00703837"/>
    <w:rsid w:val="007377D9"/>
    <w:rsid w:val="00774B26"/>
    <w:rsid w:val="008041E9"/>
    <w:rsid w:val="00884007"/>
    <w:rsid w:val="008C0771"/>
    <w:rsid w:val="008D2192"/>
    <w:rsid w:val="009142DC"/>
    <w:rsid w:val="009A4B17"/>
    <w:rsid w:val="009A7F18"/>
    <w:rsid w:val="00A478FB"/>
    <w:rsid w:val="00A875CD"/>
    <w:rsid w:val="00B12E8E"/>
    <w:rsid w:val="00B13CC7"/>
    <w:rsid w:val="00B95C3E"/>
    <w:rsid w:val="00BA24EA"/>
    <w:rsid w:val="00BB7DF2"/>
    <w:rsid w:val="00C7058E"/>
    <w:rsid w:val="00DA3505"/>
    <w:rsid w:val="00DB4678"/>
    <w:rsid w:val="00DD1B4F"/>
    <w:rsid w:val="00DE4875"/>
    <w:rsid w:val="00F76DDF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17C61"/>
  <w15:chartTrackingRefBased/>
  <w15:docId w15:val="{3AD26D9D-BB8A-914A-8ECB-DA1628B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377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377D9"/>
    <w:rPr>
      <w:rFonts w:ascii="Times New Roman" w:eastAsia="Times New Roman" w:hAnsi="Times New Roman" w:cs="Times New Roman"/>
      <w:b/>
      <w:bCs/>
      <w:kern w:val="0"/>
      <w:sz w:val="36"/>
      <w:szCs w:val="36"/>
      <w:lang w:eastAsia="fr-CA"/>
      <w14:ligatures w14:val="none"/>
    </w:rPr>
  </w:style>
  <w:style w:type="character" w:customStyle="1" w:styleId="noticecontact">
    <w:name w:val="notice_contact"/>
    <w:basedOn w:val="Policepardfaut"/>
    <w:rsid w:val="00BB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2024-01-28T08:47:00Z</dcterms:created>
  <dcterms:modified xsi:type="dcterms:W3CDTF">2024-01-29T03:35:00Z</dcterms:modified>
</cp:coreProperties>
</file>