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6B43" w14:textId="77777777" w:rsidR="00B43E5B" w:rsidRDefault="00000000">
      <w:pPr>
        <w:pStyle w:val="Corps"/>
        <w:jc w:val="center"/>
        <w:rPr>
          <w:b/>
          <w:bCs/>
        </w:rPr>
      </w:pPr>
      <w:r>
        <w:rPr>
          <w:b/>
          <w:bCs/>
        </w:rPr>
        <w:t>Théories « énergétiques » de la culture</w:t>
      </w:r>
    </w:p>
    <w:p w14:paraId="6BBEA1AF" w14:textId="77777777" w:rsidR="00B43E5B" w:rsidRDefault="00B43E5B">
      <w:pPr>
        <w:pStyle w:val="Corps"/>
      </w:pPr>
    </w:p>
    <w:p w14:paraId="0B4DA732" w14:textId="77777777" w:rsidR="00B43E5B" w:rsidRDefault="00B43E5B">
      <w:pPr>
        <w:pStyle w:val="Corps"/>
      </w:pPr>
    </w:p>
    <w:p w14:paraId="3D13DCF1" w14:textId="77777777" w:rsidR="00B43E5B" w:rsidRDefault="00000000">
      <w:pPr>
        <w:pStyle w:val="Corps"/>
        <w:jc w:val="both"/>
      </w:pPr>
      <w:r>
        <w:t xml:space="preserve">Peut-on mesurer les « effets » énergétiques de la Chapelle Sixtine ou de « l’art de construire des caniveaux » ? C’est à ce type de questions qu’avec beaucoup d’ironie cherche à répondre le sociologue Max Weber dans un texte de 1909, encore non traduit en français. Aujourd’hui, au moment où se dégage un imaginaire sociotechnique concevant que toute activité doive être évaluée à l’aune de sa dépense et de son optimisation énergétique, ce texte se révèle d’une actualité extraordinaire. Le séminaire proposera une lecture critique de ce long compte rendu que le sociologue allemand avait consacré à un ouvrage du prix Nobel de chimie </w:t>
      </w:r>
      <w:r>
        <w:rPr>
          <w:lang w:val="pt-PT"/>
        </w:rPr>
        <w:t>Wilhelm</w:t>
      </w:r>
      <w:r>
        <w:t xml:space="preserve"> Ostwald. Ce travail permettra d’aborder la problématique des rapports complexes entre la catégorie technique de « rendement » et celle de « valeur historico-culturelle » dans l’étude des activités sociales de transformation de l’énergie. En réinscrivant ce texte dans la pensée épistémologique de Max Weber et dans les débats sur l’efficacité technique du début du XXe siècle, nous chercherons à répondre aux questions tout à la fois méthodologiques et politiques que les moments de soi-disant « transition énergétique » posent aux sciences sociales.</w:t>
      </w:r>
    </w:p>
    <w:p w14:paraId="3E0FD0BC" w14:textId="77777777" w:rsidR="00B43E5B" w:rsidRDefault="00B43E5B">
      <w:pPr>
        <w:pStyle w:val="Corps"/>
        <w:jc w:val="both"/>
      </w:pPr>
    </w:p>
    <w:p w14:paraId="7FC78533" w14:textId="77777777" w:rsidR="00B43E5B" w:rsidRDefault="00B43E5B">
      <w:pPr>
        <w:pStyle w:val="Corps"/>
        <w:jc w:val="both"/>
      </w:pPr>
    </w:p>
    <w:p w14:paraId="244DEB9E" w14:textId="77777777" w:rsidR="00B43E5B" w:rsidRDefault="00B43E5B">
      <w:pPr>
        <w:pStyle w:val="Corps"/>
        <w:jc w:val="both"/>
      </w:pPr>
    </w:p>
    <w:p w14:paraId="5C54CA10" w14:textId="77777777" w:rsidR="00B43E5B" w:rsidRDefault="00000000">
      <w:pPr>
        <w:pStyle w:val="Corps"/>
        <w:jc w:val="both"/>
      </w:pPr>
      <w:r>
        <w:t>Eléments de bibliographie :</w:t>
      </w:r>
    </w:p>
    <w:p w14:paraId="3BD8B476" w14:textId="77777777" w:rsidR="00B43E5B" w:rsidRDefault="00B43E5B">
      <w:pPr>
        <w:pStyle w:val="Corps"/>
        <w:jc w:val="both"/>
      </w:pPr>
    </w:p>
    <w:p w14:paraId="038FD4E2" w14:textId="77777777" w:rsidR="00B43E5B" w:rsidRDefault="00000000">
      <w:pPr>
        <w:pStyle w:val="Pardfaut"/>
        <w:spacing w:before="0" w:line="240" w:lineRule="auto"/>
        <w:rPr>
          <w:rFonts w:ascii="Times Roman" w:eastAsia="Times Roman" w:hAnsi="Times Roman" w:cs="Times Roman"/>
        </w:rPr>
      </w:pPr>
      <w:r>
        <w:rPr>
          <w:rFonts w:ascii="Times Roman" w:hAnsi="Times Roman"/>
        </w:rPr>
        <w:t xml:space="preserve">Bensaude-Vincent, Bernadette. </w:t>
      </w:r>
      <w:r>
        <w:rPr>
          <w:rStyle w:val="Aucun"/>
          <w:rFonts w:ascii="Times Roman" w:hAnsi="Times Roman"/>
          <w:i/>
          <w:iCs/>
        </w:rPr>
        <w:t>L’énergétique d</w:t>
      </w:r>
      <w:r>
        <w:rPr>
          <w:rStyle w:val="Aucun"/>
          <w:rFonts w:ascii="Times Roman" w:hAnsi="Times Roman"/>
          <w:i/>
          <w:iCs/>
          <w:rtl/>
        </w:rPr>
        <w:t>’</w:t>
      </w:r>
      <w:r>
        <w:rPr>
          <w:rStyle w:val="Aucun"/>
          <w:rFonts w:ascii="Times Roman" w:hAnsi="Times Roman"/>
          <w:i/>
          <w:iCs/>
        </w:rPr>
        <w:t>Ostwald</w:t>
      </w:r>
      <w:r>
        <w:rPr>
          <w:rFonts w:ascii="Times Roman" w:hAnsi="Times Roman"/>
        </w:rPr>
        <w:t xml:space="preserve"> In : </w:t>
      </w:r>
      <w:r>
        <w:rPr>
          <w:rStyle w:val="Aucun"/>
          <w:rFonts w:ascii="Times Roman" w:hAnsi="Times Roman"/>
          <w:i/>
          <w:iCs/>
        </w:rPr>
        <w:t>Le moment 1900 en philosophie</w:t>
      </w:r>
      <w:r>
        <w:rPr>
          <w:rFonts w:ascii="Times Roman" w:hAnsi="Times Roman"/>
        </w:rPr>
        <w:t xml:space="preserve"> [en ligne]. Villeneuve d'Ascq : Presses universitaires du Septentrion, 2004 (généré le 19 juin 2023). Disponible sur Internet</w:t>
      </w:r>
    </w:p>
    <w:p w14:paraId="3FE6968D" w14:textId="77777777" w:rsidR="00B43E5B" w:rsidRDefault="00B43E5B">
      <w:pPr>
        <w:pStyle w:val="Pardfaut"/>
        <w:spacing w:before="0" w:line="240" w:lineRule="auto"/>
        <w:rPr>
          <w:rFonts w:ascii="Times Roman" w:eastAsia="Times Roman" w:hAnsi="Times Roman" w:cs="Times Roman"/>
        </w:rPr>
      </w:pPr>
    </w:p>
    <w:p w14:paraId="0C2A7EC2" w14:textId="77777777" w:rsidR="00B43E5B" w:rsidRDefault="00000000">
      <w:pPr>
        <w:pStyle w:val="Pardfaut"/>
        <w:spacing w:before="0" w:line="240" w:lineRule="auto"/>
        <w:rPr>
          <w:rFonts w:ascii="Times Roman" w:eastAsia="Times Roman" w:hAnsi="Times Roman" w:cs="Times Roman"/>
        </w:rPr>
      </w:pPr>
      <w:r>
        <w:rPr>
          <w:rFonts w:ascii="Times Roman" w:hAnsi="Times Roman"/>
          <w:lang w:val="de-DE"/>
        </w:rPr>
        <w:t xml:space="preserve">Feuerhahn, Wolf. </w:t>
      </w:r>
      <w:r>
        <w:rPr>
          <w:rFonts w:ascii="Times Roman" w:hAnsi="Times Roman"/>
        </w:rPr>
        <w:t>« Une lecture de « La théorie de l</w:t>
      </w:r>
      <w:r>
        <w:rPr>
          <w:rFonts w:ascii="Times Roman" w:hAnsi="Times Roman"/>
          <w:rtl/>
        </w:rPr>
        <w:t>’</w:t>
      </w:r>
      <w:r>
        <w:rPr>
          <w:rFonts w:ascii="Times Roman" w:hAnsi="Times Roman"/>
          <w:lang w:val="it-IT"/>
        </w:rPr>
        <w:t>utilit</w:t>
      </w:r>
      <w:r>
        <w:rPr>
          <w:rFonts w:ascii="Times Roman" w:hAnsi="Times Roman"/>
        </w:rPr>
        <w:t xml:space="preserve">é marginale et la </w:t>
      </w:r>
      <w:r>
        <w:rPr>
          <w:rFonts w:ascii="Times Roman" w:hAnsi="Times Roman"/>
          <w:rtl/>
          <w:lang w:val="ar-SA"/>
        </w:rPr>
        <w:t>“</w:t>
      </w:r>
      <w:r>
        <w:rPr>
          <w:rFonts w:ascii="Times Roman" w:hAnsi="Times Roman"/>
        </w:rPr>
        <w:t xml:space="preserve">loi fondamentale de la psychophysique” » </w:t>
      </w:r>
      <w:r>
        <w:rPr>
          <w:rFonts w:ascii="Times Roman" w:hAnsi="Times Roman"/>
          <w:lang w:val="de-DE"/>
        </w:rPr>
        <w:t>de Max Weber</w:t>
      </w:r>
      <w:r>
        <w:rPr>
          <w:rFonts w:ascii="Times Roman" w:hAnsi="Times Roman"/>
        </w:rPr>
        <w:t xml:space="preserve"> », </w:t>
      </w:r>
      <w:r>
        <w:rPr>
          <w:rStyle w:val="Aucun"/>
          <w:rFonts w:ascii="Times Roman" w:hAnsi="Times Roman"/>
          <w:i/>
          <w:iCs/>
        </w:rPr>
        <w:t>Revue française de sociologie</w:t>
      </w:r>
      <w:r>
        <w:rPr>
          <w:rFonts w:ascii="Times Roman" w:hAnsi="Times Roman"/>
        </w:rPr>
        <w:t>, vol. 46, no. 4, 2005, pp. 783-797.</w:t>
      </w:r>
    </w:p>
    <w:p w14:paraId="554DA2A8" w14:textId="77777777" w:rsidR="00B43E5B" w:rsidRDefault="00B43E5B">
      <w:pPr>
        <w:pStyle w:val="Pardfaut"/>
        <w:spacing w:before="0" w:line="240" w:lineRule="auto"/>
        <w:rPr>
          <w:rFonts w:ascii="Times Roman" w:eastAsia="Times Roman" w:hAnsi="Times Roman" w:cs="Times Roman"/>
        </w:rPr>
      </w:pPr>
    </w:p>
    <w:p w14:paraId="1E65DA21" w14:textId="77777777" w:rsidR="00B43E5B" w:rsidRDefault="00000000">
      <w:pPr>
        <w:pStyle w:val="Pardfaut"/>
        <w:spacing w:before="0" w:line="240" w:lineRule="auto"/>
        <w:rPr>
          <w:rFonts w:ascii="Times Roman" w:eastAsia="Times Roman" w:hAnsi="Times Roman" w:cs="Times Roman"/>
        </w:rPr>
      </w:pPr>
      <w:r>
        <w:rPr>
          <w:rFonts w:ascii="Times Roman" w:hAnsi="Times Roman"/>
        </w:rPr>
        <w:t xml:space="preserve">Ostwald, </w:t>
      </w:r>
      <w:r>
        <w:rPr>
          <w:rFonts w:ascii="Times Roman" w:hAnsi="Times Roman"/>
          <w:lang w:val="pt-PT"/>
        </w:rPr>
        <w:t>Wilhelm</w:t>
      </w:r>
      <w:r>
        <w:rPr>
          <w:rFonts w:ascii="Times Roman" w:hAnsi="Times Roman"/>
        </w:rPr>
        <w:t xml:space="preserve">, </w:t>
      </w:r>
      <w:r>
        <w:rPr>
          <w:rStyle w:val="Aucun"/>
          <w:rFonts w:ascii="Times Roman" w:hAnsi="Times Roman"/>
          <w:i/>
          <w:iCs/>
        </w:rPr>
        <w:t>Les fondements énergétiques de la science de la civilisation</w:t>
      </w:r>
      <w:r>
        <w:rPr>
          <w:rFonts w:ascii="Times Roman" w:hAnsi="Times Roman"/>
        </w:rPr>
        <w:t>, 1 vol. in-18. Paris, Giard et Bri</w:t>
      </w:r>
      <w:r>
        <w:rPr>
          <w:rFonts w:ascii="Times Roman" w:hAnsi="Times Roman"/>
          <w:lang w:val="it-IT"/>
        </w:rPr>
        <w:t>è</w:t>
      </w:r>
      <w:r>
        <w:rPr>
          <w:rFonts w:ascii="Times Roman" w:hAnsi="Times Roman"/>
        </w:rPr>
        <w:t>re, 1910</w:t>
      </w:r>
    </w:p>
    <w:p w14:paraId="446DE853" w14:textId="77777777" w:rsidR="00B43E5B" w:rsidRDefault="00B43E5B">
      <w:pPr>
        <w:pStyle w:val="Pardfaut"/>
        <w:spacing w:before="0" w:line="240" w:lineRule="auto"/>
        <w:rPr>
          <w:rFonts w:ascii="Times Roman" w:eastAsia="Times Roman" w:hAnsi="Times Roman" w:cs="Times Roman"/>
        </w:rPr>
      </w:pPr>
    </w:p>
    <w:p w14:paraId="477684CE" w14:textId="77777777" w:rsidR="00B43E5B" w:rsidRDefault="00000000">
      <w:pPr>
        <w:pStyle w:val="Pardfaut"/>
        <w:spacing w:before="0" w:line="240" w:lineRule="auto"/>
        <w:rPr>
          <w:rFonts w:ascii="Times Roman" w:eastAsia="Times Roman" w:hAnsi="Times Roman" w:cs="Times Roman"/>
        </w:rPr>
      </w:pPr>
      <w:r>
        <w:rPr>
          <w:rFonts w:ascii="Times Roman" w:hAnsi="Times Roman"/>
          <w:lang w:val="pt-PT"/>
        </w:rPr>
        <w:t xml:space="preserve">Saraceno, Marco, et Thomas Seguin. </w:t>
      </w:r>
      <w:r>
        <w:rPr>
          <w:rFonts w:ascii="Times Roman" w:hAnsi="Times Roman"/>
        </w:rPr>
        <w:t>« </w:t>
      </w:r>
      <w:r>
        <w:rPr>
          <w:rFonts w:ascii="Times Roman" w:hAnsi="Times Roman"/>
          <w:lang w:val="da-DK"/>
        </w:rPr>
        <w:t>Ernest Solvay, Max Weber et l</w:t>
      </w:r>
      <w:r>
        <w:rPr>
          <w:rFonts w:ascii="Times Roman" w:hAnsi="Times Roman"/>
        </w:rPr>
        <w:t>’énergie. De l’é</w:t>
      </w:r>
      <w:r w:rsidRPr="007B23D9">
        <w:rPr>
          <w:rFonts w:ascii="Times Roman" w:hAnsi="Times Roman"/>
        </w:rPr>
        <w:t xml:space="preserve">valuation </w:t>
      </w:r>
      <w:r>
        <w:rPr>
          <w:rFonts w:ascii="Times Roman" w:hAnsi="Times Roman"/>
        </w:rPr>
        <w:t>énergétique de l</w:t>
      </w:r>
      <w:r>
        <w:rPr>
          <w:rFonts w:ascii="Times Roman" w:hAnsi="Times Roman"/>
          <w:rtl/>
        </w:rPr>
        <w:t>’</w:t>
      </w:r>
      <w:r w:rsidRPr="007B23D9">
        <w:rPr>
          <w:rFonts w:ascii="Times Roman" w:hAnsi="Times Roman"/>
        </w:rPr>
        <w:t>activit</w:t>
      </w:r>
      <w:r>
        <w:rPr>
          <w:rFonts w:ascii="Times Roman" w:hAnsi="Times Roman"/>
        </w:rPr>
        <w:t xml:space="preserve">é sociale aux valeurs sociales des activités énergétiques. », </w:t>
      </w:r>
      <w:r>
        <w:rPr>
          <w:rStyle w:val="Aucun"/>
          <w:rFonts w:ascii="Times Roman" w:hAnsi="Times Roman"/>
          <w:i/>
          <w:iCs/>
          <w:lang w:val="it-IT"/>
        </w:rPr>
        <w:t>L'Ann</w:t>
      </w:r>
      <w:r>
        <w:rPr>
          <w:rStyle w:val="Aucun"/>
          <w:rFonts w:ascii="Times Roman" w:hAnsi="Times Roman"/>
          <w:i/>
          <w:iCs/>
        </w:rPr>
        <w:t>ée sociologique</w:t>
      </w:r>
      <w:r>
        <w:rPr>
          <w:rFonts w:ascii="Times Roman" w:hAnsi="Times Roman"/>
          <w:lang w:val="pt-PT"/>
        </w:rPr>
        <w:t>, vol. 67, no. 2, 2017, pp. 453-480.</w:t>
      </w:r>
    </w:p>
    <w:p w14:paraId="28D1A5B5" w14:textId="77777777" w:rsidR="00B43E5B" w:rsidRDefault="00B43E5B">
      <w:pPr>
        <w:pStyle w:val="Pardfaut"/>
        <w:spacing w:before="0" w:line="240" w:lineRule="auto"/>
        <w:rPr>
          <w:rFonts w:ascii="Times Roman" w:eastAsia="Times Roman" w:hAnsi="Times Roman" w:cs="Times Roman"/>
        </w:rPr>
      </w:pPr>
    </w:p>
    <w:p w14:paraId="0DCEE68D" w14:textId="77777777" w:rsidR="00B43E5B" w:rsidRDefault="00000000">
      <w:pPr>
        <w:pStyle w:val="Pardfaut"/>
        <w:spacing w:before="0" w:line="240" w:lineRule="auto"/>
        <w:rPr>
          <w:rFonts w:ascii="Times Roman" w:eastAsia="Times Roman" w:hAnsi="Times Roman" w:cs="Times Roman"/>
        </w:rPr>
      </w:pPr>
      <w:r>
        <w:rPr>
          <w:rFonts w:ascii="Times Roman" w:hAnsi="Times Roman"/>
        </w:rPr>
        <w:t xml:space="preserve">Saraceno, Marco, </w:t>
      </w:r>
      <w:r>
        <w:rPr>
          <w:rStyle w:val="Aucun"/>
          <w:rFonts w:ascii="Times Roman" w:hAnsi="Times Roman"/>
          <w:i/>
          <w:iCs/>
        </w:rPr>
        <w:t xml:space="preserve">Pourquoi les hommes se fatiguent-ils, </w:t>
      </w:r>
      <w:r>
        <w:rPr>
          <w:rFonts w:ascii="Times Roman" w:hAnsi="Times Roman"/>
        </w:rPr>
        <w:t xml:space="preserve">Octarès, 2018 </w:t>
      </w:r>
    </w:p>
    <w:p w14:paraId="556F61E0" w14:textId="77777777" w:rsidR="00B43E5B" w:rsidRDefault="00B43E5B">
      <w:pPr>
        <w:pStyle w:val="Pardfaut"/>
        <w:spacing w:before="0" w:line="240" w:lineRule="auto"/>
        <w:rPr>
          <w:rFonts w:ascii="Times Roman" w:eastAsia="Times Roman" w:hAnsi="Times Roman" w:cs="Times Roman"/>
        </w:rPr>
      </w:pPr>
    </w:p>
    <w:p w14:paraId="2D0AA020" w14:textId="77777777" w:rsidR="00B43E5B" w:rsidRDefault="00000000">
      <w:pPr>
        <w:pStyle w:val="Pardfaut"/>
        <w:spacing w:before="0" w:line="240" w:lineRule="auto"/>
        <w:rPr>
          <w:rFonts w:ascii="Times Roman" w:eastAsia="Times Roman" w:hAnsi="Times Roman" w:cs="Times Roman"/>
        </w:rPr>
      </w:pPr>
      <w:r>
        <w:rPr>
          <w:rFonts w:ascii="Times Roman" w:hAnsi="Times Roman"/>
        </w:rPr>
        <w:t xml:space="preserve">Weber, Max </w:t>
      </w:r>
      <w:r>
        <w:rPr>
          <w:rStyle w:val="Aucun"/>
          <w:rFonts w:ascii="Times Roman" w:hAnsi="Times Roman"/>
          <w:i/>
          <w:iCs/>
          <w:lang w:val="de-DE"/>
        </w:rPr>
        <w:t>Energetische Kulturtheorie</w:t>
      </w:r>
      <w:r>
        <w:rPr>
          <w:rFonts w:ascii="Times Roman" w:hAnsi="Times Roman"/>
          <w:lang w:val="de-DE"/>
        </w:rPr>
        <w:t xml:space="preserve"> (1909). In: M. W: Gesammelte Aufs</w:t>
      </w:r>
      <w:r>
        <w:rPr>
          <w:rFonts w:ascii="Times Roman" w:hAnsi="Times Roman"/>
        </w:rPr>
        <w:t>ä</w:t>
      </w:r>
      <w:r>
        <w:rPr>
          <w:rFonts w:ascii="Times Roman" w:hAnsi="Times Roman"/>
          <w:lang w:val="de-DE"/>
        </w:rPr>
        <w:t>tze zur.</w:t>
      </w:r>
      <w:r>
        <w:rPr>
          <w:rFonts w:ascii="Times Roman" w:hAnsi="Times Roman"/>
        </w:rPr>
        <w:t xml:space="preserve"> </w:t>
      </w:r>
      <w:r>
        <w:rPr>
          <w:rFonts w:ascii="Times Roman" w:hAnsi="Times Roman"/>
          <w:lang w:val="de-DE"/>
        </w:rPr>
        <w:t>Wissenschaftslehre, T</w:t>
      </w:r>
      <w:r>
        <w:rPr>
          <w:rFonts w:ascii="Times Roman" w:hAnsi="Times Roman"/>
        </w:rPr>
        <w:t>ü</w:t>
      </w:r>
      <w:r>
        <w:rPr>
          <w:rFonts w:ascii="Times Roman" w:hAnsi="Times Roman"/>
          <w:lang w:val="de-DE"/>
        </w:rPr>
        <w:t>bingen: Mohr (Siebeck) 1973, S. 400</w:t>
      </w:r>
      <w:r>
        <w:rPr>
          <w:rFonts w:ascii="Times Roman" w:hAnsi="Times Roman"/>
        </w:rPr>
        <w:t>–426</w:t>
      </w:r>
    </w:p>
    <w:p w14:paraId="0BADA59F" w14:textId="77777777" w:rsidR="00B43E5B" w:rsidRDefault="00B43E5B">
      <w:pPr>
        <w:pStyle w:val="Pardfaut"/>
        <w:spacing w:before="0" w:line="240" w:lineRule="auto"/>
        <w:ind w:left="1134"/>
        <w:rPr>
          <w:rFonts w:ascii="Times Roman" w:eastAsia="Times Roman" w:hAnsi="Times Roman" w:cs="Times Roman"/>
          <w:b/>
          <w:bCs/>
        </w:rPr>
      </w:pPr>
    </w:p>
    <w:p w14:paraId="1FB78EDE" w14:textId="77777777" w:rsidR="00B43E5B" w:rsidRDefault="00000000">
      <w:pPr>
        <w:pStyle w:val="Pardfaut"/>
        <w:spacing w:before="0" w:line="240" w:lineRule="auto"/>
        <w:ind w:left="1134"/>
        <w:rPr>
          <w:rFonts w:ascii="Times Roman" w:eastAsia="Times Roman" w:hAnsi="Times Roman" w:cs="Times Roman"/>
          <w:b/>
          <w:bCs/>
        </w:rPr>
      </w:pPr>
      <w:r>
        <w:rPr>
          <w:rFonts w:ascii="Times Roman" w:hAnsi="Times Roman"/>
          <w:b/>
          <w:bCs/>
        </w:rPr>
        <w:t xml:space="preserve">Disponible également dans des traductions en anglais, italien ou espagnol : </w:t>
      </w:r>
    </w:p>
    <w:p w14:paraId="5FF0A6C6" w14:textId="77777777" w:rsidR="00B43E5B" w:rsidRDefault="00000000">
      <w:pPr>
        <w:pStyle w:val="Pardfaut"/>
        <w:numPr>
          <w:ilvl w:val="0"/>
          <w:numId w:val="2"/>
        </w:numPr>
        <w:spacing w:before="0" w:line="240" w:lineRule="auto"/>
        <w:rPr>
          <w:rFonts w:ascii="Times Roman" w:hAnsi="Times Roman" w:hint="eastAsia"/>
        </w:rPr>
      </w:pPr>
      <w:r>
        <w:rPr>
          <w:rFonts w:ascii="Times Roman" w:hAnsi="Times Roman"/>
        </w:rPr>
        <w:t>« Energetic »</w:t>
      </w:r>
      <w:r>
        <w:rPr>
          <w:rFonts w:ascii="Times Roman" w:hAnsi="Times Roman"/>
          <w:lang w:val="en-US"/>
        </w:rPr>
        <w:t xml:space="preserve"> Theories of Culture</w:t>
      </w:r>
      <w:r>
        <w:rPr>
          <w:rFonts w:ascii="Times Roman" w:hAnsi="Times Roman"/>
        </w:rPr>
        <w:t xml:space="preserve">, </w:t>
      </w:r>
      <w:r>
        <w:rPr>
          <w:rStyle w:val="Aucun"/>
          <w:rFonts w:ascii="Times Roman" w:hAnsi="Times Roman"/>
          <w:i/>
          <w:iCs/>
          <w:lang w:val="en-US"/>
        </w:rPr>
        <w:t>Mid-American Review of Sociology</w:t>
      </w:r>
      <w:r>
        <w:rPr>
          <w:rFonts w:ascii="Times Roman" w:hAnsi="Times Roman"/>
        </w:rPr>
        <w:t>, vol. 9, n° 2</w:t>
      </w:r>
    </w:p>
    <w:p w14:paraId="2E3AE8C0" w14:textId="77777777" w:rsidR="00B43E5B" w:rsidRDefault="00000000">
      <w:pPr>
        <w:pStyle w:val="Pardfaut"/>
        <w:numPr>
          <w:ilvl w:val="0"/>
          <w:numId w:val="2"/>
        </w:numPr>
        <w:spacing w:before="0" w:line="240" w:lineRule="auto"/>
        <w:rPr>
          <w:rFonts w:ascii="Times Roman" w:hAnsi="Times Roman" w:hint="eastAsia"/>
        </w:rPr>
      </w:pPr>
      <w:r>
        <w:rPr>
          <w:rFonts w:ascii="Times Roman" w:hAnsi="Times Roman"/>
        </w:rPr>
        <w:t xml:space="preserve">Teorie « energetiche » della cultura, in </w:t>
      </w:r>
      <w:r>
        <w:rPr>
          <w:rStyle w:val="Aucun"/>
          <w:rFonts w:ascii="Times Roman" w:hAnsi="Times Roman"/>
          <w:i/>
          <w:iCs/>
        </w:rPr>
        <w:t xml:space="preserve">Saggi sul metodo delle scienze sorico-sociali, </w:t>
      </w:r>
      <w:r>
        <w:rPr>
          <w:rFonts w:ascii="Times Roman" w:hAnsi="Times Roman"/>
        </w:rPr>
        <w:t>Ed. di communità, 2001, pp. 391-414</w:t>
      </w:r>
    </w:p>
    <w:p w14:paraId="24FFDA07" w14:textId="77777777" w:rsidR="00B43E5B" w:rsidRDefault="00000000">
      <w:pPr>
        <w:pStyle w:val="Pardfaut"/>
        <w:numPr>
          <w:ilvl w:val="0"/>
          <w:numId w:val="2"/>
        </w:numPr>
        <w:spacing w:before="0" w:line="240" w:lineRule="auto"/>
        <w:rPr>
          <w:rFonts w:ascii="Times Roman" w:hAnsi="Times Roman" w:hint="eastAsia"/>
        </w:rPr>
      </w:pPr>
      <w:r>
        <w:rPr>
          <w:rFonts w:ascii="Times Roman" w:hAnsi="Times Roman"/>
        </w:rPr>
        <w:t>Teorí</w:t>
      </w:r>
      <w:r>
        <w:rPr>
          <w:rFonts w:ascii="Times Roman" w:hAnsi="Times Roman"/>
          <w:lang w:val="en-US"/>
        </w:rPr>
        <w:t xml:space="preserve">as </w:t>
      </w:r>
      <w:r>
        <w:rPr>
          <w:rFonts w:ascii="Times Roman" w:hAnsi="Times Roman"/>
          <w:rtl/>
          <w:lang w:val="ar-SA"/>
        </w:rPr>
        <w:t>“</w:t>
      </w:r>
      <w:r>
        <w:rPr>
          <w:rFonts w:ascii="Times Roman" w:hAnsi="Times Roman"/>
        </w:rPr>
        <w:t>energé</w:t>
      </w:r>
      <w:r>
        <w:rPr>
          <w:rFonts w:ascii="Times Roman" w:hAnsi="Times Roman"/>
          <w:lang w:val="pt-PT"/>
        </w:rPr>
        <w:t>ticas</w:t>
      </w:r>
      <w:r>
        <w:rPr>
          <w:rFonts w:ascii="Times Roman" w:hAnsi="Times Roman"/>
        </w:rPr>
        <w:t xml:space="preserve">” </w:t>
      </w:r>
      <w:r>
        <w:rPr>
          <w:rFonts w:ascii="Times Roman" w:hAnsi="Times Roman"/>
          <w:lang w:val="it-IT"/>
        </w:rPr>
        <w:t xml:space="preserve">de la cultura. </w:t>
      </w:r>
      <w:r>
        <w:rPr>
          <w:rStyle w:val="Aucun"/>
          <w:rFonts w:ascii="Times Roman" w:hAnsi="Times Roman"/>
          <w:i/>
          <w:iCs/>
          <w:lang w:val="es-ES_tradnl"/>
        </w:rPr>
        <w:t>Res Publica. Revista de Historia de las Ideas Pol</w:t>
      </w:r>
      <w:r>
        <w:rPr>
          <w:rStyle w:val="Aucun"/>
          <w:rFonts w:ascii="Times Roman" w:hAnsi="Times Roman"/>
          <w:i/>
          <w:iCs/>
        </w:rPr>
        <w:t>í</w:t>
      </w:r>
      <w:r>
        <w:rPr>
          <w:rStyle w:val="Aucun"/>
          <w:rFonts w:ascii="Times Roman" w:hAnsi="Times Roman"/>
          <w:i/>
          <w:iCs/>
          <w:lang w:val="pt-PT"/>
        </w:rPr>
        <w:t>ticas</w:t>
      </w:r>
      <w:r>
        <w:rPr>
          <w:rFonts w:ascii="Times Roman" w:hAnsi="Times Roman"/>
        </w:rPr>
        <w:t xml:space="preserve">, </w:t>
      </w:r>
      <w:r>
        <w:rPr>
          <w:rStyle w:val="Aucun"/>
          <w:rFonts w:ascii="Times Roman" w:hAnsi="Times Roman"/>
          <w:i/>
          <w:iCs/>
        </w:rPr>
        <w:t>20</w:t>
      </w:r>
      <w:r>
        <w:rPr>
          <w:rFonts w:ascii="Times Roman" w:hAnsi="Times Roman"/>
        </w:rPr>
        <w:t>(2), 449-467</w:t>
      </w:r>
    </w:p>
    <w:p w14:paraId="065C14F0" w14:textId="77777777" w:rsidR="00B43E5B" w:rsidRDefault="00B43E5B">
      <w:pPr>
        <w:pStyle w:val="Pardfaut"/>
        <w:spacing w:before="0" w:line="240" w:lineRule="auto"/>
        <w:ind w:left="1134"/>
        <w:rPr>
          <w:rFonts w:ascii="Times Roman" w:eastAsia="Times Roman" w:hAnsi="Times Roman" w:cs="Times Roman"/>
        </w:rPr>
      </w:pPr>
    </w:p>
    <w:p w14:paraId="159BFF3A" w14:textId="77777777" w:rsidR="00B43E5B" w:rsidRDefault="00000000">
      <w:pPr>
        <w:pStyle w:val="Pardfaut"/>
        <w:spacing w:before="0" w:line="240" w:lineRule="auto"/>
        <w:rPr>
          <w:rFonts w:ascii="Times Roman" w:eastAsia="Times Roman" w:hAnsi="Times Roman" w:cs="Times Roman"/>
        </w:rPr>
      </w:pPr>
      <w:r>
        <w:rPr>
          <w:rFonts w:ascii="Times Roman" w:hAnsi="Times Roman"/>
        </w:rPr>
        <w:t xml:space="preserve">Weber, Max </w:t>
      </w:r>
      <w:r>
        <w:rPr>
          <w:rStyle w:val="Aucun"/>
          <w:rFonts w:ascii="Times Roman" w:hAnsi="Times Roman"/>
          <w:i/>
          <w:iCs/>
        </w:rPr>
        <w:t xml:space="preserve">Qu'est-ce que les sciences de la culture, </w:t>
      </w:r>
      <w:r>
        <w:rPr>
          <w:rFonts w:ascii="Times Roman" w:hAnsi="Times Roman"/>
        </w:rPr>
        <w:t>CNRS Editions, 2023</w:t>
      </w:r>
    </w:p>
    <w:p w14:paraId="1C9B04DA" w14:textId="77777777" w:rsidR="00B43E5B" w:rsidRDefault="00B43E5B">
      <w:pPr>
        <w:pStyle w:val="Pardfaut"/>
        <w:spacing w:before="0" w:line="240" w:lineRule="auto"/>
        <w:rPr>
          <w:rFonts w:ascii="Times Roman" w:eastAsia="Times Roman" w:hAnsi="Times Roman" w:cs="Times Roman"/>
        </w:rPr>
      </w:pPr>
    </w:p>
    <w:p w14:paraId="0215DC31" w14:textId="77777777" w:rsidR="00B43E5B" w:rsidRDefault="00000000">
      <w:pPr>
        <w:pStyle w:val="Pardfaut"/>
        <w:spacing w:before="0" w:line="240" w:lineRule="auto"/>
        <w:rPr>
          <w:rFonts w:ascii="Times Roman" w:eastAsia="Times Roman" w:hAnsi="Times Roman" w:cs="Times Roman"/>
        </w:rPr>
      </w:pPr>
      <w:r>
        <w:rPr>
          <w:rFonts w:ascii="Times Roman" w:hAnsi="Times Roman"/>
        </w:rPr>
        <w:t xml:space="preserve">Weber, Max </w:t>
      </w:r>
      <w:r>
        <w:rPr>
          <w:rStyle w:val="Aucun"/>
          <w:rFonts w:ascii="Times Roman" w:hAnsi="Times Roman"/>
          <w:i/>
          <w:iCs/>
        </w:rPr>
        <w:t>Essais sur la théorie de la science,</w:t>
      </w:r>
      <w:r>
        <w:rPr>
          <w:rFonts w:ascii="Times Roman" w:hAnsi="Times Roman"/>
        </w:rPr>
        <w:t xml:space="preserve"> Paris: Librairie Plon, 1965</w:t>
      </w:r>
    </w:p>
    <w:p w14:paraId="1BACF1BC" w14:textId="77777777" w:rsidR="00B43E5B" w:rsidRDefault="00B43E5B">
      <w:pPr>
        <w:pStyle w:val="Pardfaut"/>
        <w:spacing w:before="0" w:line="240" w:lineRule="auto"/>
        <w:rPr>
          <w:rFonts w:ascii="Times Roman" w:eastAsia="Times Roman" w:hAnsi="Times Roman" w:cs="Times Roman"/>
        </w:rPr>
      </w:pPr>
    </w:p>
    <w:p w14:paraId="54C27A09" w14:textId="77777777" w:rsidR="00B43E5B" w:rsidRDefault="00000000">
      <w:pPr>
        <w:pStyle w:val="Pardfaut"/>
        <w:spacing w:before="0" w:line="240" w:lineRule="auto"/>
      </w:pPr>
      <w:r>
        <w:rPr>
          <w:rFonts w:ascii="Times Roman" w:hAnsi="Times Roman"/>
          <w:lang w:val="de-DE"/>
        </w:rPr>
        <w:lastRenderedPageBreak/>
        <w:t>Weber, Max</w:t>
      </w:r>
      <w:r>
        <w:rPr>
          <w:rFonts w:ascii="Times Roman" w:hAnsi="Times Roman"/>
        </w:rPr>
        <w:t>, « La théorie de l'utilité marginale et la « loi fondamentale de la psychophysique</w:t>
      </w:r>
      <w:r>
        <w:rPr>
          <w:rFonts w:ascii="Times Roman" w:hAnsi="Times Roman"/>
          <w:lang w:val="ru-RU"/>
        </w:rPr>
        <w:t> » »</w:t>
      </w:r>
      <w:r>
        <w:rPr>
          <w:rFonts w:ascii="Times Roman" w:hAnsi="Times Roman"/>
        </w:rPr>
        <w:t xml:space="preserve">, </w:t>
      </w:r>
      <w:r>
        <w:rPr>
          <w:rStyle w:val="Aucun"/>
          <w:rFonts w:ascii="Times Roman" w:hAnsi="Times Roman"/>
          <w:i/>
          <w:iCs/>
        </w:rPr>
        <w:t>Revue française de sociologie</w:t>
      </w:r>
      <w:r>
        <w:rPr>
          <w:rFonts w:ascii="Times Roman" w:hAnsi="Times Roman"/>
        </w:rPr>
        <w:t>, vol. 46, no. 4, 2005, pp. 905-920.</w:t>
      </w:r>
    </w:p>
    <w:sectPr w:rsidR="00B43E5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2AFA" w14:textId="77777777" w:rsidR="00BC4088" w:rsidRDefault="00BC4088">
      <w:r>
        <w:separator/>
      </w:r>
    </w:p>
  </w:endnote>
  <w:endnote w:type="continuationSeparator" w:id="0">
    <w:p w14:paraId="7F9B3130" w14:textId="77777777" w:rsidR="00BC4088" w:rsidRDefault="00BC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206C" w14:textId="77777777" w:rsidR="007B23D9" w:rsidRDefault="007B23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1CF7" w14:textId="77777777" w:rsidR="00B43E5B" w:rsidRDefault="00B43E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B36F" w14:textId="77777777" w:rsidR="007B23D9" w:rsidRDefault="007B23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528E" w14:textId="77777777" w:rsidR="00BC4088" w:rsidRDefault="00BC4088">
      <w:r>
        <w:separator/>
      </w:r>
    </w:p>
  </w:footnote>
  <w:footnote w:type="continuationSeparator" w:id="0">
    <w:p w14:paraId="713FFE90" w14:textId="77777777" w:rsidR="00BC4088" w:rsidRDefault="00BC4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9A15" w14:textId="77777777" w:rsidR="007B23D9" w:rsidRDefault="007B23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7EA6" w14:textId="77777777" w:rsidR="00B43E5B" w:rsidRDefault="00B43E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69CE" w14:textId="77777777" w:rsidR="007B23D9" w:rsidRDefault="007B23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D4E47"/>
    <w:multiLevelType w:val="hybridMultilevel"/>
    <w:tmpl w:val="11A6572A"/>
    <w:numStyleLink w:val="Tiret"/>
  </w:abstractNum>
  <w:abstractNum w:abstractNumId="1" w15:restartNumberingAfterBreak="0">
    <w:nsid w:val="39094DB9"/>
    <w:multiLevelType w:val="hybridMultilevel"/>
    <w:tmpl w:val="11A6572A"/>
    <w:styleLink w:val="Tiret"/>
    <w:lvl w:ilvl="0" w:tplc="40182CE0">
      <w:start w:val="1"/>
      <w:numFmt w:val="bullet"/>
      <w:lvlText w:val="-"/>
      <w:lvlJc w:val="left"/>
      <w:pPr>
        <w:ind w:left="1396"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EFAE07C">
      <w:start w:val="1"/>
      <w:numFmt w:val="bullet"/>
      <w:lvlText w:val="-"/>
      <w:lvlJc w:val="left"/>
      <w:pPr>
        <w:ind w:left="1636"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8C66ED6">
      <w:start w:val="1"/>
      <w:numFmt w:val="bullet"/>
      <w:lvlText w:val="-"/>
      <w:lvlJc w:val="left"/>
      <w:pPr>
        <w:ind w:left="1876"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A605064">
      <w:start w:val="1"/>
      <w:numFmt w:val="bullet"/>
      <w:lvlText w:val="-"/>
      <w:lvlJc w:val="left"/>
      <w:pPr>
        <w:ind w:left="2116"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7BA8BA4">
      <w:start w:val="1"/>
      <w:numFmt w:val="bullet"/>
      <w:lvlText w:val="-"/>
      <w:lvlJc w:val="left"/>
      <w:pPr>
        <w:ind w:left="2356"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C2C1E80">
      <w:start w:val="1"/>
      <w:numFmt w:val="bullet"/>
      <w:lvlText w:val="-"/>
      <w:lvlJc w:val="left"/>
      <w:pPr>
        <w:ind w:left="2596"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90B058BE">
      <w:start w:val="1"/>
      <w:numFmt w:val="bullet"/>
      <w:lvlText w:val="-"/>
      <w:lvlJc w:val="left"/>
      <w:pPr>
        <w:ind w:left="2836"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0EE8D38">
      <w:start w:val="1"/>
      <w:numFmt w:val="bullet"/>
      <w:lvlText w:val="-"/>
      <w:lvlJc w:val="left"/>
      <w:pPr>
        <w:ind w:left="3076"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352C29E">
      <w:start w:val="1"/>
      <w:numFmt w:val="bullet"/>
      <w:lvlText w:val="-"/>
      <w:lvlJc w:val="left"/>
      <w:pPr>
        <w:ind w:left="3316"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16cid:durableId="1198737857">
    <w:abstractNumId w:val="1"/>
  </w:num>
  <w:num w:numId="2" w16cid:durableId="1700084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5B"/>
    <w:rsid w:val="007B23D9"/>
    <w:rsid w:val="00B43E5B"/>
    <w:rsid w:val="00BC4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2EFE56"/>
  <w15:docId w15:val="{AC0E83C4-E743-0141-A448-9BA6C814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numbering" w:customStyle="1" w:styleId="Tiret">
    <w:name w:val="Tiret"/>
    <w:pPr>
      <w:numPr>
        <w:numId w:val="1"/>
      </w:numPr>
    </w:pPr>
  </w:style>
  <w:style w:type="paragraph" w:styleId="En-tte">
    <w:name w:val="header"/>
    <w:basedOn w:val="Normal"/>
    <w:link w:val="En-tteCar"/>
    <w:uiPriority w:val="99"/>
    <w:unhideWhenUsed/>
    <w:rsid w:val="007B23D9"/>
    <w:pPr>
      <w:tabs>
        <w:tab w:val="center" w:pos="4536"/>
        <w:tab w:val="right" w:pos="9072"/>
      </w:tabs>
    </w:pPr>
  </w:style>
  <w:style w:type="character" w:customStyle="1" w:styleId="En-tteCar">
    <w:name w:val="En-tête Car"/>
    <w:basedOn w:val="Policepardfaut"/>
    <w:link w:val="En-tte"/>
    <w:uiPriority w:val="99"/>
    <w:rsid w:val="007B23D9"/>
    <w:rPr>
      <w:sz w:val="24"/>
      <w:szCs w:val="24"/>
      <w:lang w:val="en-US" w:eastAsia="en-US"/>
    </w:rPr>
  </w:style>
  <w:style w:type="paragraph" w:styleId="Pieddepage">
    <w:name w:val="footer"/>
    <w:basedOn w:val="Normal"/>
    <w:link w:val="PieddepageCar"/>
    <w:uiPriority w:val="99"/>
    <w:unhideWhenUsed/>
    <w:rsid w:val="007B23D9"/>
    <w:pPr>
      <w:tabs>
        <w:tab w:val="center" w:pos="4536"/>
        <w:tab w:val="right" w:pos="9072"/>
      </w:tabs>
    </w:pPr>
  </w:style>
  <w:style w:type="character" w:customStyle="1" w:styleId="PieddepageCar">
    <w:name w:val="Pied de page Car"/>
    <w:basedOn w:val="Policepardfaut"/>
    <w:link w:val="Pieddepage"/>
    <w:uiPriority w:val="99"/>
    <w:rsid w:val="007B23D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2514</Characters>
  <Application>Microsoft Office Word</Application>
  <DocSecurity>0</DocSecurity>
  <Lines>20</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SARACENO</cp:lastModifiedBy>
  <cp:revision>2</cp:revision>
  <dcterms:created xsi:type="dcterms:W3CDTF">2024-02-03T07:41:00Z</dcterms:created>
  <dcterms:modified xsi:type="dcterms:W3CDTF">2024-02-03T07:41:00Z</dcterms:modified>
</cp:coreProperties>
</file>