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F24C91" w14:textId="03E5452D" w:rsidR="009E6E4B" w:rsidRPr="009E6E4B" w:rsidRDefault="009E6E4B" w:rsidP="009E6E4B">
      <w:pPr>
        <w:rPr>
          <w:rFonts w:ascii="Arial" w:hAnsi="Arial" w:cs="Arial"/>
          <w:b/>
          <w:bCs/>
          <w:sz w:val="22"/>
          <w:szCs w:val="22"/>
          <w:lang w:val="en-US"/>
        </w:rPr>
      </w:pPr>
      <w:r>
        <w:rPr>
          <w:rFonts w:ascii="Arial" w:hAnsi="Arial" w:cs="Arial"/>
          <w:b/>
          <w:bCs/>
          <w:sz w:val="22"/>
          <w:szCs w:val="22"/>
          <w:lang w:val="en-US"/>
        </w:rPr>
        <w:t xml:space="preserve">A) </w:t>
      </w:r>
      <w:r w:rsidR="00DE52F8" w:rsidRPr="009E6E4B">
        <w:rPr>
          <w:rFonts w:ascii="Arial" w:hAnsi="Arial" w:cs="Arial"/>
          <w:b/>
          <w:bCs/>
          <w:sz w:val="22"/>
          <w:szCs w:val="22"/>
          <w:lang w:val="en-US"/>
        </w:rPr>
        <w:t>Oral presentation</w:t>
      </w:r>
      <w:r w:rsidR="00D867AD" w:rsidRPr="009E6E4B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</w:p>
    <w:p w14:paraId="10172698" w14:textId="77777777" w:rsidR="00DE52F8" w:rsidRDefault="00DE52F8" w:rsidP="00DE52F8">
      <w:pPr>
        <w:rPr>
          <w:rFonts w:ascii="Arial" w:hAnsi="Arial" w:cs="Arial"/>
          <w:b/>
          <w:bCs/>
          <w:sz w:val="22"/>
          <w:szCs w:val="22"/>
          <w:lang w:val="en-US"/>
        </w:rPr>
      </w:pPr>
    </w:p>
    <w:p w14:paraId="3A0C816B" w14:textId="77777777" w:rsidR="00A8654D" w:rsidRPr="00C747FD" w:rsidRDefault="00A8654D" w:rsidP="00A8654D">
      <w:pPr>
        <w:rPr>
          <w:rFonts w:ascii="Arial" w:hAnsi="Arial" w:cs="Arial"/>
          <w:sz w:val="22"/>
          <w:szCs w:val="22"/>
          <w:lang w:val="en-US"/>
        </w:rPr>
      </w:pPr>
    </w:p>
    <w:p w14:paraId="4C176F0F" w14:textId="3EEC0599" w:rsidR="00A8654D" w:rsidRDefault="00A8654D" w:rsidP="00DE52F8">
      <w:pPr>
        <w:rPr>
          <w:rFonts w:ascii="Arial" w:hAnsi="Arial" w:cs="Arial"/>
          <w:b/>
          <w:bCs/>
          <w:sz w:val="22"/>
          <w:szCs w:val="22"/>
          <w:lang w:val="en-US"/>
        </w:rPr>
      </w:pPr>
      <w:r>
        <w:rPr>
          <w:rFonts w:ascii="Arial" w:hAnsi="Arial" w:cs="Arial"/>
          <w:b/>
          <w:bCs/>
          <w:sz w:val="22"/>
          <w:szCs w:val="22"/>
          <w:lang w:val="en-US"/>
        </w:rPr>
        <w:t>B</w:t>
      </w:r>
      <w:r w:rsidRPr="00DE52F8">
        <w:rPr>
          <w:rFonts w:ascii="Arial" w:hAnsi="Arial" w:cs="Arial"/>
          <w:b/>
          <w:bCs/>
          <w:sz w:val="22"/>
          <w:szCs w:val="22"/>
          <w:lang w:val="en-US"/>
        </w:rPr>
        <w:t>) Grammar p. 58</w:t>
      </w:r>
      <w:r w:rsidR="00D867AD">
        <w:rPr>
          <w:rFonts w:ascii="Arial" w:hAnsi="Arial" w:cs="Arial"/>
          <w:b/>
          <w:bCs/>
          <w:sz w:val="22"/>
          <w:szCs w:val="22"/>
          <w:lang w:val="en-US"/>
        </w:rPr>
        <w:t xml:space="preserve"> </w:t>
      </w:r>
    </w:p>
    <w:p w14:paraId="381AE523" w14:textId="77777777" w:rsidR="00A8654D" w:rsidRDefault="00A8654D" w:rsidP="00DE52F8">
      <w:pPr>
        <w:rPr>
          <w:rFonts w:ascii="Arial" w:hAnsi="Arial" w:cs="Arial"/>
          <w:b/>
          <w:bCs/>
          <w:sz w:val="22"/>
          <w:szCs w:val="22"/>
          <w:lang w:val="en-US"/>
        </w:rPr>
      </w:pPr>
    </w:p>
    <w:p w14:paraId="5841A551" w14:textId="77777777" w:rsidR="003578D9" w:rsidRPr="00DE52F8" w:rsidRDefault="003578D9" w:rsidP="00DE52F8">
      <w:pPr>
        <w:rPr>
          <w:rFonts w:ascii="Arial" w:hAnsi="Arial" w:cs="Arial"/>
          <w:b/>
          <w:bCs/>
          <w:sz w:val="22"/>
          <w:szCs w:val="22"/>
          <w:lang w:val="en-US"/>
        </w:rPr>
      </w:pPr>
    </w:p>
    <w:p w14:paraId="44E8ADD7" w14:textId="16AA9D0A" w:rsidR="00C747FD" w:rsidRDefault="00A8654D" w:rsidP="00DE52F8">
      <w:pPr>
        <w:rPr>
          <w:rFonts w:ascii="Arial" w:hAnsi="Arial" w:cs="Arial"/>
          <w:b/>
          <w:bCs/>
          <w:sz w:val="22"/>
          <w:szCs w:val="22"/>
          <w:lang w:val="en-US"/>
        </w:rPr>
      </w:pPr>
      <w:r>
        <w:rPr>
          <w:rFonts w:ascii="Arial" w:hAnsi="Arial" w:cs="Arial"/>
          <w:b/>
          <w:bCs/>
          <w:sz w:val="22"/>
          <w:szCs w:val="22"/>
          <w:lang w:val="en-US"/>
        </w:rPr>
        <w:t>C</w:t>
      </w:r>
      <w:r w:rsidR="00DE52F8">
        <w:rPr>
          <w:rFonts w:ascii="Arial" w:hAnsi="Arial" w:cs="Arial"/>
          <w:b/>
          <w:bCs/>
          <w:sz w:val="22"/>
          <w:szCs w:val="22"/>
          <w:lang w:val="en-US"/>
        </w:rPr>
        <w:t xml:space="preserve">) </w:t>
      </w:r>
      <w:r w:rsidR="00DE52F8" w:rsidRPr="00DE52F8">
        <w:rPr>
          <w:rFonts w:ascii="Arial" w:hAnsi="Arial" w:cs="Arial"/>
          <w:b/>
          <w:bCs/>
          <w:sz w:val="22"/>
          <w:szCs w:val="22"/>
          <w:lang w:val="en-US"/>
        </w:rPr>
        <w:t>Vocabulary A-B p. 57</w:t>
      </w:r>
    </w:p>
    <w:p w14:paraId="0079F459" w14:textId="77777777" w:rsidR="00C747FD" w:rsidRDefault="00C747FD" w:rsidP="00DE52F8">
      <w:pPr>
        <w:rPr>
          <w:rFonts w:ascii="Arial" w:hAnsi="Arial" w:cs="Arial"/>
          <w:b/>
          <w:bCs/>
          <w:sz w:val="22"/>
          <w:szCs w:val="22"/>
          <w:lang w:val="en-US"/>
        </w:rPr>
      </w:pPr>
    </w:p>
    <w:p w14:paraId="2D45E2CA" w14:textId="3774CF7F" w:rsidR="00C747FD" w:rsidRPr="00055E2D" w:rsidRDefault="00C747FD" w:rsidP="00C747FD">
      <w:pPr>
        <w:pStyle w:val="Paragraphedeliste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proofErr w:type="gramStart"/>
      <w:r w:rsidRPr="00055E2D">
        <w:rPr>
          <w:rFonts w:ascii="Arial" w:hAnsi="Arial" w:cs="Arial"/>
          <w:sz w:val="22"/>
          <w:szCs w:val="22"/>
        </w:rPr>
        <w:t>un</w:t>
      </w:r>
      <w:proofErr w:type="gramEnd"/>
      <w:r w:rsidRPr="00055E2D">
        <w:rPr>
          <w:rFonts w:ascii="Arial" w:hAnsi="Arial" w:cs="Arial"/>
          <w:sz w:val="22"/>
          <w:szCs w:val="22"/>
        </w:rPr>
        <w:t xml:space="preserve"> entretien de recrutement</w:t>
      </w:r>
    </w:p>
    <w:p w14:paraId="447CFFA6" w14:textId="44275CFB" w:rsidR="00C747FD" w:rsidRPr="00055E2D" w:rsidRDefault="00C747FD" w:rsidP="00C747FD">
      <w:pPr>
        <w:pStyle w:val="Paragraphedeliste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proofErr w:type="gramStart"/>
      <w:r w:rsidRPr="00055E2D">
        <w:rPr>
          <w:rFonts w:ascii="Arial" w:hAnsi="Arial" w:cs="Arial"/>
          <w:sz w:val="22"/>
          <w:szCs w:val="22"/>
        </w:rPr>
        <w:t>un</w:t>
      </w:r>
      <w:proofErr w:type="gramEnd"/>
      <w:r w:rsidRPr="00055E2D">
        <w:rPr>
          <w:rFonts w:ascii="Arial" w:hAnsi="Arial" w:cs="Arial"/>
          <w:sz w:val="22"/>
          <w:szCs w:val="22"/>
        </w:rPr>
        <w:t xml:space="preserve"> demandeur d’emploi</w:t>
      </w:r>
    </w:p>
    <w:p w14:paraId="6AA801A0" w14:textId="1295C3F6" w:rsidR="00C747FD" w:rsidRPr="00055E2D" w:rsidRDefault="00C747FD" w:rsidP="00C747FD">
      <w:pPr>
        <w:pStyle w:val="Paragraphedeliste"/>
        <w:numPr>
          <w:ilvl w:val="0"/>
          <w:numId w:val="7"/>
        </w:numPr>
        <w:rPr>
          <w:rFonts w:ascii="Arial" w:hAnsi="Arial" w:cs="Arial"/>
          <w:sz w:val="22"/>
          <w:szCs w:val="22"/>
        </w:rPr>
      </w:pPr>
      <w:proofErr w:type="gramStart"/>
      <w:r w:rsidRPr="00055E2D">
        <w:rPr>
          <w:rFonts w:ascii="Arial" w:hAnsi="Arial" w:cs="Arial"/>
          <w:sz w:val="22"/>
          <w:szCs w:val="22"/>
        </w:rPr>
        <w:t>une</w:t>
      </w:r>
      <w:proofErr w:type="gramEnd"/>
      <w:r w:rsidRPr="00055E2D">
        <w:rPr>
          <w:rFonts w:ascii="Arial" w:hAnsi="Arial" w:cs="Arial"/>
          <w:sz w:val="22"/>
          <w:szCs w:val="22"/>
        </w:rPr>
        <w:t xml:space="preserve"> période d’essai</w:t>
      </w:r>
    </w:p>
    <w:p w14:paraId="726B22B5" w14:textId="77777777" w:rsidR="00DE52F8" w:rsidRDefault="00DE52F8" w:rsidP="00DE52F8">
      <w:pPr>
        <w:rPr>
          <w:rFonts w:ascii="Arial" w:hAnsi="Arial" w:cs="Arial"/>
          <w:b/>
          <w:bCs/>
          <w:sz w:val="10"/>
          <w:szCs w:val="10"/>
          <w:lang w:val="en-US"/>
        </w:rPr>
      </w:pPr>
    </w:p>
    <w:p w14:paraId="5950EE5B" w14:textId="77777777" w:rsidR="00055E2D" w:rsidRDefault="00055E2D" w:rsidP="00DE52F8">
      <w:pPr>
        <w:rPr>
          <w:rFonts w:ascii="Arial" w:hAnsi="Arial" w:cs="Arial"/>
          <w:b/>
          <w:bCs/>
          <w:sz w:val="10"/>
          <w:szCs w:val="10"/>
          <w:lang w:val="en-US"/>
        </w:rPr>
      </w:pPr>
    </w:p>
    <w:p w14:paraId="63F1614D" w14:textId="77777777" w:rsidR="00055E2D" w:rsidRDefault="00055E2D" w:rsidP="00DE52F8">
      <w:pPr>
        <w:jc w:val="both"/>
        <w:rPr>
          <w:rFonts w:ascii="Arial" w:eastAsia="Times New Roman" w:hAnsi="Arial" w:cs="Arial"/>
          <w:b/>
          <w:bCs/>
          <w:color w:val="509AC7"/>
          <w:sz w:val="22"/>
          <w:szCs w:val="22"/>
          <w:lang w:val="en-US"/>
        </w:rPr>
      </w:pPr>
    </w:p>
    <w:p w14:paraId="38CE20AC" w14:textId="48F3F13F" w:rsidR="00055E2D" w:rsidRDefault="00055E2D" w:rsidP="00055E2D">
      <w:pPr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 w:rsidRPr="00055E2D">
        <w:rPr>
          <w:rFonts w:ascii="Arial" w:eastAsia="Times New Roman" w:hAnsi="Arial" w:cs="Arial"/>
          <w:b/>
          <w:bCs/>
          <w:color w:val="000000" w:themeColor="text1"/>
          <w:sz w:val="22"/>
          <w:szCs w:val="22"/>
          <w:lang w:val="en-US"/>
        </w:rPr>
        <w:t>D</w:t>
      </w:r>
      <w:r w:rsidR="00DE52F8" w:rsidRPr="00055E2D">
        <w:rPr>
          <w:rFonts w:ascii="Arial" w:hAnsi="Arial" w:cs="Arial"/>
          <w:b/>
          <w:bCs/>
          <w:color w:val="000000" w:themeColor="text1"/>
          <w:sz w:val="22"/>
          <w:szCs w:val="22"/>
          <w:lang w:val="en-GB"/>
        </w:rPr>
        <w:t>)</w:t>
      </w:r>
      <w:r>
        <w:rPr>
          <w:rFonts w:ascii="Arial" w:hAnsi="Arial" w:cs="Arial"/>
          <w:b/>
          <w:bCs/>
          <w:color w:val="000000" w:themeColor="text1"/>
          <w:sz w:val="22"/>
          <w:szCs w:val="22"/>
          <w:lang w:val="en-GB"/>
        </w:rPr>
        <w:t xml:space="preserve"> </w:t>
      </w:r>
      <w:r w:rsidRPr="00055E2D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Uber And Lyft Score Major Court Victory: California Drivers Will Remain Contractors, Not Employees</w:t>
      </w:r>
      <w:r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, </w:t>
      </w:r>
      <w:r w:rsidRPr="00055E2D">
        <w:rPr>
          <w:rFonts w:ascii="Arial" w:hAnsi="Arial" w:cs="Arial"/>
          <w:b/>
          <w:bCs/>
          <w:i/>
          <w:iCs/>
          <w:color w:val="000000" w:themeColor="text1"/>
          <w:sz w:val="22"/>
          <w:szCs w:val="22"/>
          <w:lang w:val="en-US"/>
        </w:rPr>
        <w:t>Forbes</w:t>
      </w:r>
      <w:r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>, July 2024</w:t>
      </w:r>
      <w:r w:rsidR="00D867AD"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 </w:t>
      </w:r>
    </w:p>
    <w:p w14:paraId="50008803" w14:textId="77777777" w:rsidR="00055E2D" w:rsidRDefault="00055E2D" w:rsidP="00055E2D">
      <w:pPr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</w:p>
    <w:p w14:paraId="6D2E63FD" w14:textId="73A28983" w:rsidR="00D867AD" w:rsidRDefault="00BE0FB6" w:rsidP="00BE0FB6">
      <w:pPr>
        <w:jc w:val="center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  <w:r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  <w:t xml:space="preserve">short - apply - occupational - settlement - wages - formal - constitutional - law - giants - ruling - stems - entitled </w:t>
      </w:r>
    </w:p>
    <w:p w14:paraId="5F229A7A" w14:textId="77777777" w:rsidR="00D867AD" w:rsidRDefault="00D867AD" w:rsidP="00055E2D">
      <w:pPr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</w:p>
    <w:p w14:paraId="1478A613" w14:textId="77777777" w:rsidR="00055E2D" w:rsidRPr="00055E2D" w:rsidRDefault="00055E2D" w:rsidP="00055E2D">
      <w:pPr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en-US"/>
        </w:rPr>
      </w:pPr>
    </w:p>
    <w:p w14:paraId="0ADC73BA" w14:textId="54961D7A" w:rsidR="00055E2D" w:rsidRDefault="00055E2D" w:rsidP="00D867AD">
      <w:pPr>
        <w:spacing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Rideshare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(1)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Uber and Lyft can continue to treat drivers as independent contractors in California, the 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>s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tate 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>S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upreme 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>C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>ourt ruled, notching a significant win for the rideshare apps.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>The California Supreme Court </w:t>
      </w:r>
      <w:r w:rsidR="00BE0FB6" w:rsidRPr="00BE0FB6">
        <w:rPr>
          <w:rFonts w:ascii="Arial" w:hAnsi="Arial" w:cs="Arial"/>
          <w:sz w:val="22"/>
          <w:szCs w:val="22"/>
          <w:lang w:val="en-US"/>
        </w:rPr>
        <w:t>ruled</w:t>
      </w:r>
      <w:r w:rsidR="00BE0FB6"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in favor of Proposition 22, which allows companies in the state to classify drivers as gig workers, with the court ruling the measure is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(2)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>.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>In a </w:t>
      </w:r>
      <w:hyperlink r:id="rId5" w:tgtFrame="_blank" w:tooltip="https://www.uber.com/newsroom/prop-22-upheld/" w:history="1">
        <w:r w:rsidRPr="00055E2D">
          <w:rPr>
            <w:rStyle w:val="Lienhypertexte"/>
            <w:rFonts w:ascii="Arial" w:hAnsi="Arial" w:cs="Arial"/>
            <w:color w:val="000000" w:themeColor="text1"/>
            <w:sz w:val="22"/>
            <w:szCs w:val="22"/>
            <w:u w:val="none"/>
            <w:lang w:val="en-US"/>
          </w:rPr>
          <w:t>statement</w:t>
        </w:r>
      </w:hyperlink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 following the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(3)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, Uber argued the decision allows drivers’ “freedom to work when and how they want is now firmly etched into California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(4)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,” though the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decision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also comes as rideshare companies face criticism from labor groups pushing for higher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(5)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and some of the legal protections that come with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(6)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     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>employee status.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>The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California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lawsuit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(7)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from Proposition 22, which voters approved in November 2020. Under </w:t>
      </w:r>
      <w:r w:rsidR="00BE0FB6" w:rsidRPr="00BE0FB6">
        <w:rPr>
          <w:rFonts w:ascii="Arial" w:hAnsi="Arial" w:cs="Arial"/>
          <w:sz w:val="22"/>
          <w:szCs w:val="22"/>
          <w:lang w:val="en-US"/>
        </w:rPr>
        <w:t>Proposition 22,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contract employees are able to earn 120% of the state’s minimum wage ($16 per hour) for all hours worked, as well as healthcare stipends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,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(8)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insurance, and an additional 30 cents per mile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though those provisions only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(9)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to time spent actively driving a customer, and not any additional mileage driven while waiting for a passenger. Those benefits are available to drivers who work over 15 hours a week.</w:t>
      </w:r>
      <w:r w:rsidR="00C32AB1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In New York, a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> </w:t>
      </w:r>
      <w:hyperlink r:id="rId6" w:tgtFrame="_self" w:tooltip="https://www.forbes.com/sites/anafaguy/2023/11/02/uber-and-lyft-agree-to-pay-new-york-drivers-328-million-after-wage-theft-allegations/" w:history="1">
        <w:r w:rsidRPr="00055E2D">
          <w:rPr>
            <w:rStyle w:val="Lienhypertexte"/>
            <w:rFonts w:ascii="Arial" w:hAnsi="Arial" w:cs="Arial"/>
            <w:color w:val="000000" w:themeColor="text1"/>
            <w:sz w:val="22"/>
            <w:szCs w:val="22"/>
            <w:u w:val="none"/>
            <w:lang w:val="en-US"/>
          </w:rPr>
          <w:t>years-long investigation</w:t>
        </w:r>
      </w:hyperlink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  into Uber and Lyft found the rideshare companies withheld wages and benefits from drivers, culminating in a major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(10)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     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>that saw Uber forking up $290 million and Lyft paying </w:t>
      </w:r>
      <w:r w:rsidR="00971B12" w:rsidRPr="00971B12">
        <w:rPr>
          <w:rFonts w:ascii="Arial" w:hAnsi="Arial" w:cs="Arial"/>
          <w:lang w:val="en-US"/>
        </w:rPr>
        <w:t>$38 million</w:t>
      </w:r>
      <w:r w:rsidR="00971B12">
        <w:rPr>
          <w:rFonts w:ascii="Arial" w:hAnsi="Arial" w:cs="Arial"/>
          <w:lang w:val="en-US"/>
        </w:rPr>
        <w:t xml:space="preserve"> to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drivers</w:t>
      </w:r>
      <w:r w:rsidR="00C32AB1">
        <w:rPr>
          <w:rFonts w:ascii="Arial" w:hAnsi="Arial" w:cs="Arial"/>
          <w:color w:val="000000" w:themeColor="text1"/>
          <w:sz w:val="22"/>
          <w:szCs w:val="22"/>
          <w:lang w:val="en-US"/>
        </w:rPr>
        <w:t>.</w:t>
      </w:r>
      <w:r w:rsidR="00D867A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In Massachusetts, Uber and Lyft reached a $175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million agreement</w:t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 late with the state, providing a $32.50 minimum hourly wage for drivers, though the move fell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(11)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Pr="00055E2D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of classifying them as full-time employees.</w:t>
      </w:r>
      <w:r w:rsidR="00CC6CBE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In the UK, the Supreme Court had held in 2021 that Uber drivers were not independent contractors but worked for Uber and were therefore 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>(12)</w:t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</w:r>
      <w:r w:rsidR="00BE0FB6">
        <w:rPr>
          <w:rFonts w:ascii="Arial" w:hAnsi="Arial" w:cs="Arial"/>
          <w:color w:val="000000" w:themeColor="text1"/>
          <w:sz w:val="22"/>
          <w:szCs w:val="22"/>
          <w:lang w:val="en-US"/>
        </w:rPr>
        <w:tab/>
        <w:t xml:space="preserve">     </w:t>
      </w:r>
      <w:r w:rsidR="00CC6CBE">
        <w:rPr>
          <w:rFonts w:ascii="Arial" w:hAnsi="Arial" w:cs="Arial"/>
          <w:color w:val="000000" w:themeColor="text1"/>
          <w:sz w:val="22"/>
          <w:szCs w:val="22"/>
          <w:lang w:val="en-US"/>
        </w:rPr>
        <w:t xml:space="preserve"> to certain employment rights.</w:t>
      </w:r>
    </w:p>
    <w:p w14:paraId="4CEF0FBA" w14:textId="77777777" w:rsidR="00C32AB1" w:rsidRDefault="00C32AB1" w:rsidP="00D867AD">
      <w:pPr>
        <w:spacing w:line="360" w:lineRule="auto"/>
        <w:jc w:val="both"/>
        <w:rPr>
          <w:rFonts w:ascii="Arial" w:hAnsi="Arial" w:cs="Arial"/>
          <w:color w:val="000000" w:themeColor="text1"/>
          <w:sz w:val="22"/>
          <w:szCs w:val="22"/>
          <w:lang w:val="en-US"/>
        </w:rPr>
      </w:pPr>
    </w:p>
    <w:p w14:paraId="7CD9143B" w14:textId="7151A89E" w:rsidR="00DE52F8" w:rsidRPr="00DE52F8" w:rsidRDefault="00055E2D" w:rsidP="00DE52F8">
      <w:pPr>
        <w:jc w:val="both"/>
        <w:rPr>
          <w:rFonts w:ascii="Arial" w:hAnsi="Arial" w:cs="Arial"/>
          <w:b/>
          <w:bCs/>
          <w:sz w:val="22"/>
          <w:szCs w:val="22"/>
          <w:lang w:val="en-GB"/>
        </w:rPr>
      </w:pPr>
      <w:r>
        <w:rPr>
          <w:rFonts w:ascii="Arial" w:hAnsi="Arial" w:cs="Arial"/>
          <w:b/>
          <w:bCs/>
          <w:sz w:val="22"/>
          <w:szCs w:val="22"/>
          <w:lang w:val="en-GB"/>
        </w:rPr>
        <w:lastRenderedPageBreak/>
        <w:t xml:space="preserve">E) </w:t>
      </w:r>
      <w:r w:rsidR="00DE52F8" w:rsidRPr="00DE52F8">
        <w:rPr>
          <w:rFonts w:ascii="Arial" w:hAnsi="Arial" w:cs="Arial"/>
          <w:b/>
          <w:bCs/>
          <w:sz w:val="22"/>
          <w:szCs w:val="22"/>
          <w:lang w:val="en-GB"/>
        </w:rPr>
        <w:t xml:space="preserve"> Zero Hour contracts: Freedom or Exploitation? BBC Question Time, Oct 2019</w:t>
      </w:r>
      <w:r w:rsidR="00D867AD">
        <w:rPr>
          <w:rFonts w:ascii="Arial" w:hAnsi="Arial" w:cs="Arial"/>
          <w:b/>
          <w:bCs/>
          <w:sz w:val="22"/>
          <w:szCs w:val="22"/>
          <w:lang w:val="en-GB"/>
        </w:rPr>
        <w:t xml:space="preserve"> </w:t>
      </w:r>
    </w:p>
    <w:p w14:paraId="2EEA138C" w14:textId="77777777" w:rsidR="00DE52F8" w:rsidRPr="00DE52F8" w:rsidRDefault="00DE52F8" w:rsidP="00DE52F8">
      <w:pPr>
        <w:rPr>
          <w:rFonts w:ascii="Arial" w:hAnsi="Arial" w:cs="Arial"/>
          <w:b/>
          <w:bCs/>
          <w:sz w:val="22"/>
          <w:szCs w:val="22"/>
          <w:lang w:val="en-GB"/>
        </w:rPr>
      </w:pPr>
    </w:p>
    <w:p w14:paraId="64FC9BED" w14:textId="77777777" w:rsidR="00DE52F8" w:rsidRPr="00F40769" w:rsidRDefault="00DE52F8" w:rsidP="00DE52F8">
      <w:pPr>
        <w:rPr>
          <w:rFonts w:ascii="Arial" w:hAnsi="Arial"/>
          <w:b/>
          <w:bCs/>
          <w:sz w:val="10"/>
          <w:szCs w:val="10"/>
          <w:lang w:val="en-GB"/>
        </w:rPr>
      </w:pPr>
    </w:p>
    <w:p w14:paraId="49F6CA88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 xml:space="preserve">1) In which circumstances did the first person get a zero-hour contract? </w:t>
      </w:r>
    </w:p>
    <w:p w14:paraId="1BC4B1C7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 xml:space="preserve">What is his impression overall? </w:t>
      </w:r>
    </w:p>
    <w:p w14:paraId="63E4E81F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5FA9DC61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12785D64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>2) What does the second person do for a living?</w:t>
      </w:r>
    </w:p>
    <w:p w14:paraId="2EA38B3D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>What are the three positive outcomes of zero-hour contracts she mentions?</w:t>
      </w:r>
    </w:p>
    <w:p w14:paraId="532168B1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43BA3DB8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>-</w:t>
      </w:r>
    </w:p>
    <w:p w14:paraId="5ADE9981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>-</w:t>
      </w:r>
    </w:p>
    <w:p w14:paraId="28B3C5A7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 xml:space="preserve">- </w:t>
      </w:r>
    </w:p>
    <w:p w14:paraId="13B25EB4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3CE7DA5C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 xml:space="preserve">3) What has been the experience of the third person so far? </w:t>
      </w:r>
    </w:p>
    <w:p w14:paraId="25B0D364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0BAA6040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223B1E37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5102E8D7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 xml:space="preserve">4) What responsibility does the fourth person mention? </w:t>
      </w:r>
    </w:p>
    <w:p w14:paraId="77AB572B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033C0F60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32268801" w14:textId="77777777" w:rsidR="00DE52F8" w:rsidRPr="00DD0C2F" w:rsidRDefault="00DE52F8" w:rsidP="00DE52F8">
      <w:pPr>
        <w:jc w:val="both"/>
        <w:rPr>
          <w:rFonts w:ascii="Arial" w:hAnsi="Arial"/>
          <w:sz w:val="22"/>
          <w:szCs w:val="22"/>
          <w:lang w:val="en-GB"/>
        </w:rPr>
      </w:pPr>
    </w:p>
    <w:p w14:paraId="700C0326" w14:textId="30BCCB3F" w:rsidR="003578D9" w:rsidRDefault="00DE52F8" w:rsidP="00C747FD">
      <w:pPr>
        <w:jc w:val="both"/>
        <w:rPr>
          <w:rFonts w:ascii="Arial" w:hAnsi="Arial"/>
          <w:sz w:val="22"/>
          <w:szCs w:val="22"/>
          <w:lang w:val="en-GB"/>
        </w:rPr>
      </w:pPr>
      <w:r w:rsidRPr="00DD0C2F">
        <w:rPr>
          <w:rFonts w:ascii="Arial" w:hAnsi="Arial"/>
          <w:sz w:val="22"/>
          <w:szCs w:val="22"/>
          <w:lang w:val="en-GB"/>
        </w:rPr>
        <w:t xml:space="preserve">5) Is there a problem with zero-hour contracts per se according to her? </w:t>
      </w:r>
    </w:p>
    <w:p w14:paraId="24A2F70A" w14:textId="77777777" w:rsidR="00F40769" w:rsidRDefault="00F40769" w:rsidP="00C747FD">
      <w:pPr>
        <w:jc w:val="both"/>
        <w:rPr>
          <w:rFonts w:ascii="Arial" w:hAnsi="Arial"/>
          <w:sz w:val="22"/>
          <w:szCs w:val="22"/>
          <w:lang w:val="en-GB"/>
        </w:rPr>
      </w:pPr>
    </w:p>
    <w:p w14:paraId="0698B26E" w14:textId="77777777" w:rsidR="003578D9" w:rsidRPr="00F40769" w:rsidRDefault="003578D9" w:rsidP="00C747FD">
      <w:pPr>
        <w:jc w:val="both"/>
        <w:rPr>
          <w:rFonts w:ascii="Arial" w:hAnsi="Arial"/>
          <w:sz w:val="10"/>
          <w:szCs w:val="10"/>
          <w:lang w:val="en-GB"/>
        </w:rPr>
      </w:pPr>
    </w:p>
    <w:p w14:paraId="20ED5C5C" w14:textId="77777777" w:rsidR="00F40769" w:rsidRDefault="00F40769" w:rsidP="00C747FD">
      <w:pPr>
        <w:jc w:val="both"/>
        <w:rPr>
          <w:rFonts w:ascii="Arial" w:hAnsi="Arial"/>
          <w:b/>
          <w:bCs/>
          <w:sz w:val="22"/>
          <w:szCs w:val="22"/>
          <w:lang w:val="en-GB"/>
        </w:rPr>
      </w:pPr>
    </w:p>
    <w:p w14:paraId="01446C42" w14:textId="62CDA901" w:rsidR="003578D9" w:rsidRPr="00F40769" w:rsidRDefault="00055E2D" w:rsidP="00C747FD">
      <w:pPr>
        <w:jc w:val="both"/>
        <w:rPr>
          <w:rFonts w:ascii="Arial" w:hAnsi="Arial"/>
          <w:b/>
          <w:bCs/>
          <w:sz w:val="22"/>
          <w:szCs w:val="22"/>
          <w:lang w:val="en-GB"/>
        </w:rPr>
      </w:pPr>
      <w:r>
        <w:rPr>
          <w:rFonts w:ascii="Arial" w:hAnsi="Arial"/>
          <w:b/>
          <w:bCs/>
          <w:sz w:val="22"/>
          <w:szCs w:val="22"/>
          <w:lang w:val="en-GB"/>
        </w:rPr>
        <w:t>F</w:t>
      </w:r>
      <w:r w:rsidR="00F40769" w:rsidRPr="00F40769">
        <w:rPr>
          <w:rFonts w:ascii="Arial" w:hAnsi="Arial"/>
          <w:b/>
          <w:bCs/>
          <w:sz w:val="22"/>
          <w:szCs w:val="22"/>
          <w:lang w:val="en-GB"/>
        </w:rPr>
        <w:t>) Sharing e</w:t>
      </w:r>
      <w:r w:rsidR="00CC6CBE">
        <w:rPr>
          <w:rFonts w:ascii="Arial" w:hAnsi="Arial"/>
          <w:b/>
          <w:bCs/>
          <w:sz w:val="22"/>
          <w:szCs w:val="22"/>
          <w:lang w:val="en-GB"/>
        </w:rPr>
        <w:t>conomy</w:t>
      </w:r>
      <w:r w:rsidR="00F40769" w:rsidRPr="00F40769">
        <w:rPr>
          <w:rFonts w:ascii="Arial" w:hAnsi="Arial"/>
          <w:b/>
          <w:bCs/>
          <w:sz w:val="22"/>
          <w:szCs w:val="22"/>
          <w:lang w:val="en-GB"/>
        </w:rPr>
        <w:t xml:space="preserve"> Kahoot</w:t>
      </w:r>
      <w:r w:rsidR="00D867AD">
        <w:rPr>
          <w:rFonts w:ascii="Arial" w:hAnsi="Arial"/>
          <w:b/>
          <w:bCs/>
          <w:sz w:val="22"/>
          <w:szCs w:val="22"/>
          <w:lang w:val="en-GB"/>
        </w:rPr>
        <w:t xml:space="preserve"> </w:t>
      </w:r>
    </w:p>
    <w:sectPr w:rsidR="003578D9" w:rsidRPr="00F407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726C32"/>
    <w:multiLevelType w:val="hybridMultilevel"/>
    <w:tmpl w:val="92CC12CE"/>
    <w:lvl w:ilvl="0" w:tplc="99B66858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870AE6"/>
    <w:multiLevelType w:val="hybridMultilevel"/>
    <w:tmpl w:val="922057F0"/>
    <w:lvl w:ilvl="0" w:tplc="5086B30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585535"/>
    <w:multiLevelType w:val="hybridMultilevel"/>
    <w:tmpl w:val="71AC5048"/>
    <w:lvl w:ilvl="0" w:tplc="2D3001C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C01DE4"/>
    <w:multiLevelType w:val="hybridMultilevel"/>
    <w:tmpl w:val="5C50C9D8"/>
    <w:lvl w:ilvl="0" w:tplc="D0803AFC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3B6663"/>
    <w:multiLevelType w:val="hybridMultilevel"/>
    <w:tmpl w:val="1444D604"/>
    <w:lvl w:ilvl="0" w:tplc="0720CCAA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7778E7"/>
    <w:multiLevelType w:val="hybridMultilevel"/>
    <w:tmpl w:val="CBD67A7C"/>
    <w:lvl w:ilvl="0" w:tplc="2714A1C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DB77B2"/>
    <w:multiLevelType w:val="hybridMultilevel"/>
    <w:tmpl w:val="AC6653B6"/>
    <w:lvl w:ilvl="0" w:tplc="3E22F00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E25829"/>
    <w:multiLevelType w:val="hybridMultilevel"/>
    <w:tmpl w:val="D73CA53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3561286">
    <w:abstractNumId w:val="6"/>
  </w:num>
  <w:num w:numId="2" w16cid:durableId="825784090">
    <w:abstractNumId w:val="3"/>
  </w:num>
  <w:num w:numId="3" w16cid:durableId="1579286879">
    <w:abstractNumId w:val="0"/>
  </w:num>
  <w:num w:numId="4" w16cid:durableId="1081021274">
    <w:abstractNumId w:val="5"/>
  </w:num>
  <w:num w:numId="5" w16cid:durableId="1574002091">
    <w:abstractNumId w:val="1"/>
  </w:num>
  <w:num w:numId="6" w16cid:durableId="2094623333">
    <w:abstractNumId w:val="4"/>
  </w:num>
  <w:num w:numId="7" w16cid:durableId="1424568645">
    <w:abstractNumId w:val="7"/>
  </w:num>
  <w:num w:numId="8" w16cid:durableId="16726339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2F8"/>
    <w:rsid w:val="00033673"/>
    <w:rsid w:val="00055E2D"/>
    <w:rsid w:val="003578D9"/>
    <w:rsid w:val="00925765"/>
    <w:rsid w:val="00953890"/>
    <w:rsid w:val="00971B12"/>
    <w:rsid w:val="009E6E4B"/>
    <w:rsid w:val="00A8654D"/>
    <w:rsid w:val="00B00E2E"/>
    <w:rsid w:val="00BC0968"/>
    <w:rsid w:val="00BE0FB6"/>
    <w:rsid w:val="00C32AB1"/>
    <w:rsid w:val="00C747FD"/>
    <w:rsid w:val="00CC6CBE"/>
    <w:rsid w:val="00D867AD"/>
    <w:rsid w:val="00DD04B9"/>
    <w:rsid w:val="00DE52F8"/>
    <w:rsid w:val="00F40769"/>
    <w:rsid w:val="00F40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1B326A4"/>
  <w15:chartTrackingRefBased/>
  <w15:docId w15:val="{749C3C45-798E-B24F-9CC9-6EF850FFB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055E2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E52F8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055E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Lienhypertexte">
    <w:name w:val="Hyperlink"/>
    <w:basedOn w:val="Policepardfaut"/>
    <w:uiPriority w:val="99"/>
    <w:unhideWhenUsed/>
    <w:rsid w:val="00055E2D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055E2D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971B1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9770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712541">
          <w:marLeft w:val="0"/>
          <w:marRight w:val="0"/>
          <w:marTop w:val="0"/>
          <w:marBottom w:val="3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8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811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958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378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08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112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932601">
          <w:marLeft w:val="0"/>
          <w:marRight w:val="0"/>
          <w:marTop w:val="0"/>
          <w:marBottom w:val="3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4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84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150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87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54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05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orbes.com/sites/anafaguy/2023/11/02/uber-and-lyft-agree-to-pay-new-york-drivers-328-million-after-wage-theft-allegations/" TargetMode="External"/><Relationship Id="rId5" Type="http://schemas.openxmlformats.org/officeDocument/2006/relationships/hyperlink" Target="https://www.uber.com/newsroom/prop-22-upheld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496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Clemence PILLOT</dc:creator>
  <cp:keywords/>
  <dc:description/>
  <cp:lastModifiedBy>Clemence Pillot</cp:lastModifiedBy>
  <cp:revision>5</cp:revision>
  <cp:lastPrinted>2023-11-19T10:04:00Z</cp:lastPrinted>
  <dcterms:created xsi:type="dcterms:W3CDTF">2023-11-19T10:28:00Z</dcterms:created>
  <dcterms:modified xsi:type="dcterms:W3CDTF">2024-11-24T19:23:00Z</dcterms:modified>
</cp:coreProperties>
</file>