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7603CA" w14:textId="77777777" w:rsidR="00AE5516" w:rsidRPr="00AE5516" w:rsidRDefault="00AE5516" w:rsidP="00F66488">
      <w:pPr>
        <w:spacing w:after="0"/>
        <w:jc w:val="both"/>
        <w:rPr>
          <w:b/>
          <w:sz w:val="22"/>
        </w:rPr>
      </w:pPr>
    </w:p>
    <w:p w14:paraId="1B7C061F" w14:textId="5691A822" w:rsidR="00AE5516" w:rsidRPr="00AE5516" w:rsidRDefault="00AE5516" w:rsidP="00F66488">
      <w:pPr>
        <w:tabs>
          <w:tab w:val="left" w:pos="7371"/>
        </w:tabs>
        <w:spacing w:after="0"/>
        <w:jc w:val="both"/>
        <w:rPr>
          <w:b/>
        </w:rPr>
      </w:pPr>
      <w:r w:rsidRPr="00AE5516">
        <w:rPr>
          <w:b/>
          <w:noProof/>
          <w:lang w:eastAsia="fr-FR"/>
        </w:rPr>
        <w:drawing>
          <wp:anchor distT="0" distB="0" distL="114300" distR="114300" simplePos="0" relativeHeight="251660288" behindDoc="0" locked="0" layoutInCell="1" allowOverlap="1" wp14:anchorId="248E9C77" wp14:editId="0E15366F">
            <wp:simplePos x="0" y="0"/>
            <wp:positionH relativeFrom="column">
              <wp:posOffset>-48260</wp:posOffset>
            </wp:positionH>
            <wp:positionV relativeFrom="paragraph">
              <wp:posOffset>-97155</wp:posOffset>
            </wp:positionV>
            <wp:extent cx="1752600" cy="304800"/>
            <wp:effectExtent l="25400" t="0" r="0" b="0"/>
            <wp:wrapNone/>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
                    <pic:cNvPicPr>
                      <a:picLocks noChangeAspect="1" noChangeArrowheads="1"/>
                    </pic:cNvPicPr>
                  </pic:nvPicPr>
                  <pic:blipFill>
                    <a:blip r:embed="rId7"/>
                    <a:srcRect/>
                    <a:stretch>
                      <a:fillRect/>
                    </a:stretch>
                  </pic:blipFill>
                  <pic:spPr bwMode="auto">
                    <a:xfrm>
                      <a:off x="0" y="0"/>
                      <a:ext cx="1752600" cy="304800"/>
                    </a:xfrm>
                    <a:prstGeom prst="rect">
                      <a:avLst/>
                    </a:prstGeom>
                    <a:noFill/>
                    <a:ln w="9525">
                      <a:noFill/>
                      <a:miter lim="800000"/>
                      <a:headEnd/>
                      <a:tailEnd/>
                    </a:ln>
                  </pic:spPr>
                </pic:pic>
              </a:graphicData>
            </a:graphic>
          </wp:anchor>
        </w:drawing>
      </w:r>
      <w:r w:rsidR="00B33570">
        <w:rPr>
          <w:b/>
        </w:rPr>
        <w:t>2009/20</w:t>
      </w:r>
      <w:r w:rsidR="00CE47FC">
        <w:rPr>
          <w:b/>
        </w:rPr>
        <w:tab/>
        <w:t>202</w:t>
      </w:r>
      <w:r w:rsidR="009964AB">
        <w:rPr>
          <w:b/>
        </w:rPr>
        <w:t>4</w:t>
      </w:r>
      <w:r w:rsidR="00CE47FC">
        <w:rPr>
          <w:b/>
        </w:rPr>
        <w:t>/202</w:t>
      </w:r>
      <w:r w:rsidR="009964AB">
        <w:rPr>
          <w:b/>
        </w:rPr>
        <w:t>5</w:t>
      </w:r>
    </w:p>
    <w:p w14:paraId="7F68F533" w14:textId="77777777" w:rsidR="00CE47FC" w:rsidRDefault="00AE5516" w:rsidP="00F66488">
      <w:pPr>
        <w:tabs>
          <w:tab w:val="left" w:pos="7371"/>
        </w:tabs>
        <w:spacing w:after="0"/>
        <w:rPr>
          <w:b/>
        </w:rPr>
      </w:pPr>
      <w:r>
        <w:rPr>
          <w:b/>
        </w:rPr>
        <w:tab/>
      </w:r>
    </w:p>
    <w:p w14:paraId="00038D69" w14:textId="36B009CA" w:rsidR="00AE5516" w:rsidRPr="00AE5516" w:rsidRDefault="00AE5516" w:rsidP="00F66488">
      <w:pPr>
        <w:tabs>
          <w:tab w:val="left" w:pos="7371"/>
        </w:tabs>
        <w:spacing w:after="0"/>
        <w:rPr>
          <w:b/>
        </w:rPr>
      </w:pPr>
      <w:r w:rsidRPr="00AE5516">
        <w:rPr>
          <w:b/>
        </w:rPr>
        <w:t>UFR 06</w:t>
      </w:r>
    </w:p>
    <w:p w14:paraId="2354A6D3" w14:textId="77777777" w:rsidR="00AE5516" w:rsidRPr="00AE5516" w:rsidRDefault="00AE5516" w:rsidP="00F66488">
      <w:pPr>
        <w:tabs>
          <w:tab w:val="left" w:pos="7371"/>
        </w:tabs>
        <w:spacing w:after="0"/>
        <w:jc w:val="both"/>
        <w:rPr>
          <w:b/>
        </w:rPr>
      </w:pPr>
    </w:p>
    <w:p w14:paraId="0190B08B" w14:textId="6A2F7BE5" w:rsidR="00AE5516" w:rsidRPr="00AE5516" w:rsidRDefault="00AE5516" w:rsidP="00F66488">
      <w:pPr>
        <w:tabs>
          <w:tab w:val="left" w:pos="7371"/>
        </w:tabs>
        <w:spacing w:after="0"/>
        <w:jc w:val="center"/>
        <w:rPr>
          <w:b/>
        </w:rPr>
      </w:pPr>
      <w:r w:rsidRPr="00AE5516">
        <w:rPr>
          <w:b/>
        </w:rPr>
        <w:t>MASTER 2 – Gestion Financière et Fiscal</w:t>
      </w:r>
      <w:r w:rsidR="00EE6DF1">
        <w:rPr>
          <w:b/>
        </w:rPr>
        <w:t>ité</w:t>
      </w:r>
    </w:p>
    <w:p w14:paraId="26D1752A" w14:textId="5FCB39AC" w:rsidR="00B33570" w:rsidRDefault="00AE5516" w:rsidP="00F66488">
      <w:pPr>
        <w:tabs>
          <w:tab w:val="left" w:pos="7371"/>
        </w:tabs>
        <w:spacing w:after="0"/>
        <w:jc w:val="center"/>
        <w:rPr>
          <w:b/>
        </w:rPr>
      </w:pPr>
      <w:r w:rsidRPr="00AE5516">
        <w:rPr>
          <w:b/>
        </w:rPr>
        <w:t xml:space="preserve">Séminaire </w:t>
      </w:r>
      <w:r w:rsidR="00EE6DF1">
        <w:rPr>
          <w:b/>
        </w:rPr>
        <w:t xml:space="preserve">décisions financières et </w:t>
      </w:r>
      <w:r w:rsidRPr="00AE5516">
        <w:rPr>
          <w:b/>
        </w:rPr>
        <w:t>fiscalité - F TURQ</w:t>
      </w:r>
    </w:p>
    <w:p w14:paraId="4C8891FB" w14:textId="77777777" w:rsidR="00290918" w:rsidRDefault="00290918" w:rsidP="00F66488">
      <w:pPr>
        <w:tabs>
          <w:tab w:val="left" w:pos="7371"/>
        </w:tabs>
        <w:spacing w:after="0"/>
        <w:jc w:val="center"/>
        <w:rPr>
          <w:b/>
        </w:rPr>
      </w:pPr>
    </w:p>
    <w:p w14:paraId="2E551CFB" w14:textId="582259F9" w:rsidR="00AE5516" w:rsidRDefault="00EE6DF1" w:rsidP="00F66488">
      <w:pPr>
        <w:tabs>
          <w:tab w:val="left" w:pos="7371"/>
        </w:tabs>
        <w:spacing w:after="0"/>
        <w:jc w:val="center"/>
        <w:rPr>
          <w:b/>
        </w:rPr>
      </w:pPr>
      <w:r>
        <w:rPr>
          <w:b/>
        </w:rPr>
        <w:t>LES GROUPES</w:t>
      </w:r>
    </w:p>
    <w:p w14:paraId="38E27807" w14:textId="46550137" w:rsidR="00EE6DF1" w:rsidRPr="00AE5516" w:rsidRDefault="00EE6DF1" w:rsidP="00EE6DF1">
      <w:pPr>
        <w:pBdr>
          <w:top w:val="single" w:sz="4" w:space="1" w:color="auto"/>
          <w:left w:val="single" w:sz="4" w:space="4" w:color="auto"/>
          <w:bottom w:val="single" w:sz="4" w:space="1" w:color="auto"/>
          <w:right w:val="single" w:sz="4" w:space="4" w:color="auto"/>
        </w:pBdr>
        <w:tabs>
          <w:tab w:val="left" w:pos="7371"/>
        </w:tabs>
        <w:spacing w:after="0"/>
        <w:jc w:val="center"/>
        <w:rPr>
          <w:b/>
        </w:rPr>
      </w:pPr>
      <w:r>
        <w:rPr>
          <w:b/>
        </w:rPr>
        <w:t xml:space="preserve">Dossier </w:t>
      </w:r>
      <w:r w:rsidR="009964AB">
        <w:rPr>
          <w:b/>
        </w:rPr>
        <w:t>2</w:t>
      </w:r>
      <w:r>
        <w:rPr>
          <w:b/>
        </w:rPr>
        <w:t> : Fusions, scissions, apports partiels</w:t>
      </w:r>
    </w:p>
    <w:p w14:paraId="5F6603BA" w14:textId="77777777" w:rsidR="00D32147" w:rsidRDefault="00D32147" w:rsidP="00F66488">
      <w:pPr>
        <w:spacing w:after="0"/>
        <w:jc w:val="both"/>
        <w:rPr>
          <w:b/>
        </w:rPr>
      </w:pPr>
    </w:p>
    <w:p w14:paraId="7CA98FE7" w14:textId="55B6EBBA" w:rsidR="00D32147" w:rsidRPr="00F75044" w:rsidRDefault="00EE6DF1" w:rsidP="00EE6DF1">
      <w:pPr>
        <w:pStyle w:val="Titre1"/>
        <w:spacing w:before="0"/>
        <w:jc w:val="center"/>
        <w:rPr>
          <w:color w:val="auto"/>
          <w:sz w:val="28"/>
        </w:rPr>
      </w:pPr>
      <w:bookmarkStart w:id="0" w:name="_Toc129743324"/>
      <w:bookmarkStart w:id="1" w:name="_Toc129743395"/>
      <w:r>
        <w:rPr>
          <w:color w:val="auto"/>
          <w:sz w:val="28"/>
        </w:rPr>
        <w:t xml:space="preserve">CHAPITRE 1 </w:t>
      </w:r>
      <w:r w:rsidR="00D32147" w:rsidRPr="00F75044">
        <w:rPr>
          <w:color w:val="auto"/>
          <w:sz w:val="28"/>
        </w:rPr>
        <w:t>PRÉSENTATION DES OPÉRATIONS</w:t>
      </w:r>
      <w:bookmarkEnd w:id="0"/>
      <w:bookmarkEnd w:id="1"/>
    </w:p>
    <w:p w14:paraId="10028B81" w14:textId="77777777" w:rsidR="009C42C8" w:rsidRDefault="009C42C8" w:rsidP="00F66488">
      <w:pPr>
        <w:spacing w:after="0"/>
        <w:jc w:val="both"/>
        <w:rPr>
          <w:sz w:val="22"/>
        </w:rPr>
      </w:pPr>
    </w:p>
    <w:p w14:paraId="4CAE8DA2" w14:textId="77777777" w:rsidR="00C13AF3" w:rsidRPr="00C13AF3" w:rsidRDefault="00C13AF3" w:rsidP="00F66488">
      <w:pPr>
        <w:spacing w:after="0"/>
        <w:jc w:val="both"/>
        <w:rPr>
          <w:b/>
          <w:sz w:val="22"/>
        </w:rPr>
      </w:pPr>
      <w:r w:rsidRPr="00C13AF3">
        <w:rPr>
          <w:b/>
          <w:sz w:val="22"/>
        </w:rPr>
        <w:t>FUSION</w:t>
      </w:r>
    </w:p>
    <w:p w14:paraId="5F7C5B6A" w14:textId="77777777" w:rsidR="00D32147" w:rsidRPr="00D32147" w:rsidRDefault="00D32147" w:rsidP="00F66488">
      <w:pPr>
        <w:spacing w:after="0"/>
        <w:jc w:val="both"/>
        <w:rPr>
          <w:sz w:val="22"/>
        </w:rPr>
      </w:pPr>
      <w:r w:rsidRPr="00D32147">
        <w:rPr>
          <w:sz w:val="22"/>
        </w:rPr>
        <w:t>La fusion est définie à l’article L. 236-1 du Code de commerce : « Une ou plusieurs</w:t>
      </w:r>
      <w:r>
        <w:rPr>
          <w:sz w:val="22"/>
        </w:rPr>
        <w:t xml:space="preserve"> </w:t>
      </w:r>
      <w:r w:rsidRPr="00D32147">
        <w:rPr>
          <w:sz w:val="22"/>
        </w:rPr>
        <w:t>sociétés peuvent, par voie de fusion, transmettre leur patrimoine à une société existante</w:t>
      </w:r>
      <w:r>
        <w:rPr>
          <w:sz w:val="22"/>
        </w:rPr>
        <w:t xml:space="preserve"> </w:t>
      </w:r>
      <w:r w:rsidRPr="00D32147">
        <w:rPr>
          <w:sz w:val="22"/>
        </w:rPr>
        <w:t>ou à une nouvelle société qu'elles constituent ».</w:t>
      </w:r>
    </w:p>
    <w:p w14:paraId="40CBCA00" w14:textId="77777777" w:rsidR="00D32147" w:rsidRPr="00D32147" w:rsidRDefault="00D32147" w:rsidP="00F66488">
      <w:pPr>
        <w:spacing w:after="0"/>
        <w:jc w:val="both"/>
        <w:rPr>
          <w:sz w:val="22"/>
        </w:rPr>
      </w:pPr>
      <w:r w:rsidRPr="00D32147">
        <w:rPr>
          <w:sz w:val="22"/>
        </w:rPr>
        <w:t>Il existe donc deux voies possibles pour réaliser la fusion :</w:t>
      </w:r>
    </w:p>
    <w:p w14:paraId="65112954" w14:textId="77777777" w:rsidR="00D32147" w:rsidRPr="00D32147" w:rsidRDefault="00D32147" w:rsidP="00F66488">
      <w:pPr>
        <w:spacing w:after="0"/>
        <w:jc w:val="both"/>
        <w:rPr>
          <w:sz w:val="22"/>
        </w:rPr>
      </w:pPr>
      <w:r>
        <w:rPr>
          <w:sz w:val="22"/>
        </w:rPr>
        <w:t xml:space="preserve">a. La fusion </w:t>
      </w:r>
      <w:r w:rsidRPr="00D32147">
        <w:rPr>
          <w:sz w:val="22"/>
        </w:rPr>
        <w:t>absorption lorsque le transfert du patrimoine est réalisé au profit d'une</w:t>
      </w:r>
      <w:r>
        <w:rPr>
          <w:sz w:val="22"/>
        </w:rPr>
        <w:t xml:space="preserve"> </w:t>
      </w:r>
      <w:r w:rsidRPr="00D32147">
        <w:rPr>
          <w:sz w:val="22"/>
        </w:rPr>
        <w:t>société existant antérieurement,</w:t>
      </w:r>
    </w:p>
    <w:p w14:paraId="5E6B78B8" w14:textId="77777777" w:rsidR="00D32147" w:rsidRDefault="00D32147" w:rsidP="00F66488">
      <w:pPr>
        <w:spacing w:after="0"/>
        <w:jc w:val="both"/>
        <w:rPr>
          <w:sz w:val="22"/>
        </w:rPr>
      </w:pPr>
      <w:r>
        <w:rPr>
          <w:sz w:val="22"/>
        </w:rPr>
        <w:t xml:space="preserve">b. La fusion </w:t>
      </w:r>
      <w:r w:rsidRPr="00D32147">
        <w:rPr>
          <w:sz w:val="22"/>
        </w:rPr>
        <w:t>création lorsque la fusion est réalisée par création d’une nouvelle société</w:t>
      </w:r>
      <w:r>
        <w:rPr>
          <w:sz w:val="22"/>
        </w:rPr>
        <w:t>.</w:t>
      </w:r>
    </w:p>
    <w:p w14:paraId="5C0318B0" w14:textId="77777777" w:rsidR="00D32147" w:rsidRDefault="00D32147" w:rsidP="00F66488">
      <w:pPr>
        <w:spacing w:after="0"/>
        <w:jc w:val="both"/>
        <w:rPr>
          <w:sz w:val="22"/>
        </w:rPr>
      </w:pPr>
    </w:p>
    <w:p w14:paraId="7DD6FCB6" w14:textId="77777777" w:rsidR="00D32147" w:rsidRDefault="00D32147" w:rsidP="00F66488">
      <w:pPr>
        <w:spacing w:after="0"/>
        <w:jc w:val="both"/>
        <w:rPr>
          <w:sz w:val="22"/>
        </w:rPr>
      </w:pPr>
      <w:r>
        <w:rPr>
          <w:sz w:val="22"/>
        </w:rPr>
        <w:t>Ces opérations ont les conséquences suivantes :</w:t>
      </w:r>
    </w:p>
    <w:p w14:paraId="3BA9DE15" w14:textId="77777777" w:rsidR="00D32147" w:rsidRDefault="00D32147" w:rsidP="00F66488">
      <w:pPr>
        <w:spacing w:after="0"/>
        <w:jc w:val="both"/>
        <w:rPr>
          <w:sz w:val="22"/>
        </w:rPr>
      </w:pPr>
      <w:r>
        <w:rPr>
          <w:sz w:val="22"/>
        </w:rPr>
        <w:t>- Dissolution, sans liquidation des sociétés qui disparaissent,</w:t>
      </w:r>
    </w:p>
    <w:p w14:paraId="7EB9B127" w14:textId="77777777" w:rsidR="00D32147" w:rsidRDefault="00D32147" w:rsidP="00F66488">
      <w:pPr>
        <w:spacing w:after="0"/>
        <w:jc w:val="both"/>
        <w:rPr>
          <w:sz w:val="22"/>
        </w:rPr>
      </w:pPr>
      <w:r>
        <w:rPr>
          <w:sz w:val="22"/>
        </w:rPr>
        <w:t>- Transmission universelle de leur patrimoine aux sociétés bénéficiaires de l’opération,</w:t>
      </w:r>
    </w:p>
    <w:p w14:paraId="34CE2A17" w14:textId="77777777" w:rsidR="00D32147" w:rsidRDefault="00D32147" w:rsidP="00F66488">
      <w:pPr>
        <w:spacing w:after="0"/>
        <w:jc w:val="both"/>
        <w:rPr>
          <w:sz w:val="22"/>
        </w:rPr>
      </w:pPr>
      <w:r>
        <w:rPr>
          <w:sz w:val="22"/>
        </w:rPr>
        <w:t>- Acquisition, par les associés des sociétés qui disparaissent, de la qualité d’associés de la société absorbante.</w:t>
      </w:r>
    </w:p>
    <w:p w14:paraId="6431972F" w14:textId="77777777" w:rsidR="00D32147" w:rsidRDefault="00D32147" w:rsidP="00F66488">
      <w:pPr>
        <w:spacing w:after="0"/>
        <w:jc w:val="both"/>
        <w:rPr>
          <w:sz w:val="22"/>
        </w:rPr>
      </w:pPr>
    </w:p>
    <w:p w14:paraId="5D81D651" w14:textId="77777777" w:rsidR="000C78B3" w:rsidRDefault="000C78B3" w:rsidP="00F66488">
      <w:pPr>
        <w:spacing w:after="0"/>
        <w:jc w:val="both"/>
        <w:rPr>
          <w:sz w:val="22"/>
        </w:rPr>
      </w:pPr>
      <w:r w:rsidRPr="000C78B3">
        <w:rPr>
          <w:sz w:val="22"/>
        </w:rPr>
        <w:t>Dans le cas où la société absorbée détient une participation dans le capital de la société</w:t>
      </w:r>
      <w:r>
        <w:rPr>
          <w:sz w:val="22"/>
        </w:rPr>
        <w:t xml:space="preserve"> </w:t>
      </w:r>
      <w:r w:rsidRPr="000C78B3">
        <w:rPr>
          <w:sz w:val="22"/>
        </w:rPr>
        <w:t>absorbante, cette participation sera comprise dans les apports que reçoit la société</w:t>
      </w:r>
      <w:r>
        <w:rPr>
          <w:sz w:val="22"/>
        </w:rPr>
        <w:t xml:space="preserve"> </w:t>
      </w:r>
      <w:r w:rsidRPr="000C78B3">
        <w:rPr>
          <w:sz w:val="22"/>
        </w:rPr>
        <w:t>absorbante.</w:t>
      </w:r>
      <w:r>
        <w:rPr>
          <w:sz w:val="22"/>
        </w:rPr>
        <w:t xml:space="preserve"> L</w:t>
      </w:r>
      <w:r w:rsidRPr="000C78B3">
        <w:rPr>
          <w:sz w:val="22"/>
        </w:rPr>
        <w:t>a société absorbante est amenée à détenir une partie de son propre capital en</w:t>
      </w:r>
      <w:r>
        <w:rPr>
          <w:sz w:val="22"/>
        </w:rPr>
        <w:t xml:space="preserve"> </w:t>
      </w:r>
      <w:r w:rsidRPr="000C78B3">
        <w:rPr>
          <w:sz w:val="22"/>
        </w:rPr>
        <w:t>conséq</w:t>
      </w:r>
      <w:r>
        <w:rPr>
          <w:sz w:val="22"/>
        </w:rPr>
        <w:t>uence de l’opération de fusion.</w:t>
      </w:r>
    </w:p>
    <w:p w14:paraId="5907BF03" w14:textId="77777777" w:rsidR="000C78B3" w:rsidRPr="000C78B3" w:rsidRDefault="000C78B3" w:rsidP="00F66488">
      <w:pPr>
        <w:spacing w:after="0"/>
        <w:jc w:val="both"/>
        <w:rPr>
          <w:sz w:val="22"/>
        </w:rPr>
      </w:pPr>
      <w:r>
        <w:rPr>
          <w:sz w:val="22"/>
        </w:rPr>
        <w:t>Or, l</w:t>
      </w:r>
      <w:r w:rsidRPr="000C78B3">
        <w:rPr>
          <w:sz w:val="22"/>
        </w:rPr>
        <w:t>es sociétés par actions qui peuvent conserver</w:t>
      </w:r>
      <w:r>
        <w:rPr>
          <w:sz w:val="22"/>
        </w:rPr>
        <w:t xml:space="preserve"> </w:t>
      </w:r>
      <w:r w:rsidRPr="000C78B3">
        <w:rPr>
          <w:sz w:val="22"/>
        </w:rPr>
        <w:t>des titres de leur propre capital pendant un délai maximum de deux ans et sous réserve</w:t>
      </w:r>
      <w:r>
        <w:rPr>
          <w:sz w:val="22"/>
        </w:rPr>
        <w:t xml:space="preserve"> </w:t>
      </w:r>
      <w:r w:rsidRPr="000C78B3">
        <w:rPr>
          <w:sz w:val="22"/>
        </w:rPr>
        <w:t>qu’ils ne représentent pas plus de 10 % de leur capital.</w:t>
      </w:r>
    </w:p>
    <w:p w14:paraId="1937AAE9" w14:textId="77777777" w:rsidR="00D32147" w:rsidRDefault="000C78B3" w:rsidP="00F66488">
      <w:pPr>
        <w:spacing w:after="0"/>
        <w:jc w:val="both"/>
        <w:rPr>
          <w:sz w:val="22"/>
        </w:rPr>
      </w:pPr>
      <w:r w:rsidRPr="000C78B3">
        <w:rPr>
          <w:sz w:val="22"/>
        </w:rPr>
        <w:t>La sociét</w:t>
      </w:r>
      <w:r>
        <w:rPr>
          <w:sz w:val="22"/>
        </w:rPr>
        <w:t>é absorbante annule normalement</w:t>
      </w:r>
      <w:r w:rsidRPr="000C78B3">
        <w:rPr>
          <w:sz w:val="22"/>
        </w:rPr>
        <w:t xml:space="preserve"> les titre</w:t>
      </w:r>
      <w:r>
        <w:rPr>
          <w:sz w:val="22"/>
        </w:rPr>
        <w:t xml:space="preserve">s en cause par une réduction de </w:t>
      </w:r>
      <w:r w:rsidRPr="000C78B3">
        <w:rPr>
          <w:sz w:val="22"/>
        </w:rPr>
        <w:t>capi</w:t>
      </w:r>
      <w:r>
        <w:rPr>
          <w:sz w:val="22"/>
        </w:rPr>
        <w:t>tal concomitamment à la fusion</w:t>
      </w:r>
    </w:p>
    <w:p w14:paraId="07A477CD" w14:textId="52435D44" w:rsidR="00D32147" w:rsidRDefault="00D32147" w:rsidP="00F66488">
      <w:pPr>
        <w:spacing w:after="0"/>
        <w:jc w:val="both"/>
        <w:rPr>
          <w:sz w:val="22"/>
        </w:rPr>
      </w:pPr>
    </w:p>
    <w:p w14:paraId="30455E1E" w14:textId="53C3CC6B" w:rsidR="00703652" w:rsidRPr="00703652" w:rsidRDefault="006A6E25" w:rsidP="00703652">
      <w:pPr>
        <w:spacing w:after="0"/>
        <w:jc w:val="both"/>
        <w:rPr>
          <w:b/>
          <w:bCs/>
          <w:sz w:val="22"/>
        </w:rPr>
      </w:pPr>
      <w:r>
        <w:rPr>
          <w:b/>
          <w:bCs/>
          <w:sz w:val="22"/>
        </w:rPr>
        <w:t>Fusions simplifiées</w:t>
      </w:r>
      <w:r w:rsidR="00703652">
        <w:rPr>
          <w:rStyle w:val="Appelnotedebasdep"/>
          <w:b/>
          <w:bCs/>
          <w:sz w:val="22"/>
        </w:rPr>
        <w:footnoteReference w:id="1"/>
      </w:r>
    </w:p>
    <w:p w14:paraId="3E217B59" w14:textId="594AD3EF" w:rsidR="00703652" w:rsidRPr="00703652" w:rsidRDefault="00703652" w:rsidP="00703652">
      <w:pPr>
        <w:spacing w:after="0"/>
        <w:jc w:val="both"/>
        <w:rPr>
          <w:sz w:val="22"/>
        </w:rPr>
      </w:pPr>
      <w:r w:rsidRPr="00703652">
        <w:rPr>
          <w:sz w:val="22"/>
        </w:rPr>
        <w:t>Les régimes simplifiés</w:t>
      </w:r>
      <w:r w:rsidR="00CE47FC">
        <w:rPr>
          <w:rStyle w:val="Appelnotedebasdep"/>
          <w:sz w:val="22"/>
        </w:rPr>
        <w:footnoteReference w:id="2"/>
      </w:r>
      <w:r w:rsidRPr="00703652">
        <w:rPr>
          <w:sz w:val="22"/>
        </w:rPr>
        <w:t xml:space="preserve"> sont étendus aux fusions lorsque, depuis le dépôt du projet de fusion jusqu’à la réalisation de l’opération, une même société mère détient en permanence 100 % du capital ou au moins 90 % des droits de vote de la société absorbante et de la société absorbée.</w:t>
      </w:r>
    </w:p>
    <w:p w14:paraId="2585D3C9" w14:textId="77777777" w:rsidR="00703652" w:rsidRPr="00703652" w:rsidRDefault="00703652" w:rsidP="00703652">
      <w:pPr>
        <w:spacing w:after="0"/>
        <w:jc w:val="both"/>
        <w:rPr>
          <w:sz w:val="22"/>
        </w:rPr>
      </w:pPr>
    </w:p>
    <w:p w14:paraId="1A1A8051" w14:textId="36E31016" w:rsidR="00703652" w:rsidRPr="00703652" w:rsidRDefault="00703652" w:rsidP="00703652">
      <w:pPr>
        <w:spacing w:after="0"/>
        <w:jc w:val="both"/>
        <w:rPr>
          <w:sz w:val="22"/>
        </w:rPr>
      </w:pPr>
      <w:r w:rsidRPr="00703652">
        <w:rPr>
          <w:sz w:val="22"/>
        </w:rPr>
        <w:t>Lorsque la totalité du capital des sociétés absorbante et absorbée est détenue par la société mère ou par une personne agissant en son propre nom mais pour le compte de cette dernière, il n’y a pas lieu de procéder à un échange de titres</w:t>
      </w:r>
      <w:r>
        <w:rPr>
          <w:sz w:val="22"/>
        </w:rPr>
        <w:t>.</w:t>
      </w:r>
    </w:p>
    <w:p w14:paraId="05B9630B" w14:textId="77777777" w:rsidR="00703652" w:rsidRPr="00703652" w:rsidRDefault="00703652" w:rsidP="00703652">
      <w:pPr>
        <w:spacing w:after="0"/>
        <w:jc w:val="both"/>
        <w:rPr>
          <w:sz w:val="22"/>
        </w:rPr>
      </w:pPr>
    </w:p>
    <w:p w14:paraId="341958A4" w14:textId="3FECFCBA" w:rsidR="00703652" w:rsidRPr="00703652" w:rsidRDefault="00703652" w:rsidP="00703652">
      <w:pPr>
        <w:spacing w:after="0"/>
        <w:jc w:val="both"/>
        <w:rPr>
          <w:sz w:val="22"/>
        </w:rPr>
      </w:pPr>
      <w:r w:rsidRPr="00703652">
        <w:rPr>
          <w:sz w:val="22"/>
        </w:rPr>
        <w:lastRenderedPageBreak/>
        <w:t xml:space="preserve">Cette extension du régime simplifié vaut aussi en cas de scission d’une société au bénéfice de plusieurs sociétés sœurs (scission impliquant une société scindée et des sociétés bénéficiaires toutes filiales à 100 % d'une même mère). </w:t>
      </w:r>
    </w:p>
    <w:p w14:paraId="7EFEE753" w14:textId="77777777" w:rsidR="00CE47FC" w:rsidRDefault="00CE47FC" w:rsidP="00703652">
      <w:pPr>
        <w:spacing w:after="0"/>
        <w:jc w:val="both"/>
        <w:rPr>
          <w:b/>
          <w:bCs/>
          <w:sz w:val="22"/>
        </w:rPr>
      </w:pPr>
    </w:p>
    <w:p w14:paraId="496026F6" w14:textId="1A746978" w:rsidR="00703652" w:rsidRPr="00197BF4" w:rsidRDefault="00703652" w:rsidP="00703652">
      <w:pPr>
        <w:spacing w:after="0"/>
        <w:jc w:val="both"/>
        <w:rPr>
          <w:b/>
          <w:bCs/>
          <w:sz w:val="22"/>
        </w:rPr>
      </w:pPr>
      <w:r w:rsidRPr="00197BF4">
        <w:rPr>
          <w:b/>
          <w:bCs/>
          <w:sz w:val="22"/>
        </w:rPr>
        <w:t>Apports partiels d’actif entre une filiale et une société mère</w:t>
      </w:r>
    </w:p>
    <w:p w14:paraId="08C37C12" w14:textId="2610DF67" w:rsidR="00703652" w:rsidRPr="00703652" w:rsidRDefault="00B42D5C" w:rsidP="00703652">
      <w:pPr>
        <w:spacing w:after="0"/>
        <w:jc w:val="both"/>
        <w:rPr>
          <w:sz w:val="22"/>
        </w:rPr>
      </w:pPr>
      <w:r>
        <w:rPr>
          <w:sz w:val="22"/>
        </w:rPr>
        <w:t>L’</w:t>
      </w:r>
      <w:r w:rsidR="00703652" w:rsidRPr="00703652">
        <w:rPr>
          <w:sz w:val="22"/>
        </w:rPr>
        <w:t>application du régime simplifié aux apports partiel d’actif en cas de détention de la totalité du capital de la société apporteuse par la société bénéficiaire de l’apport (apport d’une filiale à 100 % à une société mère) était controversée.</w:t>
      </w:r>
    </w:p>
    <w:p w14:paraId="4E7B63B4" w14:textId="77777777" w:rsidR="00703652" w:rsidRPr="00703652" w:rsidRDefault="00703652" w:rsidP="00703652">
      <w:pPr>
        <w:spacing w:after="0"/>
        <w:jc w:val="both"/>
        <w:rPr>
          <w:sz w:val="22"/>
        </w:rPr>
      </w:pPr>
    </w:p>
    <w:p w14:paraId="6EACCDD3" w14:textId="7B3F7C4C" w:rsidR="00703652" w:rsidRPr="00703652" w:rsidRDefault="00703652" w:rsidP="00703652">
      <w:pPr>
        <w:spacing w:after="0"/>
        <w:jc w:val="both"/>
        <w:rPr>
          <w:sz w:val="22"/>
        </w:rPr>
      </w:pPr>
      <w:r w:rsidRPr="00703652">
        <w:rPr>
          <w:sz w:val="22"/>
        </w:rPr>
        <w:t>Afin de lever tout doute, la lo</w:t>
      </w:r>
      <w:r w:rsidR="00481299">
        <w:rPr>
          <w:sz w:val="22"/>
        </w:rPr>
        <w:t>i</w:t>
      </w:r>
      <w:r w:rsidRPr="00703652">
        <w:rPr>
          <w:sz w:val="22"/>
        </w:rPr>
        <w:t xml:space="preserve"> </w:t>
      </w:r>
      <w:r w:rsidR="00C359DD">
        <w:rPr>
          <w:sz w:val="22"/>
        </w:rPr>
        <w:t xml:space="preserve">de juillet 2019 </w:t>
      </w:r>
      <w:r w:rsidR="00B42D5C">
        <w:rPr>
          <w:sz w:val="22"/>
        </w:rPr>
        <w:t xml:space="preserve">a </w:t>
      </w:r>
      <w:r w:rsidRPr="00703652">
        <w:rPr>
          <w:sz w:val="22"/>
        </w:rPr>
        <w:t>consacr</w:t>
      </w:r>
      <w:r w:rsidR="00B42D5C">
        <w:rPr>
          <w:sz w:val="22"/>
        </w:rPr>
        <w:t>é</w:t>
      </w:r>
      <w:r w:rsidRPr="00703652">
        <w:rPr>
          <w:sz w:val="22"/>
        </w:rPr>
        <w:t xml:space="preserve"> expressément cette application du régime simplifié et elle l’étend au cas où la société apporteuse détient la totalité des actions représentant la totalité du capital de la société bénéficiaire de l’apport (apport d’une société mère à sa filiale détenue à 100 %). Dans ces hypothèses, sont écartés, d’une part, l'approbation de l'assemblée générale extraordinaire des sociétés participant à l’opération, sauf demande expresse d'un ou plusieurs actionnaires représentant au moins 5 % du capital de l'apporteuse, d'autre part, l'établissement des rapports des dirigeants et du commissaire à la scission ou aux apports.</w:t>
      </w:r>
    </w:p>
    <w:p w14:paraId="766104E5" w14:textId="77777777" w:rsidR="00703652" w:rsidRPr="00703652" w:rsidRDefault="00703652" w:rsidP="00703652">
      <w:pPr>
        <w:spacing w:after="0"/>
        <w:jc w:val="both"/>
        <w:rPr>
          <w:sz w:val="22"/>
        </w:rPr>
      </w:pPr>
    </w:p>
    <w:p w14:paraId="7D5DDA48" w14:textId="77777777" w:rsidR="00703652" w:rsidRDefault="00703652" w:rsidP="00F66488">
      <w:pPr>
        <w:spacing w:after="0"/>
        <w:jc w:val="both"/>
        <w:rPr>
          <w:sz w:val="22"/>
        </w:rPr>
      </w:pPr>
    </w:p>
    <w:p w14:paraId="4B94AE11" w14:textId="77777777" w:rsidR="002D75F7" w:rsidRDefault="002D75F7" w:rsidP="00F66488">
      <w:pPr>
        <w:spacing w:after="0"/>
        <w:jc w:val="both"/>
        <w:rPr>
          <w:b/>
          <w:sz w:val="22"/>
        </w:rPr>
      </w:pPr>
    </w:p>
    <w:p w14:paraId="21E69DAA" w14:textId="77777777" w:rsidR="00C13AF3" w:rsidRPr="009C0652" w:rsidRDefault="00C13AF3" w:rsidP="00F66488">
      <w:pPr>
        <w:spacing w:after="0"/>
        <w:jc w:val="both"/>
        <w:rPr>
          <w:b/>
          <w:sz w:val="22"/>
        </w:rPr>
      </w:pPr>
      <w:r w:rsidRPr="009C0652">
        <w:rPr>
          <w:b/>
          <w:sz w:val="22"/>
        </w:rPr>
        <w:t>AUTRES OPÉRATIONS</w:t>
      </w:r>
    </w:p>
    <w:p w14:paraId="273B5448" w14:textId="77777777" w:rsidR="00C13AF3" w:rsidRDefault="00C13AF3" w:rsidP="00F66488">
      <w:pPr>
        <w:spacing w:after="0"/>
        <w:jc w:val="both"/>
        <w:rPr>
          <w:sz w:val="22"/>
        </w:rPr>
      </w:pPr>
      <w:r>
        <w:rPr>
          <w:sz w:val="22"/>
        </w:rPr>
        <w:t>Les scissions et apports partiels ont de nombreux points communs avec les fusions :</w:t>
      </w:r>
    </w:p>
    <w:p w14:paraId="745AF31C" w14:textId="77777777" w:rsidR="00E423E9" w:rsidRDefault="00C13AF3" w:rsidP="00E423E9">
      <w:pPr>
        <w:pStyle w:val="Paragraphedeliste"/>
        <w:numPr>
          <w:ilvl w:val="0"/>
          <w:numId w:val="4"/>
        </w:numPr>
        <w:spacing w:after="0"/>
        <w:jc w:val="both"/>
        <w:rPr>
          <w:sz w:val="22"/>
        </w:rPr>
      </w:pPr>
      <w:r w:rsidRPr="00C13AF3">
        <w:rPr>
          <w:sz w:val="22"/>
        </w:rPr>
        <w:t>Apports</w:t>
      </w:r>
    </w:p>
    <w:p w14:paraId="396C4C24" w14:textId="1D9EE8F0" w:rsidR="00C13AF3" w:rsidRPr="00E423E9" w:rsidRDefault="00181EC7" w:rsidP="00E423E9">
      <w:pPr>
        <w:pStyle w:val="Paragraphedeliste"/>
        <w:numPr>
          <w:ilvl w:val="0"/>
          <w:numId w:val="4"/>
        </w:numPr>
        <w:spacing w:after="0"/>
        <w:jc w:val="both"/>
        <w:rPr>
          <w:sz w:val="22"/>
        </w:rPr>
      </w:pPr>
      <w:r w:rsidRPr="00E423E9">
        <w:rPr>
          <w:sz w:val="22"/>
        </w:rPr>
        <w:t>R</w:t>
      </w:r>
      <w:r w:rsidR="00C13AF3" w:rsidRPr="00E423E9">
        <w:rPr>
          <w:sz w:val="22"/>
        </w:rPr>
        <w:t>émunérations par des titres de la bénéficiaire des apports</w:t>
      </w:r>
    </w:p>
    <w:p w14:paraId="0AB1CC16" w14:textId="77777777" w:rsidR="00C13AF3" w:rsidRDefault="00C13AF3" w:rsidP="00F66488">
      <w:pPr>
        <w:spacing w:after="0"/>
        <w:jc w:val="both"/>
        <w:rPr>
          <w:sz w:val="22"/>
        </w:rPr>
      </w:pPr>
    </w:p>
    <w:p w14:paraId="61EF14A6" w14:textId="77777777" w:rsidR="00C13AF3" w:rsidRDefault="00C13AF3" w:rsidP="00F66488">
      <w:pPr>
        <w:spacing w:after="0"/>
        <w:jc w:val="both"/>
        <w:rPr>
          <w:sz w:val="22"/>
        </w:rPr>
      </w:pPr>
      <w:r>
        <w:rPr>
          <w:sz w:val="22"/>
        </w:rPr>
        <w:t>Les OPA et OPE sont de nature différente : l’apport est effectué par les actionnaires de la société cible.</w:t>
      </w:r>
      <w:r w:rsidR="009C0652">
        <w:rPr>
          <w:sz w:val="22"/>
        </w:rPr>
        <w:t xml:space="preserve"> Cette dernière n’est donc pas directement partie prenante dans l’opération.</w:t>
      </w:r>
    </w:p>
    <w:p w14:paraId="2BF80809" w14:textId="77777777" w:rsidR="00C13AF3" w:rsidRDefault="00C13AF3" w:rsidP="00F66488">
      <w:pPr>
        <w:spacing w:after="0"/>
        <w:jc w:val="both"/>
        <w:rPr>
          <w:sz w:val="22"/>
        </w:rPr>
      </w:pPr>
    </w:p>
    <w:p w14:paraId="6559120A" w14:textId="77777777" w:rsidR="009C42C8" w:rsidRPr="00C13AF3" w:rsidRDefault="009C42C8" w:rsidP="00F66488">
      <w:pPr>
        <w:spacing w:after="0"/>
        <w:jc w:val="both"/>
        <w:rPr>
          <w:sz w:val="22"/>
        </w:rPr>
      </w:pPr>
    </w:p>
    <w:p w14:paraId="2516027E" w14:textId="77777777" w:rsidR="002D75F7" w:rsidRDefault="002D75F7" w:rsidP="00F66488">
      <w:pPr>
        <w:spacing w:after="0"/>
        <w:jc w:val="both"/>
        <w:rPr>
          <w:sz w:val="22"/>
        </w:rPr>
      </w:pPr>
    </w:p>
    <w:p w14:paraId="586A7516" w14:textId="77777777" w:rsidR="002D75F7" w:rsidRDefault="002D75F7" w:rsidP="00F66488">
      <w:pPr>
        <w:spacing w:after="0"/>
        <w:jc w:val="both"/>
        <w:rPr>
          <w:sz w:val="22"/>
        </w:rPr>
      </w:pPr>
    </w:p>
    <w:p w14:paraId="071ABA9E" w14:textId="77777777" w:rsidR="002D75F7" w:rsidRDefault="002D75F7" w:rsidP="00F66488">
      <w:pPr>
        <w:spacing w:after="0"/>
        <w:jc w:val="both"/>
        <w:rPr>
          <w:sz w:val="22"/>
        </w:rPr>
      </w:pPr>
    </w:p>
    <w:p w14:paraId="2775E8E9" w14:textId="77777777" w:rsidR="00D32147" w:rsidRDefault="00D32147" w:rsidP="00F66488">
      <w:pPr>
        <w:spacing w:after="0"/>
        <w:jc w:val="both"/>
        <w:rPr>
          <w:sz w:val="22"/>
        </w:rPr>
      </w:pPr>
    </w:p>
    <w:p w14:paraId="7174FE3F" w14:textId="359D3294" w:rsidR="00AA0918" w:rsidRPr="00F75044" w:rsidRDefault="00EE6DF1" w:rsidP="00EE6DF1">
      <w:pPr>
        <w:pStyle w:val="Titre1"/>
        <w:spacing w:before="0"/>
        <w:jc w:val="center"/>
        <w:rPr>
          <w:color w:val="auto"/>
          <w:sz w:val="28"/>
        </w:rPr>
      </w:pPr>
      <w:bookmarkStart w:id="2" w:name="_Toc129743325"/>
      <w:bookmarkStart w:id="3" w:name="_Toc129743396"/>
      <w:r>
        <w:rPr>
          <w:color w:val="auto"/>
          <w:sz w:val="28"/>
        </w:rPr>
        <w:t xml:space="preserve">CHAPITRE 2 </w:t>
      </w:r>
      <w:r w:rsidR="00AA0918" w:rsidRPr="00F75044">
        <w:rPr>
          <w:color w:val="auto"/>
          <w:sz w:val="28"/>
        </w:rPr>
        <w:t>ASPECT COMPTABLE</w:t>
      </w:r>
      <w:bookmarkEnd w:id="2"/>
      <w:bookmarkEnd w:id="3"/>
    </w:p>
    <w:p w14:paraId="304A9B4B" w14:textId="77777777" w:rsidR="009C42C8" w:rsidRDefault="009C42C8" w:rsidP="00F66488">
      <w:pPr>
        <w:spacing w:after="0"/>
        <w:jc w:val="both"/>
        <w:rPr>
          <w:b/>
          <w:sz w:val="22"/>
        </w:rPr>
      </w:pPr>
    </w:p>
    <w:p w14:paraId="39344F02" w14:textId="77777777" w:rsidR="00C83118" w:rsidRPr="00C83118" w:rsidRDefault="00C83118" w:rsidP="00F66488">
      <w:pPr>
        <w:spacing w:after="0"/>
        <w:jc w:val="both"/>
        <w:rPr>
          <w:b/>
          <w:sz w:val="22"/>
        </w:rPr>
      </w:pPr>
      <w:r w:rsidRPr="00C83118">
        <w:rPr>
          <w:b/>
          <w:sz w:val="22"/>
        </w:rPr>
        <w:t>a) Sens de la fusion</w:t>
      </w:r>
    </w:p>
    <w:p w14:paraId="26C7D380" w14:textId="77777777" w:rsidR="00AA0918" w:rsidRPr="00AA0918" w:rsidRDefault="00AA0918" w:rsidP="00F66488">
      <w:pPr>
        <w:spacing w:after="0"/>
        <w:jc w:val="both"/>
        <w:rPr>
          <w:sz w:val="22"/>
        </w:rPr>
      </w:pPr>
      <w:r w:rsidRPr="00AA0918">
        <w:rPr>
          <w:sz w:val="22"/>
        </w:rPr>
        <w:t>Dans la généralité des cas, la fusion est une « opération à l</w:t>
      </w:r>
      <w:r w:rsidR="00C83118">
        <w:rPr>
          <w:sz w:val="22"/>
        </w:rPr>
        <w:t xml:space="preserve">’endroit », c'est-à-dire que la </w:t>
      </w:r>
      <w:r w:rsidRPr="00AA0918">
        <w:rPr>
          <w:sz w:val="22"/>
        </w:rPr>
        <w:t>société initiatrice de l’opération est la société absorbante ou sa société mère, alors que la</w:t>
      </w:r>
      <w:r w:rsidR="00C83118">
        <w:rPr>
          <w:sz w:val="22"/>
        </w:rPr>
        <w:t xml:space="preserve"> </w:t>
      </w:r>
      <w:r w:rsidRPr="00AA0918">
        <w:rPr>
          <w:sz w:val="22"/>
        </w:rPr>
        <w:t>société absorbée est la société cible. Dans ce cas, après la fusion, l’actionnaire principal</w:t>
      </w:r>
      <w:r w:rsidR="00C83118">
        <w:rPr>
          <w:sz w:val="22"/>
        </w:rPr>
        <w:t xml:space="preserve"> </w:t>
      </w:r>
      <w:r w:rsidRPr="00AA0918">
        <w:rPr>
          <w:sz w:val="22"/>
        </w:rPr>
        <w:t>de l’absorbante, bien que dilué, conserve son pouvoir de contrôle sur celle-ci.</w:t>
      </w:r>
    </w:p>
    <w:p w14:paraId="5B098BD2" w14:textId="77777777" w:rsidR="00C83118" w:rsidRDefault="00C83118" w:rsidP="00F66488">
      <w:pPr>
        <w:spacing w:after="0"/>
        <w:jc w:val="both"/>
        <w:rPr>
          <w:sz w:val="22"/>
        </w:rPr>
      </w:pPr>
    </w:p>
    <w:p w14:paraId="1845EB95" w14:textId="1E8FCFD5" w:rsidR="00C83118" w:rsidRDefault="00AA0918" w:rsidP="00F66488">
      <w:pPr>
        <w:spacing w:after="0"/>
        <w:jc w:val="both"/>
        <w:rPr>
          <w:sz w:val="22"/>
        </w:rPr>
      </w:pPr>
      <w:r w:rsidRPr="00AA0918">
        <w:rPr>
          <w:sz w:val="22"/>
        </w:rPr>
        <w:t>Néanmoins, certains montages juridiques peuvent conduire à la réalisation « d’opérations</w:t>
      </w:r>
      <w:r w:rsidR="00C83118">
        <w:rPr>
          <w:sz w:val="22"/>
        </w:rPr>
        <w:t xml:space="preserve"> </w:t>
      </w:r>
      <w:r w:rsidRPr="00AA0918">
        <w:rPr>
          <w:sz w:val="22"/>
        </w:rPr>
        <w:t>à l’envers ». Dans ce cas, la société initiatrice de l’opération est la société absorbée ou sa</w:t>
      </w:r>
      <w:r w:rsidR="00C83118">
        <w:rPr>
          <w:sz w:val="22"/>
        </w:rPr>
        <w:t xml:space="preserve"> </w:t>
      </w:r>
      <w:r w:rsidRPr="00AA0918">
        <w:rPr>
          <w:sz w:val="22"/>
        </w:rPr>
        <w:t>société mère, alors que la société cible est la société absorbante. Après la fusion,</w:t>
      </w:r>
      <w:r w:rsidR="00F75044">
        <w:rPr>
          <w:sz w:val="22"/>
        </w:rPr>
        <w:t xml:space="preserve"> </w:t>
      </w:r>
      <w:r w:rsidRPr="00AA0918">
        <w:rPr>
          <w:sz w:val="22"/>
        </w:rPr>
        <w:t>l’actionnaire principal de l’absorbée a pris le contrôle de l’absorbante.</w:t>
      </w:r>
    </w:p>
    <w:p w14:paraId="0E24E544" w14:textId="387C0EBC" w:rsidR="00F55E0F" w:rsidRDefault="00F55E0F" w:rsidP="00F66488">
      <w:pPr>
        <w:spacing w:after="0"/>
        <w:jc w:val="both"/>
        <w:rPr>
          <w:sz w:val="22"/>
        </w:rPr>
      </w:pPr>
    </w:p>
    <w:p w14:paraId="0A4E2282" w14:textId="728E9164" w:rsidR="00F55E0F" w:rsidRDefault="00F55E0F">
      <w:pPr>
        <w:rPr>
          <w:sz w:val="22"/>
        </w:rPr>
      </w:pPr>
      <w:r>
        <w:rPr>
          <w:sz w:val="22"/>
        </w:rPr>
        <w:br w:type="page"/>
      </w:r>
    </w:p>
    <w:p w14:paraId="626CA40F" w14:textId="77777777" w:rsidR="00F55E0F" w:rsidRDefault="00F55E0F" w:rsidP="00F66488">
      <w:pPr>
        <w:spacing w:after="0"/>
        <w:jc w:val="both"/>
        <w:rPr>
          <w:sz w:val="22"/>
        </w:rPr>
      </w:pPr>
    </w:p>
    <w:p w14:paraId="4D6B6302" w14:textId="77777777" w:rsidR="00077F58" w:rsidRDefault="00077F58" w:rsidP="00F66488">
      <w:pPr>
        <w:spacing w:after="0"/>
        <w:jc w:val="both"/>
        <w:rPr>
          <w:sz w:val="22"/>
        </w:rPr>
      </w:pPr>
    </w:p>
    <w:tbl>
      <w:tblPr>
        <w:tblStyle w:val="Grilledutableau"/>
        <w:tblW w:w="0" w:type="auto"/>
        <w:tblLook w:val="04A0" w:firstRow="1" w:lastRow="0" w:firstColumn="1" w:lastColumn="0" w:noHBand="0" w:noVBand="1"/>
      </w:tblPr>
      <w:tblGrid>
        <w:gridCol w:w="4527"/>
        <w:gridCol w:w="4527"/>
      </w:tblGrid>
      <w:tr w:rsidR="00F55E0F" w14:paraId="6B263B03" w14:textId="77777777" w:rsidTr="00F55E0F">
        <w:tc>
          <w:tcPr>
            <w:tcW w:w="4527" w:type="dxa"/>
          </w:tcPr>
          <w:p w14:paraId="5A8593FE" w14:textId="3AFDD25D" w:rsidR="00F55E0F" w:rsidRPr="00F55E0F" w:rsidRDefault="00F55E0F" w:rsidP="00F55E0F">
            <w:pPr>
              <w:jc w:val="center"/>
              <w:rPr>
                <w:b/>
                <w:bCs/>
                <w:sz w:val="22"/>
              </w:rPr>
            </w:pPr>
            <w:r w:rsidRPr="00F55E0F">
              <w:rPr>
                <w:b/>
                <w:bCs/>
              </w:rPr>
              <w:t>Opérations à l’endroit</w:t>
            </w:r>
          </w:p>
        </w:tc>
        <w:tc>
          <w:tcPr>
            <w:tcW w:w="4527" w:type="dxa"/>
          </w:tcPr>
          <w:p w14:paraId="518B6172" w14:textId="367C05B0" w:rsidR="00F55E0F" w:rsidRPr="00F55E0F" w:rsidRDefault="00F55E0F" w:rsidP="00F55E0F">
            <w:pPr>
              <w:jc w:val="center"/>
              <w:rPr>
                <w:b/>
                <w:bCs/>
                <w:sz w:val="22"/>
              </w:rPr>
            </w:pPr>
            <w:r w:rsidRPr="00F55E0F">
              <w:rPr>
                <w:b/>
                <w:bCs/>
              </w:rPr>
              <w:t>Opérations à l’envers</w:t>
            </w:r>
          </w:p>
        </w:tc>
      </w:tr>
      <w:tr w:rsidR="00F55E0F" w14:paraId="4FCE78AF" w14:textId="77777777" w:rsidTr="00F55E0F">
        <w:trPr>
          <w:trHeight w:val="2280"/>
        </w:trPr>
        <w:tc>
          <w:tcPr>
            <w:tcW w:w="4527" w:type="dxa"/>
          </w:tcPr>
          <w:p w14:paraId="2CA8C828" w14:textId="77777777" w:rsidR="00F55E0F" w:rsidRPr="00F55E0F" w:rsidRDefault="00F55E0F" w:rsidP="00F55E0F">
            <w:pPr>
              <w:jc w:val="both"/>
              <w:rPr>
                <w:sz w:val="22"/>
              </w:rPr>
            </w:pPr>
            <w:r w:rsidRPr="00F55E0F">
              <w:rPr>
                <w:b/>
                <w:bCs/>
                <w:sz w:val="22"/>
              </w:rPr>
              <w:t>Fusion à l’endroit</w:t>
            </w:r>
            <w:r w:rsidRPr="00F55E0F">
              <w:rPr>
                <w:sz w:val="22"/>
              </w:rPr>
              <w:t xml:space="preserve"> : après la fusion, l’actionnaire principal de l’absorbante, bien que dilué (sauf dans les cas de fusion simplifiée), conserve son pouvoir de contrôle sur celle-ci :</w:t>
            </w:r>
          </w:p>
          <w:p w14:paraId="62138012" w14:textId="77777777" w:rsidR="00F55E0F" w:rsidRPr="00F55E0F" w:rsidRDefault="00F55E0F" w:rsidP="00F55E0F">
            <w:pPr>
              <w:jc w:val="both"/>
              <w:rPr>
                <w:sz w:val="22"/>
              </w:rPr>
            </w:pPr>
            <w:r w:rsidRPr="00F55E0F">
              <w:rPr>
                <w:sz w:val="22"/>
              </w:rPr>
              <w:t xml:space="preserve">    • la cible est la société absorbée ;</w:t>
            </w:r>
          </w:p>
          <w:p w14:paraId="34B2D1CF" w14:textId="0F2B6714" w:rsidR="00F55E0F" w:rsidRDefault="00F55E0F" w:rsidP="00F55E0F">
            <w:pPr>
              <w:jc w:val="both"/>
              <w:rPr>
                <w:sz w:val="22"/>
              </w:rPr>
            </w:pPr>
            <w:r w:rsidRPr="00F55E0F">
              <w:rPr>
                <w:sz w:val="22"/>
              </w:rPr>
              <w:t xml:space="preserve">    • l’initiatrice est la société absorbante ou l’une de ses filiales.</w:t>
            </w:r>
          </w:p>
        </w:tc>
        <w:tc>
          <w:tcPr>
            <w:tcW w:w="4527" w:type="dxa"/>
          </w:tcPr>
          <w:p w14:paraId="43280BD8" w14:textId="77777777" w:rsidR="00F55E0F" w:rsidRPr="00F55E0F" w:rsidRDefault="00F55E0F" w:rsidP="00F55E0F">
            <w:pPr>
              <w:jc w:val="both"/>
              <w:rPr>
                <w:sz w:val="22"/>
              </w:rPr>
            </w:pPr>
            <w:r w:rsidRPr="00F55E0F">
              <w:rPr>
                <w:b/>
                <w:bCs/>
                <w:sz w:val="22"/>
              </w:rPr>
              <w:t>Fusion à l’envers</w:t>
            </w:r>
            <w:r w:rsidRPr="00F55E0F">
              <w:rPr>
                <w:sz w:val="22"/>
              </w:rPr>
              <w:t xml:space="preserve"> : après la fusion, l’actionnaire principal de l’absorbée prend le contrôle de l’absorbante :</w:t>
            </w:r>
          </w:p>
          <w:p w14:paraId="725B3C7A" w14:textId="77777777" w:rsidR="00F55E0F" w:rsidRPr="00F55E0F" w:rsidRDefault="00F55E0F" w:rsidP="00F55E0F">
            <w:pPr>
              <w:jc w:val="both"/>
              <w:rPr>
                <w:sz w:val="22"/>
              </w:rPr>
            </w:pPr>
            <w:r w:rsidRPr="00F55E0F">
              <w:rPr>
                <w:sz w:val="22"/>
              </w:rPr>
              <w:t xml:space="preserve">    • la cible est la société absorbante ;</w:t>
            </w:r>
          </w:p>
          <w:p w14:paraId="312BFA73" w14:textId="77777777" w:rsidR="00F55E0F" w:rsidRPr="00F55E0F" w:rsidRDefault="00F55E0F" w:rsidP="00F55E0F">
            <w:pPr>
              <w:jc w:val="both"/>
              <w:rPr>
                <w:sz w:val="22"/>
              </w:rPr>
            </w:pPr>
            <w:r w:rsidRPr="00F55E0F">
              <w:rPr>
                <w:sz w:val="22"/>
              </w:rPr>
              <w:t xml:space="preserve">    • l’initiatrice est la société absorbée ou sa société mère.</w:t>
            </w:r>
          </w:p>
          <w:p w14:paraId="4B27C572" w14:textId="508308B9" w:rsidR="00F55E0F" w:rsidRDefault="00F55E0F" w:rsidP="00F55E0F">
            <w:pPr>
              <w:jc w:val="both"/>
              <w:rPr>
                <w:sz w:val="22"/>
              </w:rPr>
            </w:pPr>
          </w:p>
        </w:tc>
      </w:tr>
      <w:tr w:rsidR="00F55E0F" w14:paraId="6B27D038" w14:textId="77777777" w:rsidTr="00F55E0F">
        <w:trPr>
          <w:trHeight w:val="2280"/>
        </w:trPr>
        <w:tc>
          <w:tcPr>
            <w:tcW w:w="4527" w:type="dxa"/>
          </w:tcPr>
          <w:p w14:paraId="2EB855F0" w14:textId="77777777" w:rsidR="00F55E0F" w:rsidRPr="00F55E0F" w:rsidRDefault="00F55E0F" w:rsidP="00F55E0F">
            <w:pPr>
              <w:jc w:val="both"/>
              <w:rPr>
                <w:sz w:val="22"/>
              </w:rPr>
            </w:pPr>
            <w:r w:rsidRPr="00F55E0F">
              <w:rPr>
                <w:b/>
                <w:bCs/>
                <w:sz w:val="22"/>
              </w:rPr>
              <w:t>Apport à l’endroit</w:t>
            </w:r>
            <w:r w:rsidRPr="00F55E0F">
              <w:rPr>
                <w:sz w:val="22"/>
              </w:rPr>
              <w:t xml:space="preserve"> : après l’apport, l’actionnaire principal de la société bénéficiaire des apports, bien que dilué, conserve son pouvoir de contrôle sur celle-ci :</w:t>
            </w:r>
          </w:p>
          <w:p w14:paraId="70C59DB8" w14:textId="77777777" w:rsidR="00F55E0F" w:rsidRPr="00F55E0F" w:rsidRDefault="00F55E0F" w:rsidP="00F55E0F">
            <w:pPr>
              <w:jc w:val="both"/>
              <w:rPr>
                <w:sz w:val="22"/>
              </w:rPr>
            </w:pPr>
            <w:r w:rsidRPr="00F55E0F">
              <w:rPr>
                <w:sz w:val="22"/>
              </w:rPr>
              <w:t xml:space="preserve">    • la cible est la société dont une branche d’activité est apportée ;</w:t>
            </w:r>
          </w:p>
          <w:p w14:paraId="3BB4A120" w14:textId="68408B43" w:rsidR="00F55E0F" w:rsidRPr="00F55E0F" w:rsidRDefault="00F55E0F" w:rsidP="00F55E0F">
            <w:pPr>
              <w:jc w:val="both"/>
              <w:rPr>
                <w:sz w:val="22"/>
              </w:rPr>
            </w:pPr>
            <w:r w:rsidRPr="00F55E0F">
              <w:rPr>
                <w:sz w:val="22"/>
              </w:rPr>
              <w:t xml:space="preserve">    • l’initiatrice est la société bénéficiaire des apports ou l’une de ses filiales.</w:t>
            </w:r>
          </w:p>
        </w:tc>
        <w:tc>
          <w:tcPr>
            <w:tcW w:w="4527" w:type="dxa"/>
          </w:tcPr>
          <w:p w14:paraId="4DF285C3" w14:textId="77777777" w:rsidR="00F55E0F" w:rsidRPr="00F55E0F" w:rsidRDefault="00F55E0F" w:rsidP="00F55E0F">
            <w:pPr>
              <w:jc w:val="both"/>
              <w:rPr>
                <w:sz w:val="22"/>
              </w:rPr>
            </w:pPr>
            <w:r w:rsidRPr="00F55E0F">
              <w:rPr>
                <w:b/>
                <w:bCs/>
                <w:sz w:val="22"/>
              </w:rPr>
              <w:t>Apport à l’envers</w:t>
            </w:r>
            <w:r w:rsidRPr="00F55E0F">
              <w:rPr>
                <w:sz w:val="22"/>
              </w:rPr>
              <w:t xml:space="preserve"> : après l’apport, la société apporteuse prend le contrôle de la société bénéficiaire des apports, ou renforce son contrôle sur celle-ci :</w:t>
            </w:r>
          </w:p>
          <w:p w14:paraId="6C025A89" w14:textId="77777777" w:rsidR="00F55E0F" w:rsidRPr="00F55E0F" w:rsidRDefault="00F55E0F" w:rsidP="00F55E0F">
            <w:pPr>
              <w:jc w:val="both"/>
              <w:rPr>
                <w:sz w:val="22"/>
              </w:rPr>
            </w:pPr>
            <w:r w:rsidRPr="00F55E0F">
              <w:rPr>
                <w:sz w:val="22"/>
              </w:rPr>
              <w:t xml:space="preserve">    • la cible est la société bénéficiaire des apports ;</w:t>
            </w:r>
          </w:p>
          <w:p w14:paraId="1B962C22" w14:textId="31582BA9" w:rsidR="00F55E0F" w:rsidRPr="00F55E0F" w:rsidRDefault="00F55E0F" w:rsidP="00F55E0F">
            <w:pPr>
              <w:jc w:val="both"/>
              <w:rPr>
                <w:sz w:val="22"/>
              </w:rPr>
            </w:pPr>
            <w:r w:rsidRPr="00F55E0F">
              <w:rPr>
                <w:sz w:val="22"/>
              </w:rPr>
              <w:t xml:space="preserve">    • l’initiatrice est la société apporteuse ou sa société mère.</w:t>
            </w:r>
          </w:p>
        </w:tc>
      </w:tr>
    </w:tbl>
    <w:p w14:paraId="2BC22031" w14:textId="77777777" w:rsidR="00C83118" w:rsidRDefault="00C83118" w:rsidP="00F66488">
      <w:pPr>
        <w:spacing w:after="0"/>
        <w:jc w:val="both"/>
        <w:rPr>
          <w:sz w:val="22"/>
        </w:rPr>
      </w:pPr>
    </w:p>
    <w:p w14:paraId="3732DC3F" w14:textId="77777777" w:rsidR="00255B55" w:rsidRDefault="00255B55" w:rsidP="00F66488">
      <w:pPr>
        <w:spacing w:after="0"/>
        <w:jc w:val="both"/>
        <w:rPr>
          <w:b/>
          <w:sz w:val="22"/>
        </w:rPr>
      </w:pPr>
    </w:p>
    <w:p w14:paraId="5159B0D2" w14:textId="116DAA81" w:rsidR="00C83118" w:rsidRPr="00C83118" w:rsidRDefault="00C83118" w:rsidP="00F66488">
      <w:pPr>
        <w:spacing w:after="0"/>
        <w:jc w:val="both"/>
        <w:rPr>
          <w:b/>
          <w:sz w:val="22"/>
        </w:rPr>
      </w:pPr>
      <w:r w:rsidRPr="00C83118">
        <w:rPr>
          <w:b/>
          <w:sz w:val="22"/>
        </w:rPr>
        <w:t>b) méthode d’évaluation</w:t>
      </w:r>
      <w:r w:rsidR="00077F58">
        <w:rPr>
          <w:b/>
          <w:sz w:val="22"/>
        </w:rPr>
        <w:t xml:space="preserve"> et contrôle</w:t>
      </w:r>
    </w:p>
    <w:p w14:paraId="78E14AE4" w14:textId="77777777" w:rsidR="00C83118" w:rsidRPr="00C83118" w:rsidRDefault="00C83118" w:rsidP="00F66488">
      <w:pPr>
        <w:spacing w:after="0"/>
        <w:jc w:val="both"/>
        <w:rPr>
          <w:sz w:val="22"/>
        </w:rPr>
      </w:pPr>
      <w:r w:rsidRPr="00C83118">
        <w:rPr>
          <w:sz w:val="22"/>
        </w:rPr>
        <w:t>Une fusion implique une transmission de patrimoine. Par exemple, dans le cas d’une fusion par absorption, le patrimoine de la société absorbée est repris par la société absorbante. L’entrée dans les comptes de l’absorbante peut se faire :</w:t>
      </w:r>
    </w:p>
    <w:p w14:paraId="357214E4" w14:textId="77777777" w:rsidR="005E297B" w:rsidRDefault="00C83118" w:rsidP="005E297B">
      <w:pPr>
        <w:pStyle w:val="Paragraphedeliste"/>
        <w:numPr>
          <w:ilvl w:val="0"/>
          <w:numId w:val="4"/>
        </w:numPr>
        <w:spacing w:after="0"/>
        <w:jc w:val="both"/>
        <w:rPr>
          <w:sz w:val="22"/>
        </w:rPr>
      </w:pPr>
      <w:proofErr w:type="gramStart"/>
      <w:r w:rsidRPr="00C83118">
        <w:rPr>
          <w:sz w:val="22"/>
        </w:rPr>
        <w:t>soit</w:t>
      </w:r>
      <w:proofErr w:type="gramEnd"/>
      <w:r w:rsidRPr="00C83118">
        <w:rPr>
          <w:sz w:val="22"/>
        </w:rPr>
        <w:t xml:space="preserve"> à la valeur comptable ;</w:t>
      </w:r>
    </w:p>
    <w:p w14:paraId="6E513B10" w14:textId="2F218EDA" w:rsidR="00C83118" w:rsidRPr="005E297B" w:rsidRDefault="00C83118" w:rsidP="005E297B">
      <w:pPr>
        <w:pStyle w:val="Paragraphedeliste"/>
        <w:numPr>
          <w:ilvl w:val="0"/>
          <w:numId w:val="4"/>
        </w:numPr>
        <w:spacing w:after="0"/>
        <w:jc w:val="both"/>
        <w:rPr>
          <w:sz w:val="22"/>
        </w:rPr>
      </w:pPr>
      <w:proofErr w:type="gramStart"/>
      <w:r w:rsidRPr="005E297B">
        <w:rPr>
          <w:sz w:val="22"/>
        </w:rPr>
        <w:t>soit</w:t>
      </w:r>
      <w:proofErr w:type="gramEnd"/>
      <w:r w:rsidRPr="005E297B">
        <w:rPr>
          <w:sz w:val="22"/>
        </w:rPr>
        <w:t xml:space="preserve"> à la valeur réelle (en cas de plus-value par exemple).</w:t>
      </w:r>
    </w:p>
    <w:p w14:paraId="3D53D5EA" w14:textId="77777777" w:rsidR="00C83118" w:rsidRPr="00C83118" w:rsidRDefault="00C83118" w:rsidP="00F66488">
      <w:pPr>
        <w:spacing w:after="0"/>
        <w:jc w:val="both"/>
        <w:rPr>
          <w:sz w:val="22"/>
        </w:rPr>
      </w:pPr>
    </w:p>
    <w:p w14:paraId="54424AA6" w14:textId="77777777" w:rsidR="00077F58" w:rsidRDefault="00C83118" w:rsidP="00F66488">
      <w:pPr>
        <w:spacing w:after="0"/>
        <w:jc w:val="both"/>
        <w:rPr>
          <w:sz w:val="22"/>
        </w:rPr>
      </w:pPr>
      <w:r w:rsidRPr="00C83118">
        <w:rPr>
          <w:sz w:val="22"/>
        </w:rPr>
        <w:t>En fonction de la situation, on retiendra l’une ou l’autre de ces méthodes de valorisation.</w:t>
      </w:r>
    </w:p>
    <w:p w14:paraId="0E369794" w14:textId="77777777" w:rsidR="00077F58" w:rsidRDefault="00077F58" w:rsidP="00F66488">
      <w:pPr>
        <w:spacing w:after="0"/>
        <w:jc w:val="both"/>
        <w:rPr>
          <w:sz w:val="22"/>
        </w:rPr>
      </w:pPr>
    </w:p>
    <w:p w14:paraId="5F61B100" w14:textId="77777777" w:rsidR="00077F58" w:rsidRDefault="00077F58" w:rsidP="00F66488">
      <w:pPr>
        <w:spacing w:after="0"/>
        <w:jc w:val="both"/>
        <w:rPr>
          <w:sz w:val="22"/>
        </w:rPr>
      </w:pPr>
      <w:r>
        <w:rPr>
          <w:sz w:val="22"/>
        </w:rPr>
        <w:t>U</w:t>
      </w:r>
      <w:r w:rsidRPr="00077F58">
        <w:rPr>
          <w:sz w:val="22"/>
        </w:rPr>
        <w:t xml:space="preserve">ne société A exerce son contrôle sur une autre société B si elle est en mesure d’imposer à </w:t>
      </w:r>
      <w:r>
        <w:rPr>
          <w:sz w:val="22"/>
        </w:rPr>
        <w:t xml:space="preserve">celle-ci ses décisions. Dans un groupe, </w:t>
      </w:r>
      <w:r w:rsidRPr="00077F58">
        <w:rPr>
          <w:sz w:val="22"/>
        </w:rPr>
        <w:t>la société mère exerce un contrôle sur ses filiales.</w:t>
      </w:r>
    </w:p>
    <w:p w14:paraId="41D03B98" w14:textId="77777777" w:rsidR="00077F58" w:rsidRDefault="00077F58" w:rsidP="00F66488">
      <w:pPr>
        <w:spacing w:after="0"/>
        <w:jc w:val="both"/>
        <w:rPr>
          <w:sz w:val="22"/>
        </w:rPr>
      </w:pPr>
    </w:p>
    <w:p w14:paraId="6C8B13F4" w14:textId="77777777" w:rsidR="00077F58" w:rsidRDefault="00077F58" w:rsidP="00F66488">
      <w:pPr>
        <w:spacing w:after="0"/>
        <w:jc w:val="both"/>
        <w:rPr>
          <w:sz w:val="22"/>
        </w:rPr>
      </w:pPr>
      <w:r w:rsidRPr="00077F58">
        <w:rPr>
          <w:sz w:val="22"/>
        </w:rPr>
        <w:t>Si les sociétés participant à l’opération de fusion (par exemple l’absorbante et l’absorbée) sont dans la situation où l’un</w:t>
      </w:r>
      <w:r>
        <w:rPr>
          <w:sz w:val="22"/>
        </w:rPr>
        <w:t>e contrôle l’autre (mère et fille au sens du droit des sociétés</w:t>
      </w:r>
      <w:r w:rsidRPr="00077F58">
        <w:rPr>
          <w:sz w:val="22"/>
        </w:rPr>
        <w:t>), ou si ces deux sociétés sont toutes deux contrôlées par une autre société (2 filiales dans un même groupe par exemple), on considère que l’on se trouve dans</w:t>
      </w:r>
      <w:r>
        <w:rPr>
          <w:sz w:val="22"/>
        </w:rPr>
        <w:t xml:space="preserve"> un cas de </w:t>
      </w:r>
      <w:r w:rsidRPr="009166FC">
        <w:rPr>
          <w:b/>
          <w:bCs/>
          <w:sz w:val="22"/>
        </w:rPr>
        <w:t>contrôle « commun ».</w:t>
      </w:r>
    </w:p>
    <w:p w14:paraId="2E895A66" w14:textId="77777777" w:rsidR="00077F58" w:rsidRDefault="00077F58" w:rsidP="00F66488">
      <w:pPr>
        <w:spacing w:after="0"/>
        <w:jc w:val="both"/>
        <w:rPr>
          <w:sz w:val="22"/>
        </w:rPr>
      </w:pPr>
    </w:p>
    <w:p w14:paraId="665DBE1D" w14:textId="77777777" w:rsidR="00E03EBE" w:rsidRDefault="00077F58" w:rsidP="00F66488">
      <w:pPr>
        <w:spacing w:after="0"/>
        <w:jc w:val="both"/>
        <w:rPr>
          <w:sz w:val="22"/>
        </w:rPr>
      </w:pPr>
      <w:r w:rsidRPr="00077F58">
        <w:rPr>
          <w:sz w:val="22"/>
        </w:rPr>
        <w:t xml:space="preserve">Par contre, s’il n’y a pas de relation de contrôle, on considère que l’on se trouve dans un cas de </w:t>
      </w:r>
      <w:r w:rsidRPr="009166FC">
        <w:rPr>
          <w:b/>
          <w:bCs/>
          <w:sz w:val="22"/>
        </w:rPr>
        <w:t>contrôle « distinct ».</w:t>
      </w:r>
    </w:p>
    <w:p w14:paraId="35534E2E" w14:textId="77777777" w:rsidR="00E03EBE" w:rsidRDefault="00E03EBE" w:rsidP="00F66488">
      <w:pPr>
        <w:spacing w:after="0"/>
        <w:jc w:val="both"/>
        <w:rPr>
          <w:sz w:val="22"/>
        </w:rPr>
      </w:pPr>
    </w:p>
    <w:p w14:paraId="57EB06E9" w14:textId="77777777" w:rsidR="00E03EBE" w:rsidRPr="00E03EBE" w:rsidRDefault="00E03EBE" w:rsidP="00F66488">
      <w:pPr>
        <w:spacing w:after="0"/>
        <w:jc w:val="both"/>
        <w:rPr>
          <w:sz w:val="22"/>
        </w:rPr>
      </w:pPr>
      <w:r w:rsidRPr="00E03EBE">
        <w:rPr>
          <w:sz w:val="22"/>
        </w:rPr>
        <w:t>En général, quand une société A absorbe une société B, les actionnaires de A, qui contrôlent déjà A, vont ensuite contrôler l’ensemble formé par A + B</w:t>
      </w:r>
      <w:r w:rsidR="002D3FF9">
        <w:rPr>
          <w:sz w:val="22"/>
        </w:rPr>
        <w:t xml:space="preserve">. C’est A qui est </w:t>
      </w:r>
      <w:r w:rsidRPr="00E03EBE">
        <w:rPr>
          <w:sz w:val="22"/>
        </w:rPr>
        <w:t>l’initiatrice de</w:t>
      </w:r>
      <w:r w:rsidR="002D3FF9">
        <w:rPr>
          <w:sz w:val="22"/>
        </w:rPr>
        <w:t xml:space="preserve"> l’opération, et B qui est la </w:t>
      </w:r>
      <w:r w:rsidRPr="00E03EBE">
        <w:rPr>
          <w:sz w:val="22"/>
        </w:rPr>
        <w:t>cible</w:t>
      </w:r>
      <w:r w:rsidR="002D3FF9">
        <w:rPr>
          <w:sz w:val="22"/>
        </w:rPr>
        <w:t>. A</w:t>
      </w:r>
      <w:r w:rsidRPr="00E03EBE">
        <w:rPr>
          <w:sz w:val="22"/>
        </w:rPr>
        <w:t xml:space="preserve"> augmente son capital pour rému</w:t>
      </w:r>
      <w:r w:rsidR="002D3FF9">
        <w:rPr>
          <w:sz w:val="22"/>
        </w:rPr>
        <w:t>nérer les apports, et B</w:t>
      </w:r>
      <w:r w:rsidRPr="00E03EBE">
        <w:rPr>
          <w:sz w:val="22"/>
        </w:rPr>
        <w:t xml:space="preserve"> disparaît juridiquement. Dans ce cas, on di</w:t>
      </w:r>
      <w:r w:rsidR="002D3FF9">
        <w:rPr>
          <w:sz w:val="22"/>
        </w:rPr>
        <w:t>t que l’opération se réalise à l’endroit</w:t>
      </w:r>
      <w:r w:rsidRPr="00E03EBE">
        <w:rPr>
          <w:sz w:val="22"/>
        </w:rPr>
        <w:t>. Après l’opération, l’actionnaire principal de la société bénéficiaire des apports conserve son contrôle et son pouvoir, malgré une certaine dilution du capital.</w:t>
      </w:r>
    </w:p>
    <w:p w14:paraId="6E750E6E" w14:textId="77777777" w:rsidR="00E03EBE" w:rsidRPr="00E03EBE" w:rsidRDefault="00E03EBE" w:rsidP="00F66488">
      <w:pPr>
        <w:spacing w:after="0"/>
        <w:jc w:val="both"/>
        <w:rPr>
          <w:sz w:val="22"/>
        </w:rPr>
      </w:pPr>
    </w:p>
    <w:p w14:paraId="1BB7807C" w14:textId="77777777" w:rsidR="00A475FE" w:rsidRDefault="00E03EBE" w:rsidP="00F66488">
      <w:pPr>
        <w:spacing w:after="0"/>
        <w:jc w:val="both"/>
        <w:rPr>
          <w:sz w:val="22"/>
        </w:rPr>
      </w:pPr>
      <w:r w:rsidRPr="00E03EBE">
        <w:rPr>
          <w:sz w:val="22"/>
        </w:rPr>
        <w:t>Par contre, dans d’</w:t>
      </w:r>
      <w:r w:rsidR="002D3FF9">
        <w:rPr>
          <w:sz w:val="22"/>
        </w:rPr>
        <w:t>autres cas</w:t>
      </w:r>
      <w:r w:rsidRPr="00E03EBE">
        <w:rPr>
          <w:sz w:val="22"/>
        </w:rPr>
        <w:t>, il se peut</w:t>
      </w:r>
      <w:r w:rsidR="002D3FF9">
        <w:rPr>
          <w:sz w:val="22"/>
        </w:rPr>
        <w:t xml:space="preserve"> que techniquement, près l’opération, ce soit</w:t>
      </w:r>
      <w:r w:rsidRPr="00E03EBE">
        <w:rPr>
          <w:sz w:val="22"/>
        </w:rPr>
        <w:t xml:space="preserve"> en fait l’actionnaire p</w:t>
      </w:r>
      <w:r w:rsidR="002D3FF9">
        <w:rPr>
          <w:sz w:val="22"/>
        </w:rPr>
        <w:t>rincipal de l’absorbée qui prenne</w:t>
      </w:r>
      <w:r w:rsidRPr="00E03EBE">
        <w:rPr>
          <w:sz w:val="22"/>
        </w:rPr>
        <w:t xml:space="preserve"> le contrôle de l’absorbante. On</w:t>
      </w:r>
      <w:r w:rsidR="002D3FF9">
        <w:rPr>
          <w:sz w:val="22"/>
        </w:rPr>
        <w:t xml:space="preserve"> a dans ce cas une opération à l’envers.</w:t>
      </w:r>
    </w:p>
    <w:p w14:paraId="69C8C586" w14:textId="77777777" w:rsidR="00A475FE" w:rsidRDefault="00A475FE" w:rsidP="00F66488">
      <w:pPr>
        <w:spacing w:after="0"/>
        <w:jc w:val="both"/>
        <w:rPr>
          <w:sz w:val="22"/>
        </w:rPr>
      </w:pPr>
    </w:p>
    <w:p w14:paraId="564E9386" w14:textId="709A6EB3" w:rsidR="00A475FE" w:rsidRPr="00C72927" w:rsidRDefault="00A475FE" w:rsidP="00C72927">
      <w:pPr>
        <w:pStyle w:val="NormalWeb"/>
        <w:spacing w:before="0" w:beforeAutospacing="0" w:after="0" w:afterAutospacing="0"/>
        <w:rPr>
          <w:rFonts w:ascii="Arial" w:hAnsi="Arial" w:cs="Arial"/>
        </w:rPr>
      </w:pPr>
      <w:r w:rsidRPr="00C72927">
        <w:rPr>
          <w:rFonts w:ascii="Arial" w:hAnsi="Arial" w:cs="Arial"/>
          <w:sz w:val="22"/>
          <w:szCs w:val="22"/>
        </w:rPr>
        <w:lastRenderedPageBreak/>
        <w:t xml:space="preserve">En croisant </w:t>
      </w:r>
      <w:r w:rsidR="00193403" w:rsidRPr="00C72927">
        <w:rPr>
          <w:rFonts w:ascii="Arial" w:hAnsi="Arial" w:cs="Arial"/>
          <w:sz w:val="22"/>
          <w:szCs w:val="22"/>
        </w:rPr>
        <w:t>les deux</w:t>
      </w:r>
      <w:r w:rsidRPr="00C72927">
        <w:rPr>
          <w:rFonts w:ascii="Arial" w:hAnsi="Arial" w:cs="Arial"/>
          <w:sz w:val="22"/>
          <w:szCs w:val="22"/>
        </w:rPr>
        <w:t xml:space="preserve"> critères précédents, on obtient les 4 cas de figure suivants, pour lesquels le règlement </w:t>
      </w:r>
      <w:r w:rsidRPr="00C72927">
        <w:rPr>
          <w:rFonts w:ascii="Arial" w:hAnsi="Arial" w:cs="Arial"/>
          <w:color w:val="000000" w:themeColor="text1"/>
          <w:sz w:val="22"/>
          <w:szCs w:val="22"/>
        </w:rPr>
        <w:t xml:space="preserve">comptable </w:t>
      </w:r>
      <w:r w:rsidR="00C72927" w:rsidRPr="00C72927">
        <w:rPr>
          <w:rFonts w:ascii="Arial" w:hAnsi="Arial" w:cs="Arial"/>
          <w:color w:val="000000" w:themeColor="text1"/>
          <w:sz w:val="22"/>
          <w:szCs w:val="22"/>
        </w:rPr>
        <w:t>2014-03</w:t>
      </w:r>
      <w:r w:rsidR="00C72927" w:rsidRPr="00C72927">
        <w:rPr>
          <w:rFonts w:ascii="Arial" w:hAnsi="Arial" w:cs="Arial"/>
          <w:color w:val="000000" w:themeColor="text1"/>
          <w:sz w:val="28"/>
          <w:szCs w:val="28"/>
        </w:rPr>
        <w:t xml:space="preserve"> </w:t>
      </w:r>
      <w:r w:rsidRPr="00C72927">
        <w:rPr>
          <w:rFonts w:ascii="Arial" w:hAnsi="Arial" w:cs="Arial"/>
          <w:color w:val="000000" w:themeColor="text1"/>
          <w:sz w:val="22"/>
          <w:szCs w:val="22"/>
        </w:rPr>
        <w:t xml:space="preserve"> </w:t>
      </w:r>
      <w:r w:rsidRPr="00C72927">
        <w:rPr>
          <w:rFonts w:ascii="Arial" w:hAnsi="Arial" w:cs="Arial"/>
          <w:sz w:val="22"/>
          <w:szCs w:val="22"/>
        </w:rPr>
        <w:t>prescrit le mode d’évaluation</w:t>
      </w:r>
      <w:r w:rsidR="00A01E84" w:rsidRPr="00C72927">
        <w:rPr>
          <w:rStyle w:val="Appelnotedebasdep"/>
          <w:rFonts w:ascii="Arial" w:hAnsi="Arial" w:cs="Arial"/>
          <w:sz w:val="22"/>
          <w:szCs w:val="22"/>
        </w:rPr>
        <w:footnoteReference w:id="3"/>
      </w:r>
      <w:r w:rsidRPr="00C72927">
        <w:rPr>
          <w:rFonts w:ascii="Arial" w:hAnsi="Arial" w:cs="Arial"/>
          <w:sz w:val="22"/>
          <w:szCs w:val="22"/>
        </w:rPr>
        <w:t xml:space="preserve"> :</w:t>
      </w:r>
    </w:p>
    <w:p w14:paraId="1F7E6076" w14:textId="77777777" w:rsidR="002D75F7" w:rsidRPr="00C72927" w:rsidRDefault="002D75F7" w:rsidP="00F66488">
      <w:pPr>
        <w:widowControl w:val="0"/>
        <w:autoSpaceDE w:val="0"/>
        <w:autoSpaceDN w:val="0"/>
        <w:adjustRightInd w:val="0"/>
        <w:spacing w:after="0"/>
        <w:jc w:val="both"/>
        <w:rPr>
          <w:rFonts w:cs="Arial"/>
          <w:b/>
          <w:sz w:val="22"/>
          <w:szCs w:val="20"/>
        </w:rPr>
      </w:pPr>
    </w:p>
    <w:p w14:paraId="4E474E1B" w14:textId="77777777" w:rsidR="00A475FE" w:rsidRPr="00A475FE" w:rsidRDefault="00A475FE" w:rsidP="00F66488">
      <w:pPr>
        <w:widowControl w:val="0"/>
        <w:autoSpaceDE w:val="0"/>
        <w:autoSpaceDN w:val="0"/>
        <w:adjustRightInd w:val="0"/>
        <w:spacing w:after="0"/>
        <w:jc w:val="both"/>
        <w:rPr>
          <w:b/>
          <w:sz w:val="22"/>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026"/>
        <w:gridCol w:w="3014"/>
        <w:gridCol w:w="3014"/>
      </w:tblGrid>
      <w:tr w:rsidR="00A475FE" w:rsidRPr="00A475FE" w14:paraId="5DBB7727" w14:textId="77777777">
        <w:tc>
          <w:tcPr>
            <w:tcW w:w="3068" w:type="dxa"/>
          </w:tcPr>
          <w:p w14:paraId="208C4757" w14:textId="77777777" w:rsidR="00A475FE" w:rsidRPr="00A475FE" w:rsidRDefault="00A475FE" w:rsidP="00F66488">
            <w:pPr>
              <w:widowControl w:val="0"/>
              <w:autoSpaceDE w:val="0"/>
              <w:autoSpaceDN w:val="0"/>
              <w:adjustRightInd w:val="0"/>
              <w:spacing w:after="0"/>
              <w:jc w:val="both"/>
              <w:rPr>
                <w:rFonts w:ascii="ArialMT" w:hAnsi="ArialMT"/>
                <w:sz w:val="22"/>
                <w:szCs w:val="20"/>
              </w:rPr>
            </w:pPr>
          </w:p>
        </w:tc>
        <w:tc>
          <w:tcPr>
            <w:tcW w:w="6138" w:type="dxa"/>
            <w:gridSpan w:val="2"/>
          </w:tcPr>
          <w:p w14:paraId="40998CCD" w14:textId="77777777" w:rsidR="00A475FE" w:rsidRPr="00A475FE" w:rsidRDefault="00A475FE" w:rsidP="00F66488">
            <w:pPr>
              <w:widowControl w:val="0"/>
              <w:autoSpaceDE w:val="0"/>
              <w:autoSpaceDN w:val="0"/>
              <w:adjustRightInd w:val="0"/>
              <w:spacing w:after="0"/>
              <w:jc w:val="center"/>
              <w:rPr>
                <w:rFonts w:ascii="ArialMT" w:hAnsi="ArialMT"/>
                <w:b/>
                <w:sz w:val="22"/>
                <w:szCs w:val="20"/>
              </w:rPr>
            </w:pPr>
            <w:r w:rsidRPr="00A475FE">
              <w:rPr>
                <w:b/>
                <w:sz w:val="22"/>
                <w:szCs w:val="20"/>
              </w:rPr>
              <w:t>TYPE DE CONTROLE</w:t>
            </w:r>
          </w:p>
        </w:tc>
      </w:tr>
      <w:tr w:rsidR="00A475FE" w:rsidRPr="00A475FE" w14:paraId="60AD2161" w14:textId="77777777">
        <w:tc>
          <w:tcPr>
            <w:tcW w:w="3068" w:type="dxa"/>
          </w:tcPr>
          <w:p w14:paraId="7BD6F578" w14:textId="77777777" w:rsidR="00A475FE" w:rsidRPr="00A475FE" w:rsidRDefault="00A475FE" w:rsidP="00F66488">
            <w:pPr>
              <w:widowControl w:val="0"/>
              <w:autoSpaceDE w:val="0"/>
              <w:autoSpaceDN w:val="0"/>
              <w:adjustRightInd w:val="0"/>
              <w:spacing w:after="0"/>
              <w:jc w:val="center"/>
              <w:rPr>
                <w:b/>
                <w:sz w:val="22"/>
                <w:szCs w:val="20"/>
              </w:rPr>
            </w:pPr>
            <w:r w:rsidRPr="00A475FE">
              <w:rPr>
                <w:b/>
                <w:sz w:val="22"/>
                <w:szCs w:val="20"/>
              </w:rPr>
              <w:t>SENS DE</w:t>
            </w:r>
          </w:p>
          <w:p w14:paraId="009408CA" w14:textId="77777777" w:rsidR="00A475FE" w:rsidRPr="00A475FE" w:rsidRDefault="00A475FE" w:rsidP="00F66488">
            <w:pPr>
              <w:widowControl w:val="0"/>
              <w:autoSpaceDE w:val="0"/>
              <w:autoSpaceDN w:val="0"/>
              <w:adjustRightInd w:val="0"/>
              <w:spacing w:after="0"/>
              <w:jc w:val="center"/>
              <w:rPr>
                <w:rFonts w:ascii="ArialMT" w:hAnsi="ArialMT"/>
                <w:b/>
                <w:sz w:val="22"/>
                <w:szCs w:val="20"/>
              </w:rPr>
            </w:pPr>
            <w:r w:rsidRPr="00A475FE">
              <w:rPr>
                <w:b/>
                <w:sz w:val="22"/>
                <w:szCs w:val="20"/>
              </w:rPr>
              <w:t>L’OPÉRATION</w:t>
            </w:r>
          </w:p>
        </w:tc>
        <w:tc>
          <w:tcPr>
            <w:tcW w:w="3069" w:type="dxa"/>
          </w:tcPr>
          <w:p w14:paraId="4A21DB2A" w14:textId="77777777" w:rsidR="00A475FE" w:rsidRPr="00A475FE" w:rsidRDefault="00A475FE" w:rsidP="00F66488">
            <w:pPr>
              <w:widowControl w:val="0"/>
              <w:autoSpaceDE w:val="0"/>
              <w:autoSpaceDN w:val="0"/>
              <w:adjustRightInd w:val="0"/>
              <w:spacing w:after="0"/>
              <w:jc w:val="center"/>
              <w:rPr>
                <w:rFonts w:ascii="ArialMT" w:hAnsi="ArialMT"/>
                <w:sz w:val="22"/>
                <w:szCs w:val="20"/>
              </w:rPr>
            </w:pPr>
            <w:r w:rsidRPr="00A475FE">
              <w:rPr>
                <w:sz w:val="22"/>
                <w:szCs w:val="20"/>
              </w:rPr>
              <w:t>Commun</w:t>
            </w:r>
          </w:p>
        </w:tc>
        <w:tc>
          <w:tcPr>
            <w:tcW w:w="3069" w:type="dxa"/>
          </w:tcPr>
          <w:p w14:paraId="0FE1B36D" w14:textId="77777777" w:rsidR="00A475FE" w:rsidRPr="00A475FE" w:rsidRDefault="00A475FE" w:rsidP="00F66488">
            <w:pPr>
              <w:widowControl w:val="0"/>
              <w:autoSpaceDE w:val="0"/>
              <w:autoSpaceDN w:val="0"/>
              <w:adjustRightInd w:val="0"/>
              <w:spacing w:after="0"/>
              <w:jc w:val="center"/>
              <w:rPr>
                <w:rFonts w:ascii="ArialMT" w:hAnsi="ArialMT"/>
                <w:sz w:val="22"/>
                <w:szCs w:val="20"/>
              </w:rPr>
            </w:pPr>
            <w:r w:rsidRPr="00A475FE">
              <w:rPr>
                <w:sz w:val="22"/>
                <w:szCs w:val="20"/>
              </w:rPr>
              <w:t>Distinct</w:t>
            </w:r>
          </w:p>
        </w:tc>
      </w:tr>
      <w:tr w:rsidR="00A475FE" w:rsidRPr="00A475FE" w14:paraId="7E186972" w14:textId="77777777">
        <w:tc>
          <w:tcPr>
            <w:tcW w:w="3068" w:type="dxa"/>
          </w:tcPr>
          <w:p w14:paraId="6CE67CB3" w14:textId="77777777" w:rsidR="00A475FE" w:rsidRPr="00A475FE" w:rsidRDefault="00A475FE" w:rsidP="00F66488">
            <w:pPr>
              <w:widowControl w:val="0"/>
              <w:autoSpaceDE w:val="0"/>
              <w:autoSpaceDN w:val="0"/>
              <w:adjustRightInd w:val="0"/>
              <w:spacing w:after="0"/>
              <w:jc w:val="center"/>
              <w:rPr>
                <w:rFonts w:ascii="ArialMT" w:hAnsi="ArialMT"/>
                <w:sz w:val="22"/>
                <w:szCs w:val="20"/>
              </w:rPr>
            </w:pPr>
            <w:r w:rsidRPr="00A475FE">
              <w:rPr>
                <w:sz w:val="22"/>
                <w:szCs w:val="20"/>
              </w:rPr>
              <w:t>A l’endroit</w:t>
            </w:r>
          </w:p>
        </w:tc>
        <w:tc>
          <w:tcPr>
            <w:tcW w:w="3069" w:type="dxa"/>
          </w:tcPr>
          <w:p w14:paraId="614ABF89" w14:textId="77777777" w:rsidR="00A475FE" w:rsidRPr="00A475FE" w:rsidRDefault="00A475FE" w:rsidP="00121DB6">
            <w:pPr>
              <w:widowControl w:val="0"/>
              <w:autoSpaceDE w:val="0"/>
              <w:autoSpaceDN w:val="0"/>
              <w:adjustRightInd w:val="0"/>
              <w:spacing w:after="0"/>
              <w:jc w:val="center"/>
              <w:rPr>
                <w:rFonts w:ascii="ArialMT" w:hAnsi="ArialMT"/>
                <w:sz w:val="22"/>
                <w:szCs w:val="20"/>
              </w:rPr>
            </w:pPr>
            <w:r w:rsidRPr="00A475FE">
              <w:rPr>
                <w:sz w:val="22"/>
                <w:szCs w:val="20"/>
              </w:rPr>
              <w:t>(1) valeurs comptables</w:t>
            </w:r>
          </w:p>
        </w:tc>
        <w:tc>
          <w:tcPr>
            <w:tcW w:w="3069" w:type="dxa"/>
          </w:tcPr>
          <w:p w14:paraId="0BA2C2D0" w14:textId="77777777" w:rsidR="00A475FE" w:rsidRPr="00A475FE" w:rsidRDefault="00A475FE" w:rsidP="00121DB6">
            <w:pPr>
              <w:widowControl w:val="0"/>
              <w:autoSpaceDE w:val="0"/>
              <w:autoSpaceDN w:val="0"/>
              <w:adjustRightInd w:val="0"/>
              <w:spacing w:after="0"/>
              <w:jc w:val="center"/>
              <w:rPr>
                <w:rFonts w:ascii="ArialMT" w:hAnsi="ArialMT"/>
                <w:sz w:val="22"/>
                <w:szCs w:val="20"/>
              </w:rPr>
            </w:pPr>
            <w:r w:rsidRPr="00A475FE">
              <w:rPr>
                <w:sz w:val="22"/>
                <w:szCs w:val="20"/>
              </w:rPr>
              <w:t>(2) valeurs réelles</w:t>
            </w:r>
          </w:p>
        </w:tc>
      </w:tr>
      <w:tr w:rsidR="00A475FE" w:rsidRPr="00A475FE" w14:paraId="0E26AD91" w14:textId="77777777">
        <w:tc>
          <w:tcPr>
            <w:tcW w:w="3068" w:type="dxa"/>
          </w:tcPr>
          <w:p w14:paraId="099229FC" w14:textId="77777777" w:rsidR="00A475FE" w:rsidRPr="00A475FE" w:rsidRDefault="00A475FE" w:rsidP="00F66488">
            <w:pPr>
              <w:widowControl w:val="0"/>
              <w:autoSpaceDE w:val="0"/>
              <w:autoSpaceDN w:val="0"/>
              <w:adjustRightInd w:val="0"/>
              <w:spacing w:after="0"/>
              <w:jc w:val="center"/>
              <w:rPr>
                <w:rFonts w:ascii="ArialMT" w:hAnsi="ArialMT"/>
                <w:sz w:val="22"/>
                <w:szCs w:val="20"/>
              </w:rPr>
            </w:pPr>
            <w:r w:rsidRPr="00A475FE">
              <w:rPr>
                <w:sz w:val="22"/>
                <w:szCs w:val="20"/>
              </w:rPr>
              <w:t>A l’envers</w:t>
            </w:r>
          </w:p>
        </w:tc>
        <w:tc>
          <w:tcPr>
            <w:tcW w:w="3069" w:type="dxa"/>
          </w:tcPr>
          <w:p w14:paraId="47616DDB" w14:textId="77777777" w:rsidR="00A475FE" w:rsidRPr="00A475FE" w:rsidRDefault="00A475FE" w:rsidP="00121DB6">
            <w:pPr>
              <w:widowControl w:val="0"/>
              <w:autoSpaceDE w:val="0"/>
              <w:autoSpaceDN w:val="0"/>
              <w:adjustRightInd w:val="0"/>
              <w:spacing w:after="0"/>
              <w:jc w:val="center"/>
              <w:rPr>
                <w:rFonts w:ascii="ArialMT" w:hAnsi="ArialMT"/>
                <w:sz w:val="22"/>
                <w:szCs w:val="20"/>
              </w:rPr>
            </w:pPr>
            <w:r w:rsidRPr="00A475FE">
              <w:rPr>
                <w:sz w:val="22"/>
                <w:szCs w:val="20"/>
              </w:rPr>
              <w:t>(3) valeurs comptables</w:t>
            </w:r>
          </w:p>
        </w:tc>
        <w:tc>
          <w:tcPr>
            <w:tcW w:w="3069" w:type="dxa"/>
          </w:tcPr>
          <w:p w14:paraId="7FC04512" w14:textId="77777777" w:rsidR="00A475FE" w:rsidRPr="00A475FE" w:rsidRDefault="00A475FE" w:rsidP="00121DB6">
            <w:pPr>
              <w:widowControl w:val="0"/>
              <w:autoSpaceDE w:val="0"/>
              <w:autoSpaceDN w:val="0"/>
              <w:adjustRightInd w:val="0"/>
              <w:spacing w:after="0"/>
              <w:jc w:val="center"/>
              <w:rPr>
                <w:rFonts w:ascii="ArialMT" w:hAnsi="ArialMT"/>
                <w:sz w:val="22"/>
                <w:szCs w:val="20"/>
              </w:rPr>
            </w:pPr>
            <w:r w:rsidRPr="00A475FE">
              <w:rPr>
                <w:sz w:val="22"/>
                <w:szCs w:val="20"/>
              </w:rPr>
              <w:t>(4) valeurs comptables</w:t>
            </w:r>
          </w:p>
        </w:tc>
      </w:tr>
    </w:tbl>
    <w:p w14:paraId="7CDD480C" w14:textId="77777777" w:rsidR="00A475FE" w:rsidRPr="00E9692D" w:rsidRDefault="00A475FE" w:rsidP="00F66488">
      <w:pPr>
        <w:widowControl w:val="0"/>
        <w:autoSpaceDE w:val="0"/>
        <w:autoSpaceDN w:val="0"/>
        <w:adjustRightInd w:val="0"/>
        <w:spacing w:after="0"/>
        <w:jc w:val="both"/>
        <w:rPr>
          <w:b/>
          <w:szCs w:val="20"/>
        </w:rPr>
      </w:pPr>
    </w:p>
    <w:p w14:paraId="5021F34A" w14:textId="6CFBF8CC" w:rsidR="00A475FE" w:rsidRDefault="00A475FE" w:rsidP="00F66488">
      <w:pPr>
        <w:spacing w:after="0"/>
        <w:jc w:val="both"/>
        <w:rPr>
          <w:sz w:val="22"/>
        </w:rPr>
      </w:pPr>
      <w:r w:rsidRPr="00A475FE">
        <w:rPr>
          <w:sz w:val="22"/>
        </w:rPr>
        <w:t>Pour les opérations réalisées à l’intérie</w:t>
      </w:r>
      <w:r>
        <w:rPr>
          <w:sz w:val="22"/>
        </w:rPr>
        <w:t>ur d’un groupe (contrôle commun, situations 1 et 3</w:t>
      </w:r>
      <w:r w:rsidRPr="00A475FE">
        <w:rPr>
          <w:sz w:val="22"/>
        </w:rPr>
        <w:t>), il faut comptabiliser le</w:t>
      </w:r>
      <w:r>
        <w:rPr>
          <w:sz w:val="22"/>
        </w:rPr>
        <w:t>s apports à la valeur comptable : il s’agit d’une simple restructuration interne.</w:t>
      </w:r>
    </w:p>
    <w:p w14:paraId="19849B07" w14:textId="77777777" w:rsidR="00372BA8" w:rsidRPr="00A475FE" w:rsidRDefault="00372BA8" w:rsidP="00F66488">
      <w:pPr>
        <w:spacing w:after="0"/>
        <w:jc w:val="both"/>
        <w:rPr>
          <w:sz w:val="22"/>
        </w:rPr>
      </w:pPr>
    </w:p>
    <w:p w14:paraId="417F2C55" w14:textId="2D3DFF3B" w:rsidR="00A475FE" w:rsidRDefault="00A475FE" w:rsidP="00F66488">
      <w:pPr>
        <w:spacing w:after="0"/>
        <w:jc w:val="both"/>
        <w:rPr>
          <w:sz w:val="22"/>
        </w:rPr>
      </w:pPr>
      <w:r>
        <w:rPr>
          <w:sz w:val="22"/>
        </w:rPr>
        <w:t xml:space="preserve">Une opération à l’endroit en contrôle distinct (2) est </w:t>
      </w:r>
      <w:r w:rsidRPr="00372BA8">
        <w:rPr>
          <w:b/>
          <w:bCs/>
          <w:sz w:val="22"/>
        </w:rPr>
        <w:t>équivalente à un achat</w:t>
      </w:r>
      <w:r>
        <w:rPr>
          <w:sz w:val="22"/>
        </w:rPr>
        <w:t>, on utilise donc les valeurs réelles</w:t>
      </w:r>
      <w:r w:rsidR="00372BA8">
        <w:rPr>
          <w:sz w:val="22"/>
        </w:rPr>
        <w:t xml:space="preserve"> « d’achat ». Dans le bilan après fusion, on trouve donc :</w:t>
      </w:r>
    </w:p>
    <w:p w14:paraId="62A30F84" w14:textId="76EB75D6" w:rsidR="00372BA8" w:rsidRDefault="00372BA8" w:rsidP="00372BA8">
      <w:pPr>
        <w:pStyle w:val="Paragraphedeliste"/>
        <w:numPr>
          <w:ilvl w:val="0"/>
          <w:numId w:val="4"/>
        </w:numPr>
        <w:spacing w:after="0"/>
        <w:jc w:val="both"/>
        <w:rPr>
          <w:sz w:val="22"/>
        </w:rPr>
      </w:pPr>
      <w:proofErr w:type="gramStart"/>
      <w:r>
        <w:rPr>
          <w:sz w:val="22"/>
        </w:rPr>
        <w:t>les</w:t>
      </w:r>
      <w:proofErr w:type="gramEnd"/>
      <w:r>
        <w:rPr>
          <w:sz w:val="22"/>
        </w:rPr>
        <w:t xml:space="preserve"> actifs de l’absorbante en valeur comptable</w:t>
      </w:r>
    </w:p>
    <w:p w14:paraId="42147CD7" w14:textId="4F246B63" w:rsidR="00372BA8" w:rsidRDefault="00372BA8" w:rsidP="00372BA8">
      <w:pPr>
        <w:pStyle w:val="Paragraphedeliste"/>
        <w:numPr>
          <w:ilvl w:val="0"/>
          <w:numId w:val="4"/>
        </w:numPr>
        <w:spacing w:after="0"/>
        <w:jc w:val="both"/>
        <w:rPr>
          <w:sz w:val="22"/>
        </w:rPr>
      </w:pPr>
      <w:proofErr w:type="gramStart"/>
      <w:r>
        <w:rPr>
          <w:sz w:val="22"/>
        </w:rPr>
        <w:t>les</w:t>
      </w:r>
      <w:proofErr w:type="gramEnd"/>
      <w:r>
        <w:rPr>
          <w:sz w:val="22"/>
        </w:rPr>
        <w:t xml:space="preserve"> actifs de l’absorbée en valeur réelle</w:t>
      </w:r>
    </w:p>
    <w:p w14:paraId="433896BF" w14:textId="77777777" w:rsidR="00372BA8" w:rsidRPr="00372BA8" w:rsidRDefault="00372BA8" w:rsidP="00372BA8">
      <w:pPr>
        <w:pStyle w:val="Paragraphedeliste"/>
        <w:numPr>
          <w:ilvl w:val="0"/>
          <w:numId w:val="4"/>
        </w:numPr>
        <w:spacing w:after="0"/>
        <w:jc w:val="both"/>
        <w:rPr>
          <w:sz w:val="22"/>
        </w:rPr>
      </w:pPr>
    </w:p>
    <w:p w14:paraId="029F4877" w14:textId="6E2B0D5E" w:rsidR="00121DB6" w:rsidRPr="00121DB6" w:rsidRDefault="00A475FE" w:rsidP="00121DB6">
      <w:pPr>
        <w:spacing w:after="0"/>
        <w:jc w:val="both"/>
        <w:rPr>
          <w:sz w:val="22"/>
        </w:rPr>
      </w:pPr>
      <w:r w:rsidRPr="00A475FE">
        <w:rPr>
          <w:sz w:val="22"/>
        </w:rPr>
        <w:t xml:space="preserve">Dans le cas 4, </w:t>
      </w:r>
      <w:r w:rsidR="00372BA8">
        <w:rPr>
          <w:sz w:val="22"/>
        </w:rPr>
        <w:t>Le bilan de l’absorbée après fusion sera homogène en valeurs comptables.</w:t>
      </w:r>
      <w:r w:rsidR="00121DB6">
        <w:rPr>
          <w:sz w:val="22"/>
        </w:rPr>
        <w:t xml:space="preserve"> S’il s’agit d’un a</w:t>
      </w:r>
      <w:r w:rsidR="00121DB6" w:rsidRPr="00121DB6">
        <w:rPr>
          <w:sz w:val="22"/>
        </w:rPr>
        <w:t>pport à l’envers</w:t>
      </w:r>
      <w:r w:rsidR="00121DB6">
        <w:rPr>
          <w:sz w:val="22"/>
        </w:rPr>
        <w:t xml:space="preserve">, </w:t>
      </w:r>
      <w:r w:rsidR="00121DB6" w:rsidRPr="00121DB6">
        <w:rPr>
          <w:sz w:val="22"/>
        </w:rPr>
        <w:t>après l’apport, la société apporteuse prend le contrôle de la société bénéficiaire des apports, ou renforce son contrôle sur celle-ci :</w:t>
      </w:r>
    </w:p>
    <w:p w14:paraId="33AB9E80" w14:textId="77777777" w:rsidR="00121DB6" w:rsidRPr="00121DB6" w:rsidRDefault="00121DB6" w:rsidP="00121DB6">
      <w:pPr>
        <w:spacing w:after="0"/>
        <w:jc w:val="both"/>
        <w:rPr>
          <w:sz w:val="22"/>
        </w:rPr>
      </w:pPr>
      <w:r w:rsidRPr="00121DB6">
        <w:rPr>
          <w:sz w:val="22"/>
        </w:rPr>
        <w:t xml:space="preserve">    • la cible est la société bénéficiaire des apports ;</w:t>
      </w:r>
    </w:p>
    <w:p w14:paraId="6BB49E94" w14:textId="59EC60DA" w:rsidR="00121DB6" w:rsidRDefault="00121DB6" w:rsidP="00121DB6">
      <w:pPr>
        <w:spacing w:after="0"/>
        <w:jc w:val="both"/>
        <w:rPr>
          <w:sz w:val="22"/>
        </w:rPr>
      </w:pPr>
      <w:r w:rsidRPr="00121DB6">
        <w:rPr>
          <w:sz w:val="22"/>
        </w:rPr>
        <w:t xml:space="preserve">    • l’initiatrice est la société apporteuse ou sa société mère.</w:t>
      </w:r>
    </w:p>
    <w:p w14:paraId="651302BF" w14:textId="77777777" w:rsidR="000433A4" w:rsidRDefault="000433A4" w:rsidP="00F66488">
      <w:pPr>
        <w:spacing w:after="0"/>
        <w:jc w:val="both"/>
        <w:rPr>
          <w:sz w:val="22"/>
        </w:rPr>
      </w:pPr>
    </w:p>
    <w:p w14:paraId="255D3B65" w14:textId="77777777" w:rsidR="00A475FE" w:rsidRPr="00A475FE" w:rsidRDefault="00A475FE" w:rsidP="00F66488">
      <w:pPr>
        <w:spacing w:after="0"/>
        <w:jc w:val="both"/>
        <w:rPr>
          <w:sz w:val="22"/>
        </w:rPr>
      </w:pPr>
      <w:r w:rsidRPr="00A475FE">
        <w:rPr>
          <w:sz w:val="22"/>
        </w:rPr>
        <w:t>Certaines dérogations sont prévues. Ainsi, les valeurs réelles doivent être retenues, même en cas de contrôle commun, dans le cas :</w:t>
      </w:r>
    </w:p>
    <w:p w14:paraId="7B7C780A" w14:textId="77777777" w:rsidR="00AD42D4" w:rsidRDefault="00A475FE" w:rsidP="00AD42D4">
      <w:pPr>
        <w:pStyle w:val="Paragraphedeliste"/>
        <w:numPr>
          <w:ilvl w:val="0"/>
          <w:numId w:val="4"/>
        </w:numPr>
        <w:spacing w:after="0"/>
        <w:jc w:val="both"/>
        <w:rPr>
          <w:sz w:val="22"/>
        </w:rPr>
      </w:pPr>
      <w:proofErr w:type="gramStart"/>
      <w:r w:rsidRPr="00F92524">
        <w:rPr>
          <w:sz w:val="22"/>
        </w:rPr>
        <w:t>de</w:t>
      </w:r>
      <w:proofErr w:type="gramEnd"/>
      <w:r w:rsidRPr="00F92524">
        <w:rPr>
          <w:sz w:val="22"/>
        </w:rPr>
        <w:t xml:space="preserve"> la filialisation d’une branche d’activité destinée à être cédée (éventualité par exemple d’une introduction ultérieure en bourse) ;</w:t>
      </w:r>
    </w:p>
    <w:p w14:paraId="4914AD7F" w14:textId="615F8989" w:rsidR="00A475FE" w:rsidRPr="00AD42D4" w:rsidRDefault="00A475FE" w:rsidP="00AD42D4">
      <w:pPr>
        <w:pStyle w:val="Paragraphedeliste"/>
        <w:numPr>
          <w:ilvl w:val="0"/>
          <w:numId w:val="4"/>
        </w:numPr>
        <w:spacing w:after="0"/>
        <w:jc w:val="both"/>
        <w:rPr>
          <w:sz w:val="22"/>
        </w:rPr>
      </w:pPr>
      <w:proofErr w:type="gramStart"/>
      <w:r w:rsidRPr="00AD42D4">
        <w:rPr>
          <w:sz w:val="22"/>
        </w:rPr>
        <w:t>d’une</w:t>
      </w:r>
      <w:proofErr w:type="gramEnd"/>
      <w:r w:rsidRPr="00AD42D4">
        <w:rPr>
          <w:sz w:val="22"/>
        </w:rPr>
        <w:t xml:space="preserve"> insuffisance d’actif net </w:t>
      </w:r>
      <w:r w:rsidR="00C02129">
        <w:rPr>
          <w:sz w:val="22"/>
        </w:rPr>
        <w:t xml:space="preserve">comptable </w:t>
      </w:r>
      <w:r w:rsidRPr="00AD42D4">
        <w:rPr>
          <w:sz w:val="22"/>
        </w:rPr>
        <w:t>apporté pour permettre la libération du capital</w:t>
      </w:r>
      <w:r w:rsidR="00C02129">
        <w:rPr>
          <w:sz w:val="22"/>
        </w:rPr>
        <w:t xml:space="preserve"> (société absorbée estimée valoir plus que sa valeur comptable).</w:t>
      </w:r>
    </w:p>
    <w:p w14:paraId="3950B1D6" w14:textId="77777777" w:rsidR="00A475FE" w:rsidRPr="00A475FE" w:rsidRDefault="00A475FE" w:rsidP="00F66488">
      <w:pPr>
        <w:spacing w:after="0"/>
        <w:jc w:val="both"/>
        <w:rPr>
          <w:sz w:val="22"/>
        </w:rPr>
      </w:pPr>
    </w:p>
    <w:p w14:paraId="67C32A45" w14:textId="77777777" w:rsidR="00E03EBE" w:rsidRPr="00E03EBE" w:rsidRDefault="00E03EBE" w:rsidP="00F66488">
      <w:pPr>
        <w:spacing w:after="0"/>
        <w:jc w:val="both"/>
        <w:rPr>
          <w:sz w:val="22"/>
        </w:rPr>
      </w:pPr>
    </w:p>
    <w:p w14:paraId="4237C851" w14:textId="77777777" w:rsidR="00193403" w:rsidRDefault="00193403" w:rsidP="00F66488">
      <w:pPr>
        <w:spacing w:after="0"/>
        <w:jc w:val="both"/>
        <w:rPr>
          <w:sz w:val="22"/>
        </w:rPr>
      </w:pPr>
    </w:p>
    <w:p w14:paraId="0C32DEA1" w14:textId="299860A4" w:rsidR="009C42C8" w:rsidRPr="00F75044" w:rsidRDefault="00EE6DF1" w:rsidP="00CA2806">
      <w:pPr>
        <w:pStyle w:val="Titre1"/>
        <w:spacing w:before="0"/>
        <w:jc w:val="center"/>
        <w:rPr>
          <w:color w:val="auto"/>
          <w:sz w:val="28"/>
        </w:rPr>
      </w:pPr>
      <w:bookmarkStart w:id="4" w:name="_Toc129743326"/>
      <w:bookmarkStart w:id="5" w:name="_Toc129743397"/>
      <w:r>
        <w:rPr>
          <w:color w:val="auto"/>
          <w:sz w:val="28"/>
        </w:rPr>
        <w:t xml:space="preserve">CHAPITRE 3 </w:t>
      </w:r>
      <w:r w:rsidR="009C42C8" w:rsidRPr="00F75044">
        <w:rPr>
          <w:color w:val="auto"/>
          <w:sz w:val="28"/>
        </w:rPr>
        <w:t>ANALYSE FISCALE</w:t>
      </w:r>
      <w:bookmarkEnd w:id="4"/>
      <w:bookmarkEnd w:id="5"/>
    </w:p>
    <w:p w14:paraId="169386DB" w14:textId="77777777" w:rsidR="009C42C8" w:rsidRDefault="009C42C8" w:rsidP="00F66488">
      <w:pPr>
        <w:spacing w:after="0"/>
        <w:jc w:val="both"/>
        <w:rPr>
          <w:sz w:val="22"/>
        </w:rPr>
      </w:pPr>
    </w:p>
    <w:p w14:paraId="34A93429" w14:textId="77777777" w:rsidR="00E43D53" w:rsidRDefault="008C5D8D" w:rsidP="00F66488">
      <w:pPr>
        <w:spacing w:after="0"/>
        <w:jc w:val="both"/>
        <w:rPr>
          <w:sz w:val="22"/>
        </w:rPr>
      </w:pPr>
      <w:r w:rsidRPr="008C5D8D">
        <w:rPr>
          <w:sz w:val="22"/>
        </w:rPr>
        <w:t>Les fusions de sociétés, qui impliquent une cessation totale d'entreprise pour la ou les sociétés absorbées, devraient, en principe, entraîner toutes les conséquences fiscales d'une telle opération et, notamment, donner lieu à</w:t>
      </w:r>
      <w:r w:rsidR="00E43D53">
        <w:rPr>
          <w:sz w:val="22"/>
        </w:rPr>
        <w:t> :</w:t>
      </w:r>
    </w:p>
    <w:p w14:paraId="4AF0306F" w14:textId="77777777" w:rsidR="005E297B" w:rsidRDefault="008C5D8D" w:rsidP="005E297B">
      <w:pPr>
        <w:pStyle w:val="Paragraphedeliste"/>
        <w:numPr>
          <w:ilvl w:val="0"/>
          <w:numId w:val="4"/>
        </w:numPr>
        <w:spacing w:after="0"/>
        <w:jc w:val="both"/>
        <w:rPr>
          <w:sz w:val="22"/>
        </w:rPr>
      </w:pPr>
      <w:proofErr w:type="gramStart"/>
      <w:r w:rsidRPr="00E43D53">
        <w:rPr>
          <w:sz w:val="22"/>
        </w:rPr>
        <w:t>l'imposition</w:t>
      </w:r>
      <w:proofErr w:type="gramEnd"/>
      <w:r w:rsidRPr="00E43D53">
        <w:rPr>
          <w:sz w:val="22"/>
        </w:rPr>
        <w:t xml:space="preserve"> immédiate au nom de ces sociétés de l'ensemble des bénéfices non encore taxés, y compris les plus-values réalisées à cette oc</w:t>
      </w:r>
      <w:r w:rsidR="00AE5516" w:rsidRPr="00E43D53">
        <w:rPr>
          <w:sz w:val="22"/>
        </w:rPr>
        <w:t>cas</w:t>
      </w:r>
      <w:r w:rsidR="00E43D53" w:rsidRPr="00E43D53">
        <w:rPr>
          <w:sz w:val="22"/>
        </w:rPr>
        <w:t>ion,</w:t>
      </w:r>
    </w:p>
    <w:p w14:paraId="26675DAD" w14:textId="77777777" w:rsidR="005E297B" w:rsidRDefault="00E43D53" w:rsidP="005E297B">
      <w:pPr>
        <w:pStyle w:val="Paragraphedeliste"/>
        <w:numPr>
          <w:ilvl w:val="0"/>
          <w:numId w:val="4"/>
        </w:numPr>
        <w:spacing w:after="0"/>
        <w:jc w:val="both"/>
        <w:rPr>
          <w:sz w:val="22"/>
        </w:rPr>
      </w:pPr>
      <w:proofErr w:type="gramStart"/>
      <w:r w:rsidRPr="005E297B">
        <w:rPr>
          <w:sz w:val="22"/>
        </w:rPr>
        <w:t>droits</w:t>
      </w:r>
      <w:proofErr w:type="gramEnd"/>
      <w:r w:rsidRPr="005E297B">
        <w:rPr>
          <w:sz w:val="22"/>
        </w:rPr>
        <w:t xml:space="preserve"> d’enregistrement (liquidation de l’absorbée et apports à l’absorbante)</w:t>
      </w:r>
    </w:p>
    <w:p w14:paraId="3B3DF5D1" w14:textId="553D2954" w:rsidR="00E43D53" w:rsidRPr="005E297B" w:rsidRDefault="00E43D53" w:rsidP="005E297B">
      <w:pPr>
        <w:pStyle w:val="Paragraphedeliste"/>
        <w:numPr>
          <w:ilvl w:val="0"/>
          <w:numId w:val="4"/>
        </w:numPr>
        <w:spacing w:after="0"/>
        <w:jc w:val="both"/>
        <w:rPr>
          <w:sz w:val="22"/>
        </w:rPr>
      </w:pPr>
      <w:proofErr w:type="spellStart"/>
      <w:proofErr w:type="gramStart"/>
      <w:r w:rsidRPr="005E297B">
        <w:rPr>
          <w:sz w:val="22"/>
        </w:rPr>
        <w:t>plus</w:t>
      </w:r>
      <w:proofErr w:type="gramEnd"/>
      <w:r w:rsidRPr="005E297B">
        <w:rPr>
          <w:sz w:val="22"/>
        </w:rPr>
        <w:t xml:space="preserve"> values</w:t>
      </w:r>
      <w:proofErr w:type="spellEnd"/>
      <w:r w:rsidRPr="005E297B">
        <w:rPr>
          <w:sz w:val="22"/>
        </w:rPr>
        <w:t xml:space="preserve"> des associés de l’absorbée et revenus distribués.</w:t>
      </w:r>
    </w:p>
    <w:p w14:paraId="530C3694" w14:textId="77777777" w:rsidR="008C5D8D" w:rsidRPr="00E43D53" w:rsidRDefault="008C5D8D" w:rsidP="00F66488">
      <w:pPr>
        <w:spacing w:after="0"/>
        <w:jc w:val="both"/>
        <w:rPr>
          <w:sz w:val="22"/>
        </w:rPr>
      </w:pPr>
    </w:p>
    <w:p w14:paraId="1696BBF0" w14:textId="607215DE" w:rsidR="008C5D8D" w:rsidRPr="008C5D8D" w:rsidRDefault="008C5D8D" w:rsidP="00F66488">
      <w:pPr>
        <w:spacing w:after="0"/>
        <w:jc w:val="both"/>
        <w:rPr>
          <w:sz w:val="22"/>
        </w:rPr>
      </w:pPr>
      <w:r w:rsidRPr="008C5D8D">
        <w:rPr>
          <w:sz w:val="22"/>
        </w:rPr>
        <w:t>Afin d'encourager les regroupements d'entreprises, le législateur a insti</w:t>
      </w:r>
      <w:r w:rsidR="00E43D53">
        <w:rPr>
          <w:sz w:val="22"/>
        </w:rPr>
        <w:t xml:space="preserve">tué un </w:t>
      </w:r>
      <w:r w:rsidR="00E43D53" w:rsidRPr="00F665B1">
        <w:rPr>
          <w:rFonts w:cs="Times New Roman (Corps CS)"/>
          <w:b/>
          <w:bCs/>
          <w:caps/>
          <w:sz w:val="22"/>
          <w:u w:val="single"/>
        </w:rPr>
        <w:t xml:space="preserve">régime </w:t>
      </w:r>
      <w:r w:rsidR="00F665B1" w:rsidRPr="00F665B1">
        <w:rPr>
          <w:rFonts w:cs="Times New Roman (Corps CS)"/>
          <w:b/>
          <w:bCs/>
          <w:caps/>
          <w:sz w:val="22"/>
          <w:u w:val="single"/>
        </w:rPr>
        <w:t xml:space="preserve">spécial </w:t>
      </w:r>
      <w:r w:rsidR="00E43D53" w:rsidRPr="00F665B1">
        <w:rPr>
          <w:rFonts w:cs="Times New Roman (Corps CS)"/>
          <w:b/>
          <w:bCs/>
          <w:caps/>
          <w:sz w:val="22"/>
          <w:u w:val="single"/>
        </w:rPr>
        <w:t>de faveur</w:t>
      </w:r>
      <w:r w:rsidR="00E43D53">
        <w:rPr>
          <w:sz w:val="22"/>
        </w:rPr>
        <w:t xml:space="preserve"> sur l’ensemble des problèmes, </w:t>
      </w:r>
      <w:r w:rsidRPr="008C5D8D">
        <w:rPr>
          <w:sz w:val="22"/>
        </w:rPr>
        <w:t>pour les fusions de sociétés passibles de l'impôt sur les sociétés. Le régime spécial des fusions n'est applicable que si les conditions suivantes sont remplies :</w:t>
      </w:r>
    </w:p>
    <w:p w14:paraId="288AEC17" w14:textId="77777777" w:rsidR="005E297B" w:rsidRDefault="008C5D8D" w:rsidP="005E297B">
      <w:pPr>
        <w:pStyle w:val="Paragraphedeliste"/>
        <w:numPr>
          <w:ilvl w:val="0"/>
          <w:numId w:val="4"/>
        </w:numPr>
        <w:spacing w:after="0"/>
        <w:jc w:val="both"/>
        <w:rPr>
          <w:sz w:val="22"/>
        </w:rPr>
      </w:pPr>
      <w:proofErr w:type="gramStart"/>
      <w:r w:rsidRPr="005E297B">
        <w:rPr>
          <w:sz w:val="22"/>
        </w:rPr>
        <w:t>seules</w:t>
      </w:r>
      <w:proofErr w:type="gramEnd"/>
      <w:r w:rsidRPr="005E297B">
        <w:rPr>
          <w:sz w:val="22"/>
        </w:rPr>
        <w:t xml:space="preserve"> les opérations auxquelles participent exclusivement des personnes morales passibles de l'impôt sur les sociétés p</w:t>
      </w:r>
      <w:r w:rsidR="00E43D53" w:rsidRPr="005E297B">
        <w:rPr>
          <w:sz w:val="22"/>
        </w:rPr>
        <w:t>euvent bénéficier de ce régime,</w:t>
      </w:r>
    </w:p>
    <w:p w14:paraId="609393FE" w14:textId="77777777" w:rsidR="005E297B" w:rsidRDefault="008C5D8D" w:rsidP="005E297B">
      <w:pPr>
        <w:pStyle w:val="Paragraphedeliste"/>
        <w:numPr>
          <w:ilvl w:val="0"/>
          <w:numId w:val="4"/>
        </w:numPr>
        <w:spacing w:after="0"/>
        <w:jc w:val="both"/>
        <w:rPr>
          <w:sz w:val="22"/>
        </w:rPr>
      </w:pPr>
      <w:proofErr w:type="gramStart"/>
      <w:r w:rsidRPr="005E297B">
        <w:rPr>
          <w:sz w:val="22"/>
        </w:rPr>
        <w:lastRenderedPageBreak/>
        <w:t>les</w:t>
      </w:r>
      <w:proofErr w:type="gramEnd"/>
      <w:r w:rsidRPr="005E297B">
        <w:rPr>
          <w:sz w:val="22"/>
        </w:rPr>
        <w:t xml:space="preserve"> apports doivent être rémunérés par des actions ou des parts sociales ;</w:t>
      </w:r>
    </w:p>
    <w:p w14:paraId="19D4FB9F" w14:textId="77777777" w:rsidR="00AE5516" w:rsidRDefault="00AE5516" w:rsidP="00F66488">
      <w:pPr>
        <w:spacing w:after="0"/>
        <w:jc w:val="both"/>
        <w:rPr>
          <w:sz w:val="22"/>
        </w:rPr>
      </w:pPr>
    </w:p>
    <w:p w14:paraId="1AC5D26A" w14:textId="77777777" w:rsidR="008C5D8D" w:rsidRPr="008C5D8D" w:rsidRDefault="008C5D8D" w:rsidP="00F66488">
      <w:pPr>
        <w:spacing w:after="0"/>
        <w:jc w:val="both"/>
        <w:rPr>
          <w:sz w:val="22"/>
        </w:rPr>
      </w:pPr>
      <w:r w:rsidRPr="008C5D8D">
        <w:rPr>
          <w:sz w:val="22"/>
        </w:rPr>
        <w:t xml:space="preserve">Ce régime dont le bénéfice peut être étendu, sous certaines conditions, aux scissions de sociétés et aux apports partiels d'actif, comporte différents avantages tant en matière d'IS et d'impôt sur le </w:t>
      </w:r>
      <w:r w:rsidR="00AE5516">
        <w:rPr>
          <w:sz w:val="22"/>
        </w:rPr>
        <w:t xml:space="preserve">revenu, </w:t>
      </w:r>
      <w:r w:rsidRPr="008C5D8D">
        <w:rPr>
          <w:sz w:val="22"/>
        </w:rPr>
        <w:t>qu'en ce qui concerne les droits d'enregistreme</w:t>
      </w:r>
      <w:r w:rsidR="00AE5516">
        <w:rPr>
          <w:sz w:val="22"/>
        </w:rPr>
        <w:t>nt.</w:t>
      </w:r>
    </w:p>
    <w:p w14:paraId="7852E566" w14:textId="77777777" w:rsidR="008A105F" w:rsidRDefault="008A105F" w:rsidP="00F66488">
      <w:pPr>
        <w:spacing w:after="0"/>
        <w:jc w:val="both"/>
        <w:rPr>
          <w:sz w:val="22"/>
        </w:rPr>
      </w:pPr>
    </w:p>
    <w:p w14:paraId="626CF43D" w14:textId="77777777" w:rsidR="00BC3A9B" w:rsidRDefault="00BC3A9B" w:rsidP="00F66488">
      <w:pPr>
        <w:spacing w:after="0"/>
        <w:jc w:val="both"/>
        <w:rPr>
          <w:sz w:val="22"/>
        </w:rPr>
      </w:pPr>
    </w:p>
    <w:p w14:paraId="08E2BC4D" w14:textId="7B9E6AC6" w:rsidR="008C5D8D" w:rsidRPr="00102A0F" w:rsidRDefault="00EE6DF1" w:rsidP="00EE6DF1">
      <w:pPr>
        <w:pStyle w:val="Titre2"/>
        <w:spacing w:before="0"/>
        <w:jc w:val="both"/>
        <w:rPr>
          <w:color w:val="auto"/>
          <w:sz w:val="28"/>
          <w:u w:val="single"/>
        </w:rPr>
      </w:pPr>
      <w:bookmarkStart w:id="6" w:name="_Toc129743327"/>
      <w:bookmarkStart w:id="7" w:name="_Toc129743398"/>
      <w:r>
        <w:rPr>
          <w:color w:val="auto"/>
          <w:sz w:val="28"/>
          <w:u w:val="single"/>
        </w:rPr>
        <w:t xml:space="preserve">Section </w:t>
      </w:r>
      <w:r w:rsidR="00621A1D" w:rsidRPr="00102A0F">
        <w:rPr>
          <w:color w:val="auto"/>
          <w:sz w:val="28"/>
          <w:u w:val="single"/>
        </w:rPr>
        <w:t>1 IMPÔT SUR LES SOCIÉTÉS</w:t>
      </w:r>
      <w:bookmarkEnd w:id="6"/>
      <w:bookmarkEnd w:id="7"/>
    </w:p>
    <w:p w14:paraId="7D5E9E46" w14:textId="42ED3983" w:rsidR="00BC3A9B" w:rsidRDefault="003D2205" w:rsidP="00F66488">
      <w:pPr>
        <w:spacing w:after="0"/>
        <w:jc w:val="both"/>
        <w:rPr>
          <w:bCs/>
          <w:sz w:val="22"/>
        </w:rPr>
      </w:pPr>
      <w:r w:rsidRPr="003D2205">
        <w:rPr>
          <w:bCs/>
          <w:sz w:val="22"/>
        </w:rPr>
        <w:t>Les apports consentis à une personne morale étrangère par une personne morale française ne peuvent être placés sous le régime spécial des fusions que si notamment la personne morale bénéficiaire exerce en France une activité qui la rend passible de l'impôt français sur les sociétés</w:t>
      </w:r>
      <w:r w:rsidR="00790FCA">
        <w:rPr>
          <w:bCs/>
          <w:sz w:val="22"/>
        </w:rPr>
        <w:t>, via un établissement stable par exemple.</w:t>
      </w:r>
      <w:r w:rsidR="00A33346">
        <w:rPr>
          <w:rStyle w:val="Appelnotedebasdep"/>
          <w:bCs/>
          <w:sz w:val="22"/>
        </w:rPr>
        <w:footnoteReference w:id="4"/>
      </w:r>
    </w:p>
    <w:p w14:paraId="1B3C4F63" w14:textId="77777777" w:rsidR="003D2205" w:rsidRPr="003D2205" w:rsidRDefault="003D2205" w:rsidP="00F66488">
      <w:pPr>
        <w:spacing w:after="0"/>
        <w:jc w:val="both"/>
        <w:rPr>
          <w:bCs/>
          <w:sz w:val="22"/>
        </w:rPr>
      </w:pPr>
    </w:p>
    <w:p w14:paraId="31EAEE7F" w14:textId="77777777" w:rsidR="008C5D8D" w:rsidRPr="00102A0F" w:rsidRDefault="008C5D8D" w:rsidP="00F66488">
      <w:pPr>
        <w:spacing w:after="0"/>
        <w:rPr>
          <w:b/>
        </w:rPr>
      </w:pPr>
      <w:r w:rsidRPr="00102A0F">
        <w:rPr>
          <w:b/>
        </w:rPr>
        <w:t>I. FUSIONS DE SOCIÉTÉS</w:t>
      </w:r>
    </w:p>
    <w:p w14:paraId="1CCC5CC6" w14:textId="77777777" w:rsidR="008C5D8D" w:rsidRPr="00AE5516" w:rsidRDefault="008C5D8D" w:rsidP="00F66488">
      <w:pPr>
        <w:spacing w:after="0"/>
        <w:jc w:val="both"/>
        <w:rPr>
          <w:b/>
          <w:sz w:val="22"/>
        </w:rPr>
      </w:pPr>
      <w:r w:rsidRPr="00AE5516">
        <w:rPr>
          <w:b/>
          <w:sz w:val="22"/>
        </w:rPr>
        <w:t>1. Avantages fiscaux prévus en faveur des fusions.</w:t>
      </w:r>
    </w:p>
    <w:p w14:paraId="670FDB37" w14:textId="77777777" w:rsidR="008C5D8D" w:rsidRPr="008C5D8D" w:rsidRDefault="008C5D8D" w:rsidP="00F66488">
      <w:pPr>
        <w:spacing w:after="0"/>
        <w:jc w:val="both"/>
        <w:rPr>
          <w:sz w:val="22"/>
        </w:rPr>
      </w:pPr>
      <w:r w:rsidRPr="008C5D8D">
        <w:rPr>
          <w:sz w:val="22"/>
        </w:rPr>
        <w:t>a. Les plus-values nettes et les profits dégagés sur l'ensemble des éléments d'actif (actif immobilisé et actif circulant) apportés du fait d'une fusion ne sont pas soumis à l'impôt sur les soc</w:t>
      </w:r>
      <w:r w:rsidR="00BC3A9B">
        <w:rPr>
          <w:sz w:val="22"/>
        </w:rPr>
        <w:t>iétés</w:t>
      </w:r>
      <w:r w:rsidRPr="008C5D8D">
        <w:rPr>
          <w:sz w:val="22"/>
        </w:rPr>
        <w:t>.</w:t>
      </w:r>
    </w:p>
    <w:p w14:paraId="6659AB2A" w14:textId="77777777" w:rsidR="008C5D8D" w:rsidRPr="008C5D8D" w:rsidRDefault="008C5D8D" w:rsidP="00F66488">
      <w:pPr>
        <w:spacing w:after="0"/>
        <w:jc w:val="both"/>
        <w:rPr>
          <w:sz w:val="22"/>
        </w:rPr>
      </w:pPr>
      <w:r w:rsidRPr="008C5D8D">
        <w:rPr>
          <w:sz w:val="22"/>
        </w:rPr>
        <w:t>Il en est de même des provisions de la société absorbée qui ne devien</w:t>
      </w:r>
      <w:r w:rsidR="00BC3A9B">
        <w:rPr>
          <w:sz w:val="22"/>
        </w:rPr>
        <w:t>nent pas sans objet</w:t>
      </w:r>
      <w:r w:rsidRPr="008C5D8D">
        <w:rPr>
          <w:sz w:val="22"/>
        </w:rPr>
        <w:t>.</w:t>
      </w:r>
    </w:p>
    <w:p w14:paraId="19085076" w14:textId="77777777" w:rsidR="00BC3A9B" w:rsidRDefault="00BC3A9B" w:rsidP="00F66488">
      <w:pPr>
        <w:spacing w:after="0"/>
        <w:jc w:val="both"/>
        <w:rPr>
          <w:sz w:val="22"/>
        </w:rPr>
      </w:pPr>
    </w:p>
    <w:p w14:paraId="6F038F6A" w14:textId="11831F50" w:rsidR="008C5D8D" w:rsidRDefault="008C5D8D" w:rsidP="00F66488">
      <w:pPr>
        <w:spacing w:after="0"/>
        <w:jc w:val="both"/>
        <w:rPr>
          <w:sz w:val="22"/>
        </w:rPr>
      </w:pPr>
      <w:r w:rsidRPr="008C5D8D">
        <w:rPr>
          <w:sz w:val="22"/>
        </w:rPr>
        <w:t>b. Quelle que soit la date de la fusion, la plus-value éventuellement dégagée par la société absorbante, lors de l'annulation des actions ou parts de son propre capital qu'elle reçoit en apport ou qui correspondent à ses droits dans la société absorbée, n'est pas non plus soumise à</w:t>
      </w:r>
      <w:r w:rsidR="00BC3A9B">
        <w:rPr>
          <w:sz w:val="22"/>
        </w:rPr>
        <w:t xml:space="preserve"> l'IS</w:t>
      </w:r>
      <w:r w:rsidRPr="008C5D8D">
        <w:rPr>
          <w:sz w:val="22"/>
        </w:rPr>
        <w:t>.</w:t>
      </w:r>
    </w:p>
    <w:p w14:paraId="6E5503B8" w14:textId="77777777" w:rsidR="00A970B5" w:rsidRPr="008C5D8D" w:rsidRDefault="00A970B5" w:rsidP="00F66488">
      <w:pPr>
        <w:spacing w:after="0"/>
        <w:jc w:val="both"/>
        <w:rPr>
          <w:sz w:val="22"/>
        </w:rPr>
      </w:pPr>
    </w:p>
    <w:p w14:paraId="76A1B976" w14:textId="4E7CAADF" w:rsidR="008C5D8D" w:rsidRDefault="008C5D8D" w:rsidP="00F66488">
      <w:pPr>
        <w:spacing w:after="0"/>
        <w:jc w:val="both"/>
        <w:rPr>
          <w:sz w:val="22"/>
        </w:rPr>
      </w:pPr>
      <w:r w:rsidRPr="008C5D8D">
        <w:rPr>
          <w:sz w:val="22"/>
        </w:rPr>
        <w:t>c. L'inscription à l'actif de la société absorbante du mali technique de fusion consécutif à l'annulation des titres de la société absorbée ne peut donner lieu à aucune déduction ulté</w:t>
      </w:r>
      <w:r w:rsidR="00BC3A9B">
        <w:rPr>
          <w:sz w:val="22"/>
        </w:rPr>
        <w:t>rieure</w:t>
      </w:r>
      <w:r w:rsidRPr="008C5D8D">
        <w:rPr>
          <w:sz w:val="22"/>
        </w:rPr>
        <w:t>.</w:t>
      </w:r>
    </w:p>
    <w:p w14:paraId="1FB3FEC3" w14:textId="77777777" w:rsidR="00A970B5" w:rsidRPr="008C5D8D" w:rsidRDefault="00A970B5" w:rsidP="00F66488">
      <w:pPr>
        <w:spacing w:after="0"/>
        <w:jc w:val="both"/>
        <w:rPr>
          <w:sz w:val="22"/>
        </w:rPr>
      </w:pPr>
    </w:p>
    <w:p w14:paraId="3554C9B2" w14:textId="77777777" w:rsidR="008C5D8D" w:rsidRPr="008C5D8D" w:rsidRDefault="008C5D8D" w:rsidP="00F66488">
      <w:pPr>
        <w:spacing w:after="0"/>
        <w:jc w:val="both"/>
        <w:rPr>
          <w:sz w:val="22"/>
        </w:rPr>
      </w:pPr>
      <w:r w:rsidRPr="008C5D8D">
        <w:rPr>
          <w:sz w:val="22"/>
        </w:rPr>
        <w:t>d. Enfin, l'attribution gratuite des titres représentatifs de l'apport aux membres de la société absorbée n'est pas considérée comme une distribution de</w:t>
      </w:r>
      <w:r w:rsidR="00BC3A9B">
        <w:rPr>
          <w:sz w:val="22"/>
        </w:rPr>
        <w:t xml:space="preserve"> revenus mobiliers</w:t>
      </w:r>
      <w:r w:rsidRPr="008C5D8D">
        <w:rPr>
          <w:sz w:val="22"/>
        </w:rPr>
        <w:t>.</w:t>
      </w:r>
    </w:p>
    <w:p w14:paraId="10CA85D0" w14:textId="574138D5" w:rsidR="008C5D8D" w:rsidRDefault="008C5D8D" w:rsidP="00F66488">
      <w:pPr>
        <w:spacing w:after="0"/>
        <w:jc w:val="both"/>
        <w:rPr>
          <w:sz w:val="22"/>
        </w:rPr>
      </w:pPr>
    </w:p>
    <w:tbl>
      <w:tblPr>
        <w:tblStyle w:val="Grilledutableau"/>
        <w:tblW w:w="0" w:type="auto"/>
        <w:tblLook w:val="04A0" w:firstRow="1" w:lastRow="0" w:firstColumn="1" w:lastColumn="0" w:noHBand="0" w:noVBand="1"/>
      </w:tblPr>
      <w:tblGrid>
        <w:gridCol w:w="9054"/>
      </w:tblGrid>
      <w:tr w:rsidR="009B63D7" w14:paraId="59AE17FC" w14:textId="77777777" w:rsidTr="009B63D7">
        <w:tc>
          <w:tcPr>
            <w:tcW w:w="9054" w:type="dxa"/>
          </w:tcPr>
          <w:p w14:paraId="06DAFACA" w14:textId="77777777" w:rsidR="009B63D7" w:rsidRPr="009B63D7" w:rsidRDefault="009B63D7" w:rsidP="009B63D7">
            <w:pPr>
              <w:jc w:val="center"/>
              <w:rPr>
                <w:b/>
                <w:bCs/>
                <w:i/>
                <w:iCs/>
                <w:sz w:val="20"/>
                <w:szCs w:val="20"/>
              </w:rPr>
            </w:pPr>
            <w:r w:rsidRPr="009B63D7">
              <w:rPr>
                <w:b/>
                <w:bCs/>
                <w:i/>
                <w:iCs/>
                <w:sz w:val="20"/>
                <w:szCs w:val="20"/>
              </w:rPr>
              <w:t>I. Le boni de fusion</w:t>
            </w:r>
          </w:p>
          <w:p w14:paraId="19D3BB80" w14:textId="77777777" w:rsidR="009B63D7" w:rsidRPr="009B63D7" w:rsidRDefault="009B63D7" w:rsidP="009B63D7">
            <w:pPr>
              <w:jc w:val="both"/>
              <w:rPr>
                <w:i/>
                <w:iCs/>
                <w:sz w:val="20"/>
                <w:szCs w:val="20"/>
              </w:rPr>
            </w:pPr>
            <w:r w:rsidRPr="009B63D7">
              <w:rPr>
                <w:i/>
                <w:iCs/>
                <w:sz w:val="20"/>
                <w:szCs w:val="20"/>
              </w:rPr>
              <w:t>Le boni de fusion représente l’écart positif entre l’actif net positif reçu par l'entité absorbante, après harmonisation des méthodes comptables telle que défini à l'article 744-3 du plan comptable général (PCG), à hauteur de sa participation détenue dans l'entité absorbée, et la valeur comptable de cette participation.</w:t>
            </w:r>
          </w:p>
          <w:p w14:paraId="6ACCE61A" w14:textId="77777777" w:rsidR="009B63D7" w:rsidRPr="009B63D7" w:rsidRDefault="009B63D7" w:rsidP="009B63D7">
            <w:pPr>
              <w:jc w:val="both"/>
              <w:rPr>
                <w:i/>
                <w:iCs/>
                <w:sz w:val="20"/>
                <w:szCs w:val="20"/>
              </w:rPr>
            </w:pPr>
            <w:r w:rsidRPr="009B63D7">
              <w:rPr>
                <w:i/>
                <w:iCs/>
                <w:sz w:val="20"/>
                <w:szCs w:val="20"/>
              </w:rPr>
              <w:t>Le boni est comptabilisé dans le résultat financier à hauteur de la quote-part des résultats accumulés par l'entité absorbée depuis l’acquisition et non distribués et, dans les capitaux propres pour le montant résiduel ou si les résultats accumulés ne peuvent être déterminés de manière fiable.</w:t>
            </w:r>
          </w:p>
          <w:p w14:paraId="51A47406" w14:textId="77777777" w:rsidR="009B63D7" w:rsidRPr="009B63D7" w:rsidRDefault="009B63D7" w:rsidP="009B63D7">
            <w:pPr>
              <w:jc w:val="both"/>
              <w:rPr>
                <w:i/>
                <w:iCs/>
                <w:sz w:val="20"/>
                <w:szCs w:val="20"/>
              </w:rPr>
            </w:pPr>
          </w:p>
          <w:p w14:paraId="2D03D855" w14:textId="77777777" w:rsidR="009B63D7" w:rsidRPr="009B63D7" w:rsidRDefault="009B63D7" w:rsidP="009B63D7">
            <w:pPr>
              <w:jc w:val="center"/>
              <w:rPr>
                <w:b/>
                <w:bCs/>
                <w:i/>
                <w:iCs/>
                <w:sz w:val="20"/>
                <w:szCs w:val="20"/>
              </w:rPr>
            </w:pPr>
            <w:r w:rsidRPr="009B63D7">
              <w:rPr>
                <w:b/>
                <w:bCs/>
                <w:i/>
                <w:iCs/>
                <w:sz w:val="20"/>
                <w:szCs w:val="20"/>
              </w:rPr>
              <w:t>II. Le mali de fusion</w:t>
            </w:r>
          </w:p>
          <w:p w14:paraId="7B6B2D19" w14:textId="5C73166F" w:rsidR="009B63D7" w:rsidRDefault="009B63D7" w:rsidP="009B63D7">
            <w:pPr>
              <w:jc w:val="both"/>
              <w:rPr>
                <w:sz w:val="22"/>
              </w:rPr>
            </w:pPr>
            <w:proofErr w:type="gramStart"/>
            <w:r w:rsidRPr="009B63D7">
              <w:rPr>
                <w:i/>
                <w:iCs/>
                <w:sz w:val="20"/>
                <w:szCs w:val="20"/>
              </w:rPr>
              <w:t>Le</w:t>
            </w:r>
            <w:r w:rsidR="00A06B56">
              <w:rPr>
                <w:i/>
                <w:iCs/>
                <w:sz w:val="20"/>
                <w:szCs w:val="20"/>
              </w:rPr>
              <w:t xml:space="preserve"> </w:t>
            </w:r>
            <w:r w:rsidRPr="009B63D7">
              <w:rPr>
                <w:i/>
                <w:iCs/>
                <w:sz w:val="20"/>
                <w:szCs w:val="20"/>
              </w:rPr>
              <w:t>mali</w:t>
            </w:r>
            <w:proofErr w:type="gramEnd"/>
            <w:r w:rsidR="00A06B56">
              <w:rPr>
                <w:i/>
                <w:iCs/>
                <w:sz w:val="20"/>
                <w:szCs w:val="20"/>
              </w:rPr>
              <w:t xml:space="preserve"> </w:t>
            </w:r>
            <w:r w:rsidRPr="009B63D7">
              <w:rPr>
                <w:i/>
                <w:iCs/>
                <w:sz w:val="20"/>
                <w:szCs w:val="20"/>
              </w:rPr>
              <w:t>de fusion représente l’écart négatif entre l’actif net, positif ou négatif, reçu par l'entité absorbante, après harmonisation des méthodes comptables telle que défini à l'article 744-3 du PCG, à hauteur de sa participation détenue dans l'entité absorbée, et la valeur comptable de cette participation</w:t>
            </w:r>
          </w:p>
        </w:tc>
      </w:tr>
    </w:tbl>
    <w:p w14:paraId="7C2E33D8" w14:textId="5E83A427" w:rsidR="00A970B5" w:rsidRDefault="009B63D7" w:rsidP="009B63D7">
      <w:pPr>
        <w:spacing w:after="0"/>
        <w:jc w:val="both"/>
        <w:rPr>
          <w:sz w:val="22"/>
        </w:rPr>
      </w:pPr>
      <w:r w:rsidRPr="009B63D7">
        <w:rPr>
          <w:sz w:val="22"/>
        </w:rPr>
        <w:t>.</w:t>
      </w:r>
    </w:p>
    <w:p w14:paraId="253AC616" w14:textId="77777777" w:rsidR="009B63D7" w:rsidRPr="008C5D8D" w:rsidRDefault="009B63D7" w:rsidP="009B63D7">
      <w:pPr>
        <w:spacing w:after="0"/>
        <w:jc w:val="both"/>
        <w:rPr>
          <w:sz w:val="22"/>
        </w:rPr>
      </w:pPr>
    </w:p>
    <w:p w14:paraId="447C2F5D" w14:textId="77777777" w:rsidR="00BC3A9B" w:rsidRPr="00BC3A9B" w:rsidRDefault="008C5D8D" w:rsidP="00F66488">
      <w:pPr>
        <w:spacing w:after="0"/>
        <w:jc w:val="both"/>
        <w:rPr>
          <w:b/>
          <w:sz w:val="22"/>
        </w:rPr>
      </w:pPr>
      <w:r w:rsidRPr="00BC3A9B">
        <w:rPr>
          <w:b/>
          <w:sz w:val="22"/>
        </w:rPr>
        <w:t>2. Obliga</w:t>
      </w:r>
      <w:r w:rsidR="00494859">
        <w:rPr>
          <w:b/>
          <w:sz w:val="22"/>
        </w:rPr>
        <w:t>tions de la société bénéficiaire des apports</w:t>
      </w:r>
    </w:p>
    <w:p w14:paraId="6B31E277" w14:textId="77777777" w:rsidR="008C5D8D" w:rsidRPr="008C5D8D" w:rsidRDefault="008C5D8D" w:rsidP="002061AB">
      <w:pPr>
        <w:spacing w:after="0"/>
        <w:jc w:val="both"/>
        <w:rPr>
          <w:sz w:val="22"/>
        </w:rPr>
      </w:pPr>
      <w:r w:rsidRPr="008C5D8D">
        <w:rPr>
          <w:sz w:val="22"/>
        </w:rPr>
        <w:t>L'application de ce régime spécial est subordonnée à la condition que la société absorbante s'engage, dans l'acte de fusion, à respecter tous les engagements énumérés à l'article 210 A-3 du CGI :</w:t>
      </w:r>
    </w:p>
    <w:p w14:paraId="0BF5669B" w14:textId="279DBEAA" w:rsidR="008A105F" w:rsidRDefault="008C5D8D" w:rsidP="00F66488">
      <w:pPr>
        <w:pStyle w:val="Paragraphedeliste"/>
        <w:numPr>
          <w:ilvl w:val="0"/>
          <w:numId w:val="4"/>
        </w:numPr>
        <w:spacing w:after="0"/>
        <w:jc w:val="both"/>
        <w:rPr>
          <w:sz w:val="22"/>
        </w:rPr>
      </w:pPr>
      <w:r w:rsidRPr="008A105F">
        <w:rPr>
          <w:sz w:val="22"/>
        </w:rPr>
        <w:t>La société absorbante doit reprendre au passif de son bilan les provisions</w:t>
      </w:r>
      <w:r w:rsidR="003437AA">
        <w:rPr>
          <w:sz w:val="22"/>
        </w:rPr>
        <w:t xml:space="preserve"> </w:t>
      </w:r>
      <w:r w:rsidRPr="008A105F">
        <w:rPr>
          <w:sz w:val="22"/>
        </w:rPr>
        <w:t>figurant au passif de la société absorbée</w:t>
      </w:r>
      <w:r w:rsidR="003437AA">
        <w:rPr>
          <w:sz w:val="22"/>
        </w:rPr>
        <w:t>.</w:t>
      </w:r>
    </w:p>
    <w:p w14:paraId="59567BE0" w14:textId="77777777" w:rsidR="008A105F" w:rsidRDefault="008C5D8D" w:rsidP="00F66488">
      <w:pPr>
        <w:pStyle w:val="Paragraphedeliste"/>
        <w:numPr>
          <w:ilvl w:val="0"/>
          <w:numId w:val="4"/>
        </w:numPr>
        <w:spacing w:after="0"/>
        <w:jc w:val="both"/>
        <w:rPr>
          <w:sz w:val="22"/>
        </w:rPr>
      </w:pPr>
      <w:r w:rsidRPr="008A105F">
        <w:rPr>
          <w:sz w:val="22"/>
        </w:rPr>
        <w:lastRenderedPageBreak/>
        <w:t>La société absorbante doit se substituer à la société absorbée pour la réintégration des résultats dont la prise en compte avait été différée pour l'imposition de cette dernière.</w:t>
      </w:r>
    </w:p>
    <w:p w14:paraId="1439FD68" w14:textId="77777777" w:rsidR="008A105F" w:rsidRDefault="008C5D8D" w:rsidP="00F66488">
      <w:pPr>
        <w:pStyle w:val="Paragraphedeliste"/>
        <w:numPr>
          <w:ilvl w:val="0"/>
          <w:numId w:val="4"/>
        </w:numPr>
        <w:spacing w:after="0"/>
        <w:jc w:val="both"/>
        <w:rPr>
          <w:sz w:val="22"/>
        </w:rPr>
      </w:pPr>
      <w:r w:rsidRPr="008A105F">
        <w:rPr>
          <w:sz w:val="22"/>
        </w:rPr>
        <w:t>La société absorbante doit calculer les plus-values réalisées ultérieurement sur la cession d'éléments d'actif non amortissables d'après la valeur que ces éléments avaient, du point de vue fiscal, dans les éc</w:t>
      </w:r>
      <w:r w:rsidR="00BC3A9B" w:rsidRPr="008A105F">
        <w:rPr>
          <w:sz w:val="22"/>
        </w:rPr>
        <w:t>ritures de la société absorbée.</w:t>
      </w:r>
    </w:p>
    <w:p w14:paraId="1CD24BFA" w14:textId="7D648472" w:rsidR="008C5D8D" w:rsidRPr="008A105F" w:rsidRDefault="008C5D8D" w:rsidP="00F66488">
      <w:pPr>
        <w:pStyle w:val="Paragraphedeliste"/>
        <w:numPr>
          <w:ilvl w:val="0"/>
          <w:numId w:val="4"/>
        </w:numPr>
        <w:spacing w:after="0"/>
        <w:jc w:val="both"/>
        <w:rPr>
          <w:sz w:val="22"/>
        </w:rPr>
      </w:pPr>
      <w:r w:rsidRPr="008A105F">
        <w:rPr>
          <w:sz w:val="22"/>
        </w:rPr>
        <w:t>La société absorbante doit réintégrer dans les bénéfices imposables au taux de droit commun les plus-values nettes dégagées lors de l'apport des biens amortissables.</w:t>
      </w:r>
    </w:p>
    <w:p w14:paraId="4AB981B9" w14:textId="77777777" w:rsidR="00494859" w:rsidRDefault="00494859" w:rsidP="00F66488">
      <w:pPr>
        <w:spacing w:after="0"/>
        <w:jc w:val="both"/>
        <w:rPr>
          <w:sz w:val="22"/>
        </w:rPr>
      </w:pPr>
    </w:p>
    <w:p w14:paraId="49B2701F" w14:textId="77777777" w:rsidR="00BC3A9B" w:rsidRDefault="008C5D8D" w:rsidP="00F66488">
      <w:pPr>
        <w:spacing w:after="0"/>
        <w:jc w:val="both"/>
        <w:rPr>
          <w:sz w:val="22"/>
        </w:rPr>
      </w:pPr>
      <w:r w:rsidRPr="008C5D8D">
        <w:rPr>
          <w:sz w:val="22"/>
        </w:rPr>
        <w:t>La réintégration des plus-values est effectuée par parts égales sur une période de</w:t>
      </w:r>
      <w:r w:rsidR="00BC3A9B">
        <w:rPr>
          <w:sz w:val="22"/>
        </w:rPr>
        <w:t> :</w:t>
      </w:r>
    </w:p>
    <w:p w14:paraId="3270B3CC" w14:textId="77777777" w:rsidR="008A105F" w:rsidRDefault="008C5D8D" w:rsidP="008A105F">
      <w:pPr>
        <w:pStyle w:val="Paragraphedeliste"/>
        <w:numPr>
          <w:ilvl w:val="0"/>
          <w:numId w:val="4"/>
        </w:numPr>
        <w:spacing w:after="0"/>
        <w:jc w:val="both"/>
        <w:rPr>
          <w:sz w:val="22"/>
        </w:rPr>
      </w:pPr>
      <w:proofErr w:type="gramStart"/>
      <w:r w:rsidRPr="008A105F">
        <w:rPr>
          <w:sz w:val="22"/>
        </w:rPr>
        <w:t>quinze</w:t>
      </w:r>
      <w:proofErr w:type="gramEnd"/>
      <w:r w:rsidRPr="008A105F">
        <w:rPr>
          <w:sz w:val="22"/>
        </w:rPr>
        <w:t xml:space="preserve"> ans pour les constructions et les droits qui se rapportent à des constructions ainsi que pour les plantations et les agencements et aménagements des terrains amortissables sur une période</w:t>
      </w:r>
      <w:r w:rsidR="00BC3A9B" w:rsidRPr="008A105F">
        <w:rPr>
          <w:sz w:val="22"/>
        </w:rPr>
        <w:t xml:space="preserve"> au moins égale à cette durée ;</w:t>
      </w:r>
    </w:p>
    <w:p w14:paraId="32E1CC30" w14:textId="5425350A" w:rsidR="008C5D8D" w:rsidRPr="008A105F" w:rsidRDefault="008C5D8D" w:rsidP="008A105F">
      <w:pPr>
        <w:pStyle w:val="Paragraphedeliste"/>
        <w:numPr>
          <w:ilvl w:val="0"/>
          <w:numId w:val="4"/>
        </w:numPr>
        <w:spacing w:after="0"/>
        <w:jc w:val="both"/>
        <w:rPr>
          <w:sz w:val="22"/>
        </w:rPr>
      </w:pPr>
      <w:proofErr w:type="gramStart"/>
      <w:r w:rsidRPr="008A105F">
        <w:rPr>
          <w:sz w:val="22"/>
        </w:rPr>
        <w:t>dans</w:t>
      </w:r>
      <w:proofErr w:type="gramEnd"/>
      <w:r w:rsidRPr="008A105F">
        <w:rPr>
          <w:sz w:val="22"/>
        </w:rPr>
        <w:t xml:space="preserve"> les autres cas, la réintégration s'effectue par parts égal</w:t>
      </w:r>
      <w:r w:rsidR="00BC3A9B" w:rsidRPr="008A105F">
        <w:rPr>
          <w:sz w:val="22"/>
        </w:rPr>
        <w:t>es sur une période de cinq ans.</w:t>
      </w:r>
    </w:p>
    <w:p w14:paraId="1B631C0A" w14:textId="77777777" w:rsidR="00BC3A9B" w:rsidRDefault="00BC3A9B" w:rsidP="00F66488">
      <w:pPr>
        <w:spacing w:after="0"/>
        <w:jc w:val="both"/>
        <w:rPr>
          <w:sz w:val="22"/>
        </w:rPr>
      </w:pPr>
    </w:p>
    <w:p w14:paraId="443773DD" w14:textId="77777777" w:rsidR="00BC3A9B" w:rsidRDefault="008C5D8D" w:rsidP="00F66488">
      <w:pPr>
        <w:spacing w:after="0"/>
        <w:jc w:val="both"/>
        <w:rPr>
          <w:sz w:val="22"/>
        </w:rPr>
      </w:pPr>
      <w:r w:rsidRPr="008C5D8D">
        <w:rPr>
          <w:sz w:val="22"/>
        </w:rPr>
        <w:t>Lorsque le total des plus-values nettes sur les constructions, les plantations et les agencements et aménagements des terrains excède 90 % de la plus-value nette globale sur éléments amortissables, la réintégration des plus-value</w:t>
      </w:r>
      <w:r w:rsidR="00494859">
        <w:rPr>
          <w:sz w:val="22"/>
        </w:rPr>
        <w:t>s afférentes</w:t>
      </w:r>
      <w:r w:rsidRPr="008C5D8D">
        <w:rPr>
          <w:sz w:val="22"/>
        </w:rPr>
        <w:t xml:space="preserve"> est effectuée par parts égales sur une période égale à la durée moyenne d'amortissement de ces biens pondérée en fonction de leur valeur d'apport. </w:t>
      </w:r>
    </w:p>
    <w:p w14:paraId="1E64C306" w14:textId="77777777" w:rsidR="00BC3A9B" w:rsidRDefault="00BC3A9B" w:rsidP="00F66488">
      <w:pPr>
        <w:spacing w:after="0"/>
        <w:jc w:val="both"/>
        <w:rPr>
          <w:sz w:val="22"/>
        </w:rPr>
      </w:pPr>
    </w:p>
    <w:p w14:paraId="1A9A7993" w14:textId="77777777" w:rsidR="008C5D8D" w:rsidRPr="008C5D8D" w:rsidRDefault="008C5D8D" w:rsidP="00F66488">
      <w:pPr>
        <w:spacing w:after="0"/>
        <w:jc w:val="both"/>
        <w:rPr>
          <w:sz w:val="22"/>
        </w:rPr>
      </w:pPr>
      <w:r w:rsidRPr="008C5D8D">
        <w:rPr>
          <w:sz w:val="22"/>
        </w:rPr>
        <w:t>Toutefois, la cession d'un bien amortissable entraîne l'imposition immédiate de la fraction de la plus-value afférente à ce bien qui n'a pas encore été réintégrée.</w:t>
      </w:r>
    </w:p>
    <w:p w14:paraId="3336BF50" w14:textId="77777777" w:rsidR="008C5D8D" w:rsidRPr="008C5D8D" w:rsidRDefault="008C5D8D" w:rsidP="00F66488">
      <w:pPr>
        <w:spacing w:after="0"/>
        <w:jc w:val="both"/>
        <w:rPr>
          <w:sz w:val="22"/>
        </w:rPr>
      </w:pPr>
      <w:r w:rsidRPr="008C5D8D">
        <w:rPr>
          <w:sz w:val="22"/>
        </w:rPr>
        <w:t>En contrepartie de la réintégration des plus-values dégagées sur les biens amortissables apportés, la société absorbante peut calculer les plus-values et les amortisse</w:t>
      </w:r>
      <w:r w:rsidR="00494859">
        <w:rPr>
          <w:sz w:val="22"/>
        </w:rPr>
        <w:t xml:space="preserve">ments ultérieurs </w:t>
      </w:r>
      <w:r w:rsidRPr="008C5D8D">
        <w:rPr>
          <w:sz w:val="22"/>
        </w:rPr>
        <w:t>afférents à ces éléments, d'après la valeur qui leur a été attribuée lors de l'apport.</w:t>
      </w:r>
    </w:p>
    <w:p w14:paraId="565641C5" w14:textId="77777777" w:rsidR="000E5E13" w:rsidRDefault="000E5E13" w:rsidP="00F66488">
      <w:pPr>
        <w:spacing w:after="0"/>
        <w:jc w:val="both"/>
        <w:rPr>
          <w:sz w:val="22"/>
        </w:rPr>
      </w:pPr>
    </w:p>
    <w:p w14:paraId="4625F703" w14:textId="77777777" w:rsidR="008C5D8D" w:rsidRPr="008C5D8D" w:rsidRDefault="008C5D8D" w:rsidP="00F66488">
      <w:pPr>
        <w:spacing w:after="0"/>
        <w:jc w:val="both"/>
        <w:rPr>
          <w:sz w:val="22"/>
        </w:rPr>
      </w:pPr>
      <w:r w:rsidRPr="008C5D8D">
        <w:rPr>
          <w:sz w:val="22"/>
        </w:rPr>
        <w:t>Lorsque l'apport des éléments amortissables fait apparaître une moins-value nette, celle-ci peut être imputée par la société apporteuse sur ses résultats imposables ou transférée à la société absorbante qui l'impute</w:t>
      </w:r>
      <w:r w:rsidR="00494859">
        <w:rPr>
          <w:sz w:val="22"/>
        </w:rPr>
        <w:t>ra sur ses propres résultats</w:t>
      </w:r>
      <w:r w:rsidRPr="008C5D8D">
        <w:rPr>
          <w:sz w:val="22"/>
        </w:rPr>
        <w:t>.</w:t>
      </w:r>
    </w:p>
    <w:p w14:paraId="3981FCC4" w14:textId="77777777" w:rsidR="000E5E13" w:rsidRDefault="000E5E13" w:rsidP="00F66488">
      <w:pPr>
        <w:spacing w:after="0"/>
        <w:jc w:val="both"/>
        <w:rPr>
          <w:sz w:val="22"/>
        </w:rPr>
      </w:pPr>
    </w:p>
    <w:p w14:paraId="4ACABA67" w14:textId="5876DB60" w:rsidR="008C5D8D" w:rsidRPr="008C5D8D" w:rsidRDefault="008C5D8D" w:rsidP="00F66488">
      <w:pPr>
        <w:spacing w:after="0"/>
        <w:jc w:val="both"/>
        <w:rPr>
          <w:sz w:val="22"/>
        </w:rPr>
      </w:pPr>
      <w:r w:rsidRPr="008C5D8D">
        <w:rPr>
          <w:sz w:val="22"/>
        </w:rPr>
        <w:t>Enfin, la société absorbante doit inscrire à son bilan les éléments autres que les immobilisations pour la valeur qu'ils avaient, du point de vue fiscal, dans les écritures de la société absorbée. À défaut, elle doit comprendre dans ses résultats de l'exercice au cours duquel intervient l'opération, le profit correspondant à la différence entre la nouvelle valeur de ces éléments et la valeur qu'ils avaient, du point de vue fiscal, dans les écritures de la société absorbée.</w:t>
      </w:r>
    </w:p>
    <w:p w14:paraId="5E5DDB08" w14:textId="77777777" w:rsidR="008C5D8D" w:rsidRDefault="008C5D8D" w:rsidP="00F66488">
      <w:pPr>
        <w:spacing w:after="0"/>
        <w:jc w:val="both"/>
        <w:rPr>
          <w:sz w:val="22"/>
        </w:rPr>
      </w:pPr>
    </w:p>
    <w:p w14:paraId="51A8A509" w14:textId="77777777" w:rsidR="008C5D8D" w:rsidRDefault="008C5D8D" w:rsidP="00F66488">
      <w:pPr>
        <w:spacing w:after="0"/>
        <w:jc w:val="both"/>
        <w:rPr>
          <w:sz w:val="22"/>
        </w:rPr>
      </w:pPr>
    </w:p>
    <w:p w14:paraId="4DD03006" w14:textId="77777777" w:rsidR="008C5D8D" w:rsidRPr="000E5E13" w:rsidRDefault="000E5E13" w:rsidP="00F66488">
      <w:pPr>
        <w:spacing w:after="0"/>
        <w:jc w:val="both"/>
        <w:rPr>
          <w:b/>
          <w:sz w:val="22"/>
        </w:rPr>
      </w:pPr>
      <w:r w:rsidRPr="000E5E13">
        <w:rPr>
          <w:b/>
          <w:sz w:val="22"/>
        </w:rPr>
        <w:t>3. Report des déficits</w:t>
      </w:r>
      <w:r w:rsidR="00EA4FA0">
        <w:rPr>
          <w:b/>
          <w:sz w:val="22"/>
        </w:rPr>
        <w:t xml:space="preserve"> non encore déduits par la société absorbée</w:t>
      </w:r>
    </w:p>
    <w:p w14:paraId="5E786E7C" w14:textId="77777777" w:rsidR="00216F1E" w:rsidRDefault="008C5D8D" w:rsidP="00F66488">
      <w:pPr>
        <w:spacing w:after="0"/>
        <w:jc w:val="both"/>
        <w:rPr>
          <w:sz w:val="22"/>
        </w:rPr>
      </w:pPr>
      <w:r w:rsidRPr="008C5D8D">
        <w:rPr>
          <w:sz w:val="22"/>
        </w:rPr>
        <w:t xml:space="preserve">Ces déficits ne sont pas, en principe, déductibles des résultats de la société absorbante. </w:t>
      </w:r>
    </w:p>
    <w:p w14:paraId="4BDF7A07" w14:textId="42C777EF" w:rsidR="00216F1E" w:rsidRDefault="00216F1E" w:rsidP="00F66488">
      <w:pPr>
        <w:spacing w:after="0"/>
        <w:jc w:val="both"/>
        <w:rPr>
          <w:sz w:val="22"/>
        </w:rPr>
      </w:pPr>
      <w:r w:rsidRPr="00216F1E">
        <w:rPr>
          <w:sz w:val="22"/>
        </w:rPr>
        <w:t xml:space="preserve">Le transfert des déficits fiscaux en cas d’opération de fusion (ou assimilée) placée sous le régime de faveur nécessite en principe l’obtention d’un </w:t>
      </w:r>
      <w:r w:rsidRPr="00A06B56">
        <w:rPr>
          <w:b/>
          <w:bCs/>
          <w:sz w:val="22"/>
        </w:rPr>
        <w:t>agrément fiscal</w:t>
      </w:r>
      <w:r w:rsidRPr="00216F1E">
        <w:rPr>
          <w:sz w:val="22"/>
        </w:rPr>
        <w:t>. La loi de finances pour 2020 dispense d’agrément le transfert des déficits n’excédant pas 200 000 €, sous certaines conditions</w:t>
      </w:r>
      <w:r w:rsidR="001E407F">
        <w:rPr>
          <w:sz w:val="22"/>
        </w:rPr>
        <w:t> :</w:t>
      </w:r>
    </w:p>
    <w:p w14:paraId="676D0E59" w14:textId="77777777" w:rsidR="001E407F" w:rsidRDefault="001E407F" w:rsidP="001E407F">
      <w:pPr>
        <w:pStyle w:val="Paragraphedeliste"/>
        <w:numPr>
          <w:ilvl w:val="0"/>
          <w:numId w:val="4"/>
        </w:numPr>
        <w:spacing w:after="0"/>
        <w:jc w:val="both"/>
        <w:rPr>
          <w:sz w:val="22"/>
        </w:rPr>
      </w:pPr>
      <w:proofErr w:type="gramStart"/>
      <w:r w:rsidRPr="001E407F">
        <w:rPr>
          <w:sz w:val="22"/>
        </w:rPr>
        <w:t>le</w:t>
      </w:r>
      <w:proofErr w:type="gramEnd"/>
      <w:r w:rsidRPr="001E407F">
        <w:rPr>
          <w:sz w:val="22"/>
        </w:rPr>
        <w:t xml:space="preserve"> montant cumulé des déficits antérieurs, des charges financières nettes non déduites et de la capacité de déduction inemployée, transférés est inférieure à 200 000 €,</w:t>
      </w:r>
    </w:p>
    <w:p w14:paraId="6E7F7B8D" w14:textId="77777777" w:rsidR="001E407F" w:rsidRDefault="001E407F" w:rsidP="001E407F">
      <w:pPr>
        <w:pStyle w:val="Paragraphedeliste"/>
        <w:numPr>
          <w:ilvl w:val="0"/>
          <w:numId w:val="4"/>
        </w:numPr>
        <w:spacing w:after="0"/>
        <w:jc w:val="both"/>
        <w:rPr>
          <w:sz w:val="22"/>
        </w:rPr>
      </w:pPr>
      <w:proofErr w:type="gramStart"/>
      <w:r w:rsidRPr="001E407F">
        <w:rPr>
          <w:sz w:val="22"/>
        </w:rPr>
        <w:t>les</w:t>
      </w:r>
      <w:proofErr w:type="gramEnd"/>
      <w:r w:rsidRPr="001E407F">
        <w:rPr>
          <w:sz w:val="22"/>
        </w:rPr>
        <w:t xml:space="preserve"> déficits et intérêts susceptibles d’être transférés ne proviennent ni de la gestion d’un patrimoine mobilier par des sociétés holding, ni de la gestion d’un patrimoine immobilier,</w:t>
      </w:r>
    </w:p>
    <w:p w14:paraId="7950DFAA" w14:textId="1C2264BE" w:rsidR="001E407F" w:rsidRPr="001E407F" w:rsidRDefault="001E407F" w:rsidP="001E407F">
      <w:pPr>
        <w:pStyle w:val="Paragraphedeliste"/>
        <w:numPr>
          <w:ilvl w:val="0"/>
          <w:numId w:val="4"/>
        </w:numPr>
        <w:spacing w:after="0"/>
        <w:jc w:val="both"/>
        <w:rPr>
          <w:sz w:val="22"/>
        </w:rPr>
      </w:pPr>
      <w:proofErr w:type="gramStart"/>
      <w:r w:rsidRPr="001E407F">
        <w:rPr>
          <w:sz w:val="22"/>
        </w:rPr>
        <w:t>la</w:t>
      </w:r>
      <w:proofErr w:type="gramEnd"/>
      <w:r w:rsidRPr="001E407F">
        <w:rPr>
          <w:sz w:val="22"/>
        </w:rPr>
        <w:t xml:space="preserve"> société absorbée n’a pas cédé ou cessé l’exploitation d’un fonds de commerce ou d’un établissement.</w:t>
      </w:r>
    </w:p>
    <w:p w14:paraId="66ECA789" w14:textId="77777777" w:rsidR="00C93AE1" w:rsidRDefault="00C93AE1" w:rsidP="00F66488">
      <w:pPr>
        <w:spacing w:after="0"/>
        <w:jc w:val="both"/>
        <w:rPr>
          <w:b/>
          <w:sz w:val="22"/>
        </w:rPr>
      </w:pPr>
    </w:p>
    <w:p w14:paraId="1FE42E7A" w14:textId="77777777" w:rsidR="00C93AE1" w:rsidRDefault="00C93AE1" w:rsidP="00F66488">
      <w:pPr>
        <w:spacing w:after="0"/>
        <w:jc w:val="both"/>
        <w:rPr>
          <w:b/>
          <w:sz w:val="22"/>
        </w:rPr>
      </w:pPr>
    </w:p>
    <w:p w14:paraId="0FD7D3E4" w14:textId="77777777" w:rsidR="00C93AE1" w:rsidRDefault="00C93AE1" w:rsidP="00F66488">
      <w:pPr>
        <w:spacing w:after="0"/>
        <w:jc w:val="both"/>
        <w:rPr>
          <w:b/>
          <w:sz w:val="22"/>
        </w:rPr>
      </w:pPr>
    </w:p>
    <w:p w14:paraId="65E895F0" w14:textId="77777777" w:rsidR="008C5D8D" w:rsidRPr="00102A0F" w:rsidRDefault="008C5D8D" w:rsidP="00F66488">
      <w:pPr>
        <w:spacing w:after="0"/>
        <w:rPr>
          <w:b/>
        </w:rPr>
      </w:pPr>
      <w:r w:rsidRPr="00102A0F">
        <w:rPr>
          <w:b/>
        </w:rPr>
        <w:lastRenderedPageBreak/>
        <w:t>II. SCISSIONS ET APPORTS PARTIELS D'ACTIF</w:t>
      </w:r>
    </w:p>
    <w:p w14:paraId="26CCF64D" w14:textId="77777777" w:rsidR="00C376A4" w:rsidRDefault="008C5D8D" w:rsidP="00F66488">
      <w:pPr>
        <w:spacing w:after="0"/>
        <w:jc w:val="both"/>
        <w:rPr>
          <w:sz w:val="22"/>
        </w:rPr>
      </w:pPr>
      <w:r w:rsidRPr="008C5D8D">
        <w:rPr>
          <w:sz w:val="22"/>
        </w:rPr>
        <w:t>Le régime fiscal de faveur des fusions s'applique aux scissions et aux apports partiels d'actif de plein droit ou sur agrément du ministre de l'Économie et des</w:t>
      </w:r>
      <w:r w:rsidR="00FD5BEF">
        <w:rPr>
          <w:sz w:val="22"/>
        </w:rPr>
        <w:t xml:space="preserve"> Finances</w:t>
      </w:r>
      <w:r w:rsidRPr="008C5D8D">
        <w:rPr>
          <w:sz w:val="22"/>
        </w:rPr>
        <w:t>.</w:t>
      </w:r>
    </w:p>
    <w:p w14:paraId="2011A0D8" w14:textId="77777777" w:rsidR="008C5D8D" w:rsidRPr="008C5D8D" w:rsidRDefault="008C5D8D" w:rsidP="00F66488">
      <w:pPr>
        <w:spacing w:after="0"/>
        <w:jc w:val="both"/>
        <w:rPr>
          <w:sz w:val="22"/>
        </w:rPr>
      </w:pPr>
    </w:p>
    <w:p w14:paraId="5F545323" w14:textId="77777777" w:rsidR="008C5D8D" w:rsidRPr="00C376A4" w:rsidRDefault="008C5D8D" w:rsidP="00F66488">
      <w:pPr>
        <w:spacing w:after="0"/>
        <w:jc w:val="both"/>
        <w:rPr>
          <w:b/>
          <w:sz w:val="22"/>
        </w:rPr>
      </w:pPr>
      <w:r w:rsidRPr="00C376A4">
        <w:rPr>
          <w:b/>
          <w:sz w:val="22"/>
        </w:rPr>
        <w:t>1. Régime fiscal de faveur de plein droit.</w:t>
      </w:r>
    </w:p>
    <w:p w14:paraId="4106494B" w14:textId="188294E9" w:rsidR="008C5D8D" w:rsidRPr="008C5D8D" w:rsidRDefault="008C5D8D" w:rsidP="00F66488">
      <w:pPr>
        <w:spacing w:after="0"/>
        <w:jc w:val="both"/>
        <w:rPr>
          <w:sz w:val="22"/>
        </w:rPr>
      </w:pPr>
      <w:r w:rsidRPr="008C5D8D">
        <w:rPr>
          <w:sz w:val="22"/>
        </w:rPr>
        <w:t xml:space="preserve">Le régime spécial </w:t>
      </w:r>
      <w:r w:rsidR="0069504B">
        <w:rPr>
          <w:sz w:val="22"/>
        </w:rPr>
        <w:t xml:space="preserve">(de faveur) </w:t>
      </w:r>
      <w:r w:rsidRPr="008C5D8D">
        <w:rPr>
          <w:sz w:val="22"/>
        </w:rPr>
        <w:t>des fusions s'applique à l'apport partiel d'actif d'une branche complète d'activité ou d'éléments assimilés lorsque la société apporteuse prend l'engagement dans l'acte d'apport :</w:t>
      </w:r>
    </w:p>
    <w:p w14:paraId="1A3D8ED9" w14:textId="77777777" w:rsidR="002061AB" w:rsidRDefault="008C5D8D" w:rsidP="002061AB">
      <w:pPr>
        <w:pStyle w:val="Paragraphedeliste"/>
        <w:numPr>
          <w:ilvl w:val="0"/>
          <w:numId w:val="1"/>
        </w:numPr>
        <w:spacing w:after="0"/>
        <w:jc w:val="both"/>
        <w:rPr>
          <w:sz w:val="22"/>
        </w:rPr>
      </w:pPr>
      <w:proofErr w:type="gramStart"/>
      <w:r w:rsidRPr="00C376A4">
        <w:rPr>
          <w:sz w:val="22"/>
        </w:rPr>
        <w:t>de</w:t>
      </w:r>
      <w:proofErr w:type="gramEnd"/>
      <w:r w:rsidRPr="00C376A4">
        <w:rPr>
          <w:sz w:val="22"/>
        </w:rPr>
        <w:t xml:space="preserve"> conserver pendant trois ans les titres remis en contrepartie de l'apport ;</w:t>
      </w:r>
    </w:p>
    <w:p w14:paraId="315C0F27" w14:textId="0A0C7051" w:rsidR="008C5D8D" w:rsidRPr="002061AB" w:rsidRDefault="008C5D8D" w:rsidP="002061AB">
      <w:pPr>
        <w:pStyle w:val="Paragraphedeliste"/>
        <w:numPr>
          <w:ilvl w:val="0"/>
          <w:numId w:val="1"/>
        </w:numPr>
        <w:spacing w:after="0"/>
        <w:jc w:val="both"/>
        <w:rPr>
          <w:sz w:val="22"/>
        </w:rPr>
      </w:pPr>
      <w:proofErr w:type="gramStart"/>
      <w:r w:rsidRPr="002061AB">
        <w:rPr>
          <w:sz w:val="22"/>
        </w:rPr>
        <w:t>de</w:t>
      </w:r>
      <w:proofErr w:type="gramEnd"/>
      <w:r w:rsidRPr="002061AB">
        <w:rPr>
          <w:sz w:val="22"/>
        </w:rPr>
        <w:t xml:space="preserve"> calculer ultérieurement les plus-values de cession afférentes à ces mêmes titres par référence à la valeur que les biens apportés avaient, du point de vue fiscal, dans ses propres écritures.</w:t>
      </w:r>
    </w:p>
    <w:p w14:paraId="33BE23BC" w14:textId="77777777" w:rsidR="008C5D8D" w:rsidRPr="008C5D8D" w:rsidRDefault="008C5D8D" w:rsidP="00F66488">
      <w:pPr>
        <w:spacing w:after="0"/>
        <w:jc w:val="both"/>
        <w:rPr>
          <w:sz w:val="22"/>
        </w:rPr>
      </w:pPr>
    </w:p>
    <w:p w14:paraId="206DB199" w14:textId="77777777" w:rsidR="008C5D8D" w:rsidRPr="008C5D8D" w:rsidRDefault="008C5D8D" w:rsidP="00F66488">
      <w:pPr>
        <w:spacing w:after="0"/>
        <w:jc w:val="both"/>
        <w:rPr>
          <w:sz w:val="22"/>
        </w:rPr>
      </w:pPr>
      <w:r w:rsidRPr="008C5D8D">
        <w:rPr>
          <w:sz w:val="22"/>
        </w:rPr>
        <w:t>Le régime des fusions s'applique également à la scission de société comportant au moins deux branches complètes d'activités lorsque chacune des sociétés bénéficiaires des apports reçoit une ou plusieurs de ces branches et que les associés de la société scindée s'engagent, dans l'acte de scission, à conserver pendant trois ans les titres représentatifs de l'apport qui leur ont été répartis proportionnellement à leurs droits dans le capital.</w:t>
      </w:r>
    </w:p>
    <w:p w14:paraId="2B430D4E" w14:textId="77777777" w:rsidR="00C376A4" w:rsidRDefault="00C376A4" w:rsidP="00F66488">
      <w:pPr>
        <w:spacing w:after="0"/>
        <w:jc w:val="both"/>
        <w:rPr>
          <w:sz w:val="22"/>
        </w:rPr>
      </w:pPr>
    </w:p>
    <w:p w14:paraId="46623131" w14:textId="77777777" w:rsidR="00FD5BEF" w:rsidRDefault="008C5D8D" w:rsidP="00F66488">
      <w:pPr>
        <w:spacing w:after="0"/>
        <w:jc w:val="both"/>
        <w:rPr>
          <w:sz w:val="22"/>
        </w:rPr>
      </w:pPr>
      <w:r w:rsidRPr="008C5D8D">
        <w:rPr>
          <w:sz w:val="22"/>
        </w:rPr>
        <w:t>L'obligation de conservation des titre</w:t>
      </w:r>
      <w:r w:rsidR="00FD5BEF">
        <w:rPr>
          <w:sz w:val="22"/>
        </w:rPr>
        <w:t>s n'est exigée que des associés :</w:t>
      </w:r>
    </w:p>
    <w:p w14:paraId="4D50335E" w14:textId="77777777" w:rsidR="002061AB" w:rsidRDefault="008C5D8D" w:rsidP="002061AB">
      <w:pPr>
        <w:pStyle w:val="Paragraphedeliste"/>
        <w:numPr>
          <w:ilvl w:val="0"/>
          <w:numId w:val="1"/>
        </w:numPr>
        <w:spacing w:after="0"/>
        <w:jc w:val="both"/>
        <w:rPr>
          <w:sz w:val="22"/>
        </w:rPr>
      </w:pPr>
      <w:proofErr w:type="gramStart"/>
      <w:r w:rsidRPr="00FD5BEF">
        <w:rPr>
          <w:sz w:val="22"/>
        </w:rPr>
        <w:t>qui</w:t>
      </w:r>
      <w:proofErr w:type="gramEnd"/>
      <w:r w:rsidRPr="00FD5BEF">
        <w:rPr>
          <w:sz w:val="22"/>
        </w:rPr>
        <w:t xml:space="preserve"> détiennent dans la société scindée, à la date d'approbation de la scission, </w:t>
      </w:r>
      <w:r w:rsidR="00FD5BEF" w:rsidRPr="00FD5BEF">
        <w:rPr>
          <w:sz w:val="22"/>
        </w:rPr>
        <w:t>5 % au moins des droits de vote</w:t>
      </w:r>
    </w:p>
    <w:p w14:paraId="42233E72" w14:textId="7C57BF3B" w:rsidR="008C5D8D" w:rsidRPr="002061AB" w:rsidRDefault="008C5D8D" w:rsidP="002061AB">
      <w:pPr>
        <w:pStyle w:val="Paragraphedeliste"/>
        <w:numPr>
          <w:ilvl w:val="0"/>
          <w:numId w:val="1"/>
        </w:numPr>
        <w:spacing w:after="0"/>
        <w:jc w:val="both"/>
        <w:rPr>
          <w:sz w:val="22"/>
        </w:rPr>
      </w:pPr>
      <w:proofErr w:type="gramStart"/>
      <w:r w:rsidRPr="002061AB">
        <w:rPr>
          <w:sz w:val="22"/>
        </w:rPr>
        <w:t>ou</w:t>
      </w:r>
      <w:proofErr w:type="gramEnd"/>
      <w:r w:rsidRPr="002061AB">
        <w:rPr>
          <w:sz w:val="22"/>
        </w:rPr>
        <w:t xml:space="preserve"> qui y exercent ou y ont exercé dans les six mois précédant cette date, directement ou par l'intermédiaire de leurs mandataires sociaux ou préposés, des fonctions de direction, d'administration ou de surveillance et détiennent au moins 0,1 % des d</w:t>
      </w:r>
      <w:r w:rsidR="00710FEC" w:rsidRPr="002061AB">
        <w:rPr>
          <w:sz w:val="22"/>
        </w:rPr>
        <w:t>roits de vote dans la société</w:t>
      </w:r>
      <w:r w:rsidRPr="002061AB">
        <w:rPr>
          <w:sz w:val="22"/>
        </w:rPr>
        <w:t>.</w:t>
      </w:r>
    </w:p>
    <w:p w14:paraId="5D1F82D0" w14:textId="77777777" w:rsidR="00FD5BEF" w:rsidRDefault="00FD5BEF" w:rsidP="00F66488">
      <w:pPr>
        <w:spacing w:after="0"/>
        <w:jc w:val="both"/>
        <w:rPr>
          <w:sz w:val="22"/>
        </w:rPr>
      </w:pPr>
    </w:p>
    <w:p w14:paraId="1CEA58E1" w14:textId="77777777" w:rsidR="008C5D8D" w:rsidRPr="008C5D8D" w:rsidRDefault="008C5D8D" w:rsidP="00F66488">
      <w:pPr>
        <w:spacing w:after="0"/>
        <w:jc w:val="both"/>
        <w:rPr>
          <w:sz w:val="22"/>
        </w:rPr>
      </w:pPr>
      <w:r w:rsidRPr="008C5D8D">
        <w:rPr>
          <w:sz w:val="22"/>
        </w:rPr>
        <w:t xml:space="preserve">Les droits de vote détenus par les associés ainsi soumis à l'obligation de conservation doivent représenter ensemble, à la date de l'approbation de la scission, 20 % au moins du </w:t>
      </w:r>
      <w:r w:rsidR="00710FEC">
        <w:rPr>
          <w:sz w:val="22"/>
        </w:rPr>
        <w:t>capital de la société scindée</w:t>
      </w:r>
      <w:r w:rsidRPr="008C5D8D">
        <w:rPr>
          <w:sz w:val="22"/>
        </w:rPr>
        <w:t>.</w:t>
      </w:r>
    </w:p>
    <w:p w14:paraId="6560781E" w14:textId="77777777" w:rsidR="008C5D8D" w:rsidRPr="008C5D8D" w:rsidRDefault="008C5D8D" w:rsidP="00F66488">
      <w:pPr>
        <w:spacing w:after="0"/>
        <w:jc w:val="both"/>
        <w:rPr>
          <w:sz w:val="22"/>
        </w:rPr>
      </w:pPr>
    </w:p>
    <w:p w14:paraId="40ED0292" w14:textId="77777777" w:rsidR="008C5D8D" w:rsidRPr="008C5D8D" w:rsidRDefault="008C5D8D" w:rsidP="00F66488">
      <w:pPr>
        <w:spacing w:after="0"/>
        <w:jc w:val="both"/>
        <w:rPr>
          <w:sz w:val="22"/>
        </w:rPr>
      </w:pPr>
      <w:r w:rsidRPr="008C5D8D">
        <w:rPr>
          <w:sz w:val="22"/>
        </w:rPr>
        <w:t xml:space="preserve">Les apports de participations portant sur plus de 50 p. 100 du capital de la société dont les titres sont apportés sont assimilés à </w:t>
      </w:r>
      <w:r w:rsidR="00710FEC">
        <w:rPr>
          <w:sz w:val="22"/>
        </w:rPr>
        <w:t>une branche complète d'activité</w:t>
      </w:r>
      <w:r w:rsidRPr="008C5D8D">
        <w:rPr>
          <w:sz w:val="22"/>
        </w:rPr>
        <w:t>.</w:t>
      </w:r>
    </w:p>
    <w:p w14:paraId="5F88758D" w14:textId="77777777" w:rsidR="008C5D8D" w:rsidRPr="008C5D8D" w:rsidRDefault="008C5D8D" w:rsidP="00F66488">
      <w:pPr>
        <w:spacing w:after="0"/>
        <w:jc w:val="both"/>
        <w:rPr>
          <w:sz w:val="22"/>
        </w:rPr>
      </w:pPr>
      <w:r w:rsidRPr="008C5D8D">
        <w:rPr>
          <w:sz w:val="22"/>
        </w:rPr>
        <w:t>Il en est de même, sous la même réserve, d'une part, des apports de participations conférant à la société bénéficiaire des apports la détention directe de plus de 30% des droits de vote de la société dont les titres sont apportés lorsqu'aucun autre associé ne détient, directement ou indirectement, une fraction des droits de vote supérieure et d'autre part, des apports de participations conférant à la société bénéficiaire des apports, qui détient d'ores et déjà plus de 30 % des droits de vote de la société dont les titres sont apportés, la fraction des droits de vote la plus élevée d</w:t>
      </w:r>
      <w:r w:rsidR="00710FEC">
        <w:rPr>
          <w:sz w:val="22"/>
        </w:rPr>
        <w:t>ans la société</w:t>
      </w:r>
      <w:r w:rsidRPr="008C5D8D">
        <w:rPr>
          <w:sz w:val="22"/>
        </w:rPr>
        <w:t>.</w:t>
      </w:r>
    </w:p>
    <w:p w14:paraId="11128C40" w14:textId="77777777" w:rsidR="008C5D8D" w:rsidRPr="008C5D8D" w:rsidRDefault="008C5D8D" w:rsidP="00F66488">
      <w:pPr>
        <w:spacing w:after="0"/>
        <w:jc w:val="both"/>
        <w:rPr>
          <w:sz w:val="22"/>
        </w:rPr>
      </w:pPr>
      <w:r w:rsidRPr="008C5D8D">
        <w:rPr>
          <w:sz w:val="22"/>
        </w:rPr>
        <w:t>La branche complète d'activité se définit comme l'ensemble des éléments d'actif et de passif d'une division d'une société qui constituent, du point de vue de l'organisation, une exploitation autonome, c'est-à-dire un ensemble capable de fonctionner par ses propres moyens.</w:t>
      </w:r>
    </w:p>
    <w:p w14:paraId="0F9B278E" w14:textId="77777777" w:rsidR="00710FEC" w:rsidRDefault="00710FEC" w:rsidP="00F66488">
      <w:pPr>
        <w:spacing w:after="0"/>
        <w:jc w:val="both"/>
        <w:rPr>
          <w:sz w:val="22"/>
        </w:rPr>
      </w:pPr>
    </w:p>
    <w:p w14:paraId="4E491DD2" w14:textId="77777777" w:rsidR="00710FEC" w:rsidRDefault="00710FEC" w:rsidP="00F66488">
      <w:pPr>
        <w:spacing w:after="0"/>
        <w:jc w:val="both"/>
        <w:rPr>
          <w:sz w:val="22"/>
        </w:rPr>
      </w:pPr>
    </w:p>
    <w:p w14:paraId="6609D3B5" w14:textId="77777777" w:rsidR="008C5D8D" w:rsidRPr="00710FEC" w:rsidRDefault="008C5D8D" w:rsidP="00F66488">
      <w:pPr>
        <w:spacing w:after="0"/>
        <w:jc w:val="both"/>
        <w:rPr>
          <w:b/>
          <w:sz w:val="22"/>
        </w:rPr>
      </w:pPr>
      <w:r w:rsidRPr="00710FEC">
        <w:rPr>
          <w:b/>
          <w:sz w:val="22"/>
        </w:rPr>
        <w:t>2. Régime fiscal de faveur sur agrément.</w:t>
      </w:r>
    </w:p>
    <w:p w14:paraId="220BBF77" w14:textId="77777777" w:rsidR="008C5D8D" w:rsidRPr="008C5D8D" w:rsidRDefault="008C5D8D" w:rsidP="00F66488">
      <w:pPr>
        <w:spacing w:after="0"/>
        <w:jc w:val="both"/>
        <w:rPr>
          <w:sz w:val="22"/>
        </w:rPr>
      </w:pPr>
      <w:r w:rsidRPr="008C5D8D">
        <w:rPr>
          <w:sz w:val="22"/>
        </w:rPr>
        <w:t>Lorsque les conditions mentionnées au 1 de l'article 210 B (cf. ci-dessus) ne sont pas remplies, le régime des fusions s'applique aux apports partiels d'actif et aux scissi</w:t>
      </w:r>
      <w:r w:rsidR="00710FEC">
        <w:rPr>
          <w:sz w:val="22"/>
        </w:rPr>
        <w:t>ons sur agrément</w:t>
      </w:r>
      <w:r w:rsidRPr="008C5D8D">
        <w:rPr>
          <w:sz w:val="22"/>
        </w:rPr>
        <w:t>.</w:t>
      </w:r>
    </w:p>
    <w:p w14:paraId="37BD039C" w14:textId="77777777" w:rsidR="008C5D8D" w:rsidRPr="008C5D8D" w:rsidRDefault="008C5D8D" w:rsidP="00F66488">
      <w:pPr>
        <w:spacing w:after="0"/>
        <w:jc w:val="both"/>
        <w:rPr>
          <w:sz w:val="22"/>
        </w:rPr>
      </w:pPr>
      <w:r w:rsidRPr="008C5D8D">
        <w:rPr>
          <w:sz w:val="22"/>
        </w:rPr>
        <w:t>L'agrément est délivré lorsque, compte tenu des éléments faisant l'objet de l'apport :</w:t>
      </w:r>
    </w:p>
    <w:p w14:paraId="3E3452A7" w14:textId="77777777" w:rsidR="002061AB" w:rsidRDefault="002061AB" w:rsidP="002061AB">
      <w:pPr>
        <w:spacing w:after="0"/>
        <w:ind w:left="426"/>
        <w:jc w:val="both"/>
        <w:rPr>
          <w:sz w:val="22"/>
        </w:rPr>
      </w:pPr>
      <w:r>
        <w:rPr>
          <w:sz w:val="22"/>
        </w:rPr>
        <w:t xml:space="preserve">- </w:t>
      </w:r>
      <w:r w:rsidR="008C5D8D" w:rsidRPr="008C5D8D">
        <w:rPr>
          <w:sz w:val="22"/>
        </w:rPr>
        <w:t>l'opération est justifiée par un motif économique, se traduisant notamment par l'exercice par la société bénéficiaire de l'apport d'une activité autonome ou l'amélioration des structures, ainsi que par une association entre les parties ;</w:t>
      </w:r>
    </w:p>
    <w:p w14:paraId="61F7321B" w14:textId="3D9B8512" w:rsidR="008C5D8D" w:rsidRPr="008C5D8D" w:rsidRDefault="002061AB" w:rsidP="002061AB">
      <w:pPr>
        <w:spacing w:after="0"/>
        <w:ind w:left="426"/>
        <w:jc w:val="both"/>
        <w:rPr>
          <w:sz w:val="22"/>
        </w:rPr>
      </w:pPr>
      <w:r>
        <w:rPr>
          <w:sz w:val="22"/>
        </w:rPr>
        <w:t xml:space="preserve">- </w:t>
      </w:r>
      <w:r w:rsidR="008C5D8D" w:rsidRPr="008C5D8D">
        <w:rPr>
          <w:sz w:val="22"/>
        </w:rPr>
        <w:t>l'opération n'a pas comme objectif principal ou comme un de ses objectifs principaux la fraude ou l'évasion fiscales ;</w:t>
      </w:r>
    </w:p>
    <w:p w14:paraId="634A2ED1" w14:textId="77777777" w:rsidR="008C5D8D" w:rsidRPr="008C5D8D" w:rsidRDefault="008C5D8D" w:rsidP="002061AB">
      <w:pPr>
        <w:spacing w:after="0"/>
        <w:ind w:left="426"/>
        <w:jc w:val="both"/>
        <w:rPr>
          <w:sz w:val="22"/>
        </w:rPr>
      </w:pPr>
      <w:r w:rsidRPr="008C5D8D">
        <w:rPr>
          <w:sz w:val="22"/>
        </w:rPr>
        <w:lastRenderedPageBreak/>
        <w:t>- les modalités de l'opération permettent d'assurer l'imposition future des plus-values mises en sursis d'imposition.</w:t>
      </w:r>
    </w:p>
    <w:p w14:paraId="2FF2EF2E" w14:textId="77777777" w:rsidR="00710FEC" w:rsidRDefault="00710FEC" w:rsidP="00F66488">
      <w:pPr>
        <w:spacing w:after="0"/>
        <w:jc w:val="both"/>
        <w:rPr>
          <w:sz w:val="22"/>
        </w:rPr>
      </w:pPr>
    </w:p>
    <w:p w14:paraId="3C50B009" w14:textId="77777777" w:rsidR="008C5D8D" w:rsidRPr="008C5D8D" w:rsidRDefault="008C5D8D" w:rsidP="00F66488">
      <w:pPr>
        <w:spacing w:after="0"/>
        <w:jc w:val="both"/>
        <w:rPr>
          <w:sz w:val="22"/>
        </w:rPr>
      </w:pPr>
    </w:p>
    <w:p w14:paraId="7E7E17B7" w14:textId="77777777" w:rsidR="008C5D8D" w:rsidRPr="00563E51" w:rsidRDefault="008C5D8D" w:rsidP="00F66488">
      <w:pPr>
        <w:spacing w:after="0"/>
        <w:jc w:val="both"/>
        <w:rPr>
          <w:b/>
          <w:sz w:val="22"/>
        </w:rPr>
      </w:pPr>
      <w:r w:rsidRPr="00563E51">
        <w:rPr>
          <w:b/>
          <w:sz w:val="22"/>
        </w:rPr>
        <w:t>III. DÉFINITION DES OPÉRATIONS OUVRANT DROIT AUX RÉGIMES SPÉCIAUX PRÉVUS EN FAVEUR DES FUSIONS ET DES SCISSIONS DE SOCIÉTÉS</w:t>
      </w:r>
    </w:p>
    <w:p w14:paraId="4660CE80" w14:textId="77777777" w:rsidR="008C5D8D" w:rsidRPr="008C5D8D" w:rsidRDefault="008C5D8D" w:rsidP="00F66488">
      <w:pPr>
        <w:spacing w:after="0"/>
        <w:jc w:val="both"/>
        <w:rPr>
          <w:sz w:val="22"/>
        </w:rPr>
      </w:pPr>
    </w:p>
    <w:p w14:paraId="0ADEEAA1" w14:textId="77777777" w:rsidR="00563E51" w:rsidRDefault="008C5D8D" w:rsidP="00F66488">
      <w:pPr>
        <w:spacing w:after="0"/>
        <w:jc w:val="both"/>
        <w:rPr>
          <w:sz w:val="22"/>
        </w:rPr>
      </w:pPr>
      <w:r w:rsidRPr="008C5D8D">
        <w:rPr>
          <w:sz w:val="22"/>
        </w:rPr>
        <w:t xml:space="preserve">Les dispositions relatives aux fusions et aux </w:t>
      </w:r>
      <w:r w:rsidR="00563E51">
        <w:rPr>
          <w:sz w:val="22"/>
        </w:rPr>
        <w:t>scissions, prévues au CGI</w:t>
      </w:r>
      <w:r w:rsidRPr="008C5D8D">
        <w:rPr>
          <w:sz w:val="22"/>
        </w:rPr>
        <w:t>, sont applicabl</w:t>
      </w:r>
      <w:r w:rsidR="0065331F">
        <w:rPr>
          <w:sz w:val="22"/>
        </w:rPr>
        <w:t>es aux opérations comprenant</w:t>
      </w:r>
      <w:r w:rsidRPr="008C5D8D">
        <w:rPr>
          <w:sz w:val="22"/>
        </w:rPr>
        <w:t xml:space="preserve"> l'attribution à leurs associés de titres de la société absorbante et, éventuellement, d'une soulte ne dépassant pas 10 % de la valeur nominale de ces titres ;</w:t>
      </w:r>
    </w:p>
    <w:p w14:paraId="24DBEC12" w14:textId="77777777" w:rsidR="00563E51" w:rsidRDefault="00563E51" w:rsidP="00F66488">
      <w:pPr>
        <w:spacing w:after="0"/>
        <w:jc w:val="both"/>
        <w:rPr>
          <w:sz w:val="22"/>
        </w:rPr>
      </w:pPr>
    </w:p>
    <w:p w14:paraId="23FC3041" w14:textId="77777777" w:rsidR="008C5D8D" w:rsidRDefault="008C5D8D" w:rsidP="00F66488">
      <w:pPr>
        <w:spacing w:after="0"/>
        <w:jc w:val="both"/>
        <w:rPr>
          <w:sz w:val="22"/>
        </w:rPr>
      </w:pPr>
      <w:r w:rsidRPr="008C5D8D">
        <w:rPr>
          <w:sz w:val="22"/>
        </w:rPr>
        <w:t>Sont exclues du champ d'application des régimes de faveur les opérations de fusions, scissions et apports partiels d'act</w:t>
      </w:r>
      <w:r w:rsidR="0065331F">
        <w:rPr>
          <w:sz w:val="22"/>
        </w:rPr>
        <w:t>if et échanges de titres</w:t>
      </w:r>
      <w:r w:rsidRPr="008C5D8D">
        <w:rPr>
          <w:sz w:val="22"/>
        </w:rPr>
        <w:t xml:space="preserve"> lorsqu'elles sont opérées par une société, apporteuse ou bénéficiaire d'un apport, ayant son siège dans un État ou territoire n'ayant pas conclu avec la France une convention fiscale contenant une clause d'assistance administrative en vue de lutter contre la fraude et l'évasion fiscale</w:t>
      </w:r>
      <w:r w:rsidR="00563E51">
        <w:rPr>
          <w:sz w:val="22"/>
        </w:rPr>
        <w:t>s</w:t>
      </w:r>
      <w:r w:rsidRPr="008C5D8D">
        <w:rPr>
          <w:sz w:val="22"/>
        </w:rPr>
        <w:t>.</w:t>
      </w:r>
    </w:p>
    <w:p w14:paraId="1CD3EC8E" w14:textId="77777777" w:rsidR="008C5D8D" w:rsidRDefault="008C5D8D" w:rsidP="00F66488">
      <w:pPr>
        <w:spacing w:after="0"/>
        <w:jc w:val="both"/>
        <w:rPr>
          <w:sz w:val="22"/>
        </w:rPr>
      </w:pPr>
    </w:p>
    <w:p w14:paraId="0926CD3E" w14:textId="77777777" w:rsidR="008C5D8D" w:rsidRDefault="008C5D8D" w:rsidP="00F66488">
      <w:pPr>
        <w:spacing w:after="0"/>
        <w:jc w:val="both"/>
        <w:rPr>
          <w:sz w:val="22"/>
        </w:rPr>
      </w:pPr>
    </w:p>
    <w:p w14:paraId="309C8C35" w14:textId="77777777" w:rsidR="00C93AE1" w:rsidRDefault="00C93AE1" w:rsidP="00F66488">
      <w:pPr>
        <w:spacing w:after="0"/>
        <w:jc w:val="both"/>
        <w:rPr>
          <w:sz w:val="22"/>
        </w:rPr>
      </w:pPr>
    </w:p>
    <w:p w14:paraId="325F52A4" w14:textId="77777777" w:rsidR="008C5D8D" w:rsidRDefault="008C5D8D" w:rsidP="00F66488">
      <w:pPr>
        <w:spacing w:after="0"/>
        <w:jc w:val="both"/>
        <w:rPr>
          <w:sz w:val="22"/>
        </w:rPr>
      </w:pPr>
    </w:p>
    <w:p w14:paraId="0DF2213E" w14:textId="3B4EB191" w:rsidR="008C5D8D" w:rsidRPr="00102A0F" w:rsidRDefault="00EE6DF1" w:rsidP="00EE6DF1">
      <w:pPr>
        <w:pStyle w:val="Titre2"/>
        <w:spacing w:before="0"/>
        <w:jc w:val="both"/>
        <w:rPr>
          <w:color w:val="auto"/>
          <w:sz w:val="28"/>
          <w:u w:val="single"/>
        </w:rPr>
      </w:pPr>
      <w:bookmarkStart w:id="8" w:name="_Toc129743328"/>
      <w:bookmarkStart w:id="9" w:name="_Toc129743399"/>
      <w:r>
        <w:rPr>
          <w:color w:val="auto"/>
          <w:sz w:val="28"/>
          <w:u w:val="single"/>
        </w:rPr>
        <w:t>Section</w:t>
      </w:r>
      <w:r w:rsidR="00B500FB" w:rsidRPr="00102A0F">
        <w:rPr>
          <w:color w:val="auto"/>
          <w:sz w:val="28"/>
          <w:u w:val="single"/>
        </w:rPr>
        <w:t xml:space="preserve"> 2</w:t>
      </w:r>
      <w:r w:rsidR="008C5D8D" w:rsidRPr="00102A0F">
        <w:rPr>
          <w:color w:val="auto"/>
          <w:sz w:val="28"/>
          <w:u w:val="single"/>
        </w:rPr>
        <w:t xml:space="preserve"> DROITS D'ENREGISTREMENT</w:t>
      </w:r>
      <w:bookmarkEnd w:id="8"/>
      <w:bookmarkEnd w:id="9"/>
    </w:p>
    <w:p w14:paraId="1CF1FBD3" w14:textId="77777777" w:rsidR="008C5D8D" w:rsidRPr="008C5D8D" w:rsidRDefault="008C5D8D" w:rsidP="00F66488">
      <w:pPr>
        <w:spacing w:after="0"/>
        <w:jc w:val="both"/>
        <w:rPr>
          <w:sz w:val="22"/>
        </w:rPr>
      </w:pPr>
    </w:p>
    <w:p w14:paraId="0A569F41" w14:textId="77777777" w:rsidR="008C5D8D" w:rsidRPr="00B500FB" w:rsidRDefault="008C5D8D" w:rsidP="00F66488">
      <w:pPr>
        <w:spacing w:after="0"/>
        <w:jc w:val="both"/>
        <w:rPr>
          <w:b/>
          <w:sz w:val="22"/>
        </w:rPr>
      </w:pPr>
      <w:r w:rsidRPr="00B500FB">
        <w:rPr>
          <w:b/>
          <w:sz w:val="22"/>
        </w:rPr>
        <w:t>I. CHAMP D'APPLICATION</w:t>
      </w:r>
    </w:p>
    <w:p w14:paraId="07F920D2" w14:textId="56971DD3" w:rsidR="0043247B" w:rsidRPr="00BE6ABB" w:rsidRDefault="00E015D1" w:rsidP="00F66488">
      <w:pPr>
        <w:spacing w:after="0"/>
        <w:jc w:val="both"/>
        <w:rPr>
          <w:color w:val="000000" w:themeColor="text1"/>
          <w:sz w:val="22"/>
        </w:rPr>
      </w:pPr>
      <w:r w:rsidRPr="00BE6ABB">
        <w:rPr>
          <w:color w:val="000000" w:themeColor="text1"/>
          <w:sz w:val="22"/>
        </w:rPr>
        <w:t>Depuis le 1er janvier 2019, l'acte constatant une fusion à laquelle participent exclusivement des personnes morales ou des organismes passibles de l'impôt sur les sociétés est enregistré gratuitement.</w:t>
      </w:r>
    </w:p>
    <w:p w14:paraId="7E6019FD" w14:textId="77777777" w:rsidR="00E015D1" w:rsidRPr="008C5D8D" w:rsidRDefault="00E015D1" w:rsidP="00F66488">
      <w:pPr>
        <w:spacing w:after="0"/>
        <w:jc w:val="both"/>
        <w:rPr>
          <w:sz w:val="22"/>
        </w:rPr>
      </w:pPr>
    </w:p>
    <w:p w14:paraId="4C4E8CAF" w14:textId="77777777" w:rsidR="008C5D8D" w:rsidRPr="008C5D8D" w:rsidRDefault="008C5D8D" w:rsidP="00F66488">
      <w:pPr>
        <w:spacing w:after="0"/>
        <w:jc w:val="both"/>
        <w:rPr>
          <w:sz w:val="22"/>
        </w:rPr>
      </w:pPr>
    </w:p>
    <w:p w14:paraId="7C780657" w14:textId="193AC744" w:rsidR="008C5D8D" w:rsidRPr="00B500FB" w:rsidRDefault="00B500FB" w:rsidP="00F66488">
      <w:pPr>
        <w:spacing w:after="0"/>
        <w:jc w:val="both"/>
        <w:rPr>
          <w:b/>
          <w:sz w:val="22"/>
        </w:rPr>
      </w:pPr>
      <w:r w:rsidRPr="00B500FB">
        <w:rPr>
          <w:b/>
          <w:sz w:val="22"/>
        </w:rPr>
        <w:t>II</w:t>
      </w:r>
      <w:r w:rsidR="008C5D8D" w:rsidRPr="00B500FB">
        <w:rPr>
          <w:b/>
          <w:sz w:val="22"/>
        </w:rPr>
        <w:t>. PROJETS DE FUSION</w:t>
      </w:r>
    </w:p>
    <w:p w14:paraId="23981F9C" w14:textId="05A6E561" w:rsidR="008C5D8D" w:rsidRDefault="008C5D8D" w:rsidP="00F66488">
      <w:pPr>
        <w:spacing w:after="0"/>
        <w:jc w:val="both"/>
        <w:rPr>
          <w:sz w:val="22"/>
        </w:rPr>
      </w:pPr>
      <w:r w:rsidRPr="008C5D8D">
        <w:rPr>
          <w:sz w:val="22"/>
        </w:rPr>
        <w:t>Les projets de fusion présentés à la formalité de l'enregistrement sont soumis au droit fixe des actes innomé</w:t>
      </w:r>
      <w:r w:rsidR="00B500FB">
        <w:rPr>
          <w:sz w:val="22"/>
        </w:rPr>
        <w:t>s</w:t>
      </w:r>
      <w:r w:rsidRPr="008C5D8D">
        <w:rPr>
          <w:sz w:val="22"/>
        </w:rPr>
        <w:t>, qu'ils soient obligatoirement présentés à la formalité lorsqu'ils sont rédigés en la forme notariée ou facultativement lorsqu'ils sont établis sous seing privé.</w:t>
      </w:r>
    </w:p>
    <w:p w14:paraId="1E015BA5" w14:textId="77777777" w:rsidR="008C5D8D" w:rsidRDefault="008C5D8D" w:rsidP="00F66488">
      <w:pPr>
        <w:spacing w:after="0"/>
        <w:jc w:val="both"/>
        <w:rPr>
          <w:sz w:val="22"/>
        </w:rPr>
      </w:pPr>
    </w:p>
    <w:p w14:paraId="352596B8" w14:textId="77777777" w:rsidR="008C5D8D" w:rsidRDefault="008C5D8D" w:rsidP="00F66488">
      <w:pPr>
        <w:spacing w:after="0"/>
        <w:jc w:val="both"/>
        <w:rPr>
          <w:sz w:val="22"/>
        </w:rPr>
      </w:pPr>
    </w:p>
    <w:p w14:paraId="48ADBEBE" w14:textId="46309A4F" w:rsidR="00905E13" w:rsidRPr="00A06B56" w:rsidRDefault="00EE6DF1" w:rsidP="00A06B56">
      <w:pPr>
        <w:pStyle w:val="Titre2"/>
        <w:spacing w:before="0"/>
        <w:jc w:val="both"/>
        <w:rPr>
          <w:color w:val="auto"/>
          <w:sz w:val="28"/>
          <w:szCs w:val="28"/>
          <w:u w:val="single"/>
        </w:rPr>
      </w:pPr>
      <w:bookmarkStart w:id="10" w:name="_Toc129743329"/>
      <w:bookmarkStart w:id="11" w:name="_Toc129743400"/>
      <w:r w:rsidRPr="00905E13">
        <w:rPr>
          <w:color w:val="auto"/>
          <w:sz w:val="28"/>
          <w:szCs w:val="28"/>
          <w:u w:val="single"/>
        </w:rPr>
        <w:t>Section</w:t>
      </w:r>
      <w:r w:rsidR="009A0A49" w:rsidRPr="00905E13">
        <w:rPr>
          <w:color w:val="auto"/>
          <w:sz w:val="28"/>
          <w:szCs w:val="28"/>
          <w:u w:val="single"/>
        </w:rPr>
        <w:t xml:space="preserve"> 3 </w:t>
      </w:r>
      <w:r w:rsidR="00BC592D" w:rsidRPr="00905E13">
        <w:rPr>
          <w:color w:val="auto"/>
          <w:sz w:val="28"/>
          <w:szCs w:val="28"/>
          <w:u w:val="single"/>
        </w:rPr>
        <w:t xml:space="preserve"> RÉGIME DE LA DISTRIBUTION</w:t>
      </w:r>
      <w:bookmarkEnd w:id="10"/>
      <w:bookmarkEnd w:id="11"/>
    </w:p>
    <w:p w14:paraId="0A695F11" w14:textId="77777777" w:rsidR="00950CF0" w:rsidRDefault="00950CF0" w:rsidP="00F66488">
      <w:pPr>
        <w:spacing w:after="0"/>
        <w:jc w:val="both"/>
        <w:rPr>
          <w:sz w:val="22"/>
        </w:rPr>
      </w:pPr>
      <w:r>
        <w:rPr>
          <w:sz w:val="22"/>
        </w:rPr>
        <w:t>Dans toutes les opérations envisagées, les associés des sociétés absorbées, scindées ou apporteuses sont susceptibles de réaliser une plus value, au moins sur le papier, à l’occasion de l’échange de titres.</w:t>
      </w:r>
    </w:p>
    <w:p w14:paraId="0770C8A6" w14:textId="77777777" w:rsidR="00BC592D" w:rsidRPr="00BC592D" w:rsidRDefault="00BC592D" w:rsidP="00F66488">
      <w:pPr>
        <w:spacing w:after="0"/>
        <w:jc w:val="both"/>
        <w:rPr>
          <w:sz w:val="22"/>
        </w:rPr>
      </w:pPr>
    </w:p>
    <w:p w14:paraId="0CCE47FF" w14:textId="77777777" w:rsidR="00151454" w:rsidRPr="00151454" w:rsidRDefault="00151454" w:rsidP="00F66488">
      <w:pPr>
        <w:spacing w:after="0"/>
        <w:jc w:val="both"/>
        <w:rPr>
          <w:b/>
          <w:sz w:val="22"/>
        </w:rPr>
      </w:pPr>
      <w:r w:rsidRPr="00151454">
        <w:rPr>
          <w:b/>
          <w:sz w:val="22"/>
        </w:rPr>
        <w:t>A. FUSIONS DE SOCIÉTÉS</w:t>
      </w:r>
    </w:p>
    <w:p w14:paraId="60ACC43F" w14:textId="77777777" w:rsidR="00151454" w:rsidRPr="00151454" w:rsidRDefault="00151454" w:rsidP="00F66488">
      <w:pPr>
        <w:spacing w:after="0"/>
        <w:jc w:val="both"/>
        <w:rPr>
          <w:sz w:val="22"/>
        </w:rPr>
      </w:pPr>
      <w:r w:rsidRPr="00151454">
        <w:rPr>
          <w:sz w:val="22"/>
        </w:rPr>
        <w:t>Des titres sont créés en rémunération de l'apport net effectué à la société absorbante par la société absorbée.</w:t>
      </w:r>
    </w:p>
    <w:p w14:paraId="5EF19115" w14:textId="77777777" w:rsidR="00151454" w:rsidRPr="00151454" w:rsidRDefault="00151454" w:rsidP="00F66488">
      <w:pPr>
        <w:spacing w:after="0"/>
        <w:jc w:val="both"/>
        <w:rPr>
          <w:sz w:val="22"/>
        </w:rPr>
      </w:pPr>
      <w:r w:rsidRPr="00151454">
        <w:rPr>
          <w:sz w:val="22"/>
        </w:rPr>
        <w:t>La différence existant entre la valeur réelle de ces titres et la fraction du capital de la société absorbée correspondant à des apports réels ou assimilés que les associés de ladite société peuvent reprendre en franchise d'impôt, comme suite à la dissolution de celle-ci, constitue le boni de fusion.</w:t>
      </w:r>
    </w:p>
    <w:p w14:paraId="7457B78E" w14:textId="33601FCD" w:rsidR="00151454" w:rsidRPr="00151454" w:rsidRDefault="00EF545E" w:rsidP="00F66488">
      <w:pPr>
        <w:spacing w:after="0"/>
        <w:jc w:val="both"/>
        <w:rPr>
          <w:sz w:val="22"/>
        </w:rPr>
      </w:pPr>
      <w:r>
        <w:rPr>
          <w:sz w:val="22"/>
        </w:rPr>
        <w:t>Dans les cas de droit commun, l</w:t>
      </w:r>
      <w:r w:rsidR="00151454" w:rsidRPr="00151454">
        <w:rPr>
          <w:sz w:val="22"/>
        </w:rPr>
        <w:t>e boni de fusion est normalement soumis à l'impôt au nom des associés au titre des revenus mobiliers.</w:t>
      </w:r>
    </w:p>
    <w:p w14:paraId="6429B620" w14:textId="77777777" w:rsidR="00151454" w:rsidRPr="00151454" w:rsidRDefault="00151454" w:rsidP="00F66488">
      <w:pPr>
        <w:spacing w:after="0"/>
        <w:jc w:val="both"/>
        <w:rPr>
          <w:sz w:val="22"/>
        </w:rPr>
      </w:pPr>
      <w:r w:rsidRPr="00151454">
        <w:rPr>
          <w:sz w:val="22"/>
        </w:rPr>
        <w:t>Toutefois, en cas de fusion de sociétés</w:t>
      </w:r>
      <w:r>
        <w:rPr>
          <w:sz w:val="22"/>
        </w:rPr>
        <w:t xml:space="preserve"> dans le cadre du régime de faveur</w:t>
      </w:r>
      <w:r w:rsidR="000A2248">
        <w:rPr>
          <w:sz w:val="22"/>
        </w:rPr>
        <w:t xml:space="preserve">, l'attribution de titres, </w:t>
      </w:r>
      <w:r w:rsidRPr="00151454">
        <w:rPr>
          <w:sz w:val="22"/>
        </w:rPr>
        <w:t>sommes ou valeurs aux membres de la société apporteuse en contrepartie de l'annulation des titres de cette société n'est pas considérée comme une distribution de rev</w:t>
      </w:r>
      <w:r>
        <w:rPr>
          <w:sz w:val="22"/>
        </w:rPr>
        <w:t>enus mobiliers</w:t>
      </w:r>
      <w:r w:rsidRPr="00151454">
        <w:rPr>
          <w:sz w:val="22"/>
        </w:rPr>
        <w:t>.</w:t>
      </w:r>
    </w:p>
    <w:p w14:paraId="2F3CC710" w14:textId="77777777" w:rsidR="00A348ED" w:rsidRDefault="00A348ED" w:rsidP="00F66488">
      <w:pPr>
        <w:spacing w:after="0"/>
        <w:jc w:val="both"/>
        <w:rPr>
          <w:sz w:val="22"/>
        </w:rPr>
      </w:pPr>
    </w:p>
    <w:p w14:paraId="49AD77B2" w14:textId="77777777" w:rsidR="00BC592D" w:rsidRPr="00BC592D" w:rsidRDefault="00BC592D" w:rsidP="00F66488">
      <w:pPr>
        <w:spacing w:after="0"/>
        <w:jc w:val="both"/>
        <w:rPr>
          <w:sz w:val="22"/>
        </w:rPr>
      </w:pPr>
    </w:p>
    <w:p w14:paraId="1ED5BB10" w14:textId="77777777" w:rsidR="00A348ED" w:rsidRPr="00A348ED" w:rsidRDefault="00A348ED" w:rsidP="00F66488">
      <w:pPr>
        <w:spacing w:after="0"/>
        <w:jc w:val="both"/>
        <w:rPr>
          <w:b/>
          <w:sz w:val="22"/>
        </w:rPr>
      </w:pPr>
      <w:r w:rsidRPr="00A348ED">
        <w:rPr>
          <w:b/>
          <w:sz w:val="22"/>
        </w:rPr>
        <w:lastRenderedPageBreak/>
        <w:t>B. SCISSIONS DE SOCIÉTÉS ET APPORTS PARTIELS D'ACTIF</w:t>
      </w:r>
    </w:p>
    <w:p w14:paraId="08760EA9" w14:textId="69766920" w:rsidR="00A348ED" w:rsidRPr="00A348ED" w:rsidRDefault="00A348ED" w:rsidP="00F66488">
      <w:pPr>
        <w:spacing w:after="0"/>
        <w:jc w:val="both"/>
        <w:rPr>
          <w:sz w:val="22"/>
        </w:rPr>
      </w:pPr>
      <w:r w:rsidRPr="00A348ED">
        <w:rPr>
          <w:sz w:val="22"/>
        </w:rPr>
        <w:t>En cas de scission de sociétés, l'attribution de titres, sommes ou valeurs aux membres de la société apporteuse en contrepartie de l'annulation des titres de cette société n'est pas considérée comme une distribution de revenus mobiliers (CGI, art. 115-1).</w:t>
      </w:r>
    </w:p>
    <w:p w14:paraId="341D2590" w14:textId="77777777" w:rsidR="00A348ED" w:rsidRPr="00A348ED" w:rsidRDefault="00A348ED" w:rsidP="00F66488">
      <w:pPr>
        <w:spacing w:after="0"/>
        <w:jc w:val="both"/>
        <w:rPr>
          <w:sz w:val="22"/>
        </w:rPr>
      </w:pPr>
    </w:p>
    <w:p w14:paraId="5D36D9AE" w14:textId="472E1F5D" w:rsidR="00A348ED" w:rsidRPr="00A348ED" w:rsidRDefault="00EF545E" w:rsidP="00F66488">
      <w:pPr>
        <w:spacing w:after="0"/>
        <w:jc w:val="both"/>
        <w:rPr>
          <w:sz w:val="22"/>
        </w:rPr>
      </w:pPr>
      <w:r>
        <w:rPr>
          <w:sz w:val="22"/>
        </w:rPr>
        <w:t>C</w:t>
      </w:r>
      <w:r w:rsidR="00A348ED" w:rsidRPr="00A348ED">
        <w:rPr>
          <w:sz w:val="22"/>
        </w:rPr>
        <w:t>es dispositions s'appliquent également sur agrément délivré à la sociét</w:t>
      </w:r>
      <w:r w:rsidR="00A348ED">
        <w:rPr>
          <w:sz w:val="22"/>
        </w:rPr>
        <w:t>é apporteuse</w:t>
      </w:r>
      <w:r w:rsidR="00A348ED" w:rsidRPr="00A348ED">
        <w:rPr>
          <w:sz w:val="22"/>
        </w:rPr>
        <w:t>, en cas d'attribution de titres représentatifs d'un apport partiel d'actif aux membres de la société apporteuse, lorsque cette attribution, proportionnelle aux droits des associés dans le capital, a lieu dans un délai d'un an à compter de la réalisation de l'apport.</w:t>
      </w:r>
    </w:p>
    <w:p w14:paraId="1C49D648" w14:textId="77777777" w:rsidR="00A348ED" w:rsidRPr="00A348ED" w:rsidRDefault="00A348ED" w:rsidP="00F66488">
      <w:pPr>
        <w:spacing w:after="0"/>
        <w:jc w:val="both"/>
        <w:rPr>
          <w:sz w:val="22"/>
        </w:rPr>
      </w:pPr>
      <w:r w:rsidRPr="00A348ED">
        <w:rPr>
          <w:sz w:val="22"/>
        </w:rPr>
        <w:t>L'agrément est délivré lorsque, compte tenu des éléments respectivement transférés et conservés</w:t>
      </w:r>
      <w:r>
        <w:rPr>
          <w:sz w:val="22"/>
        </w:rPr>
        <w:t xml:space="preserve"> par la société apporteuse</w:t>
      </w:r>
      <w:r w:rsidRPr="00A348ED">
        <w:rPr>
          <w:sz w:val="22"/>
        </w:rPr>
        <w:t xml:space="preserve"> :</w:t>
      </w:r>
    </w:p>
    <w:p w14:paraId="05C3122A" w14:textId="77777777" w:rsidR="00EF545E" w:rsidRDefault="00A348ED" w:rsidP="002061AB">
      <w:pPr>
        <w:pStyle w:val="Paragraphedeliste"/>
        <w:numPr>
          <w:ilvl w:val="0"/>
          <w:numId w:val="1"/>
        </w:numPr>
        <w:spacing w:after="0"/>
        <w:jc w:val="both"/>
        <w:rPr>
          <w:sz w:val="22"/>
        </w:rPr>
      </w:pPr>
      <w:proofErr w:type="gramStart"/>
      <w:r w:rsidRPr="00EF545E">
        <w:rPr>
          <w:sz w:val="22"/>
        </w:rPr>
        <w:t>l'apport</w:t>
      </w:r>
      <w:proofErr w:type="gramEnd"/>
      <w:r w:rsidRPr="00EF545E">
        <w:rPr>
          <w:sz w:val="22"/>
        </w:rPr>
        <w:t xml:space="preserve"> et l'attribution sont justifiés par un motif économique, se traduisant notamment par l'exercice par chacune des deux sociétés d'au moins une activité autonome ou l'amélioration de leurs structures, ainsi que par une association entre les parties ;</w:t>
      </w:r>
    </w:p>
    <w:p w14:paraId="3698BE3C" w14:textId="77777777" w:rsidR="00EF545E" w:rsidRDefault="00A348ED" w:rsidP="002061AB">
      <w:pPr>
        <w:pStyle w:val="Paragraphedeliste"/>
        <w:numPr>
          <w:ilvl w:val="0"/>
          <w:numId w:val="1"/>
        </w:numPr>
        <w:spacing w:after="0"/>
        <w:jc w:val="both"/>
        <w:rPr>
          <w:sz w:val="22"/>
        </w:rPr>
      </w:pPr>
      <w:proofErr w:type="gramStart"/>
      <w:r w:rsidRPr="00EF545E">
        <w:rPr>
          <w:sz w:val="22"/>
        </w:rPr>
        <w:t>l'apport</w:t>
      </w:r>
      <w:proofErr w:type="gramEnd"/>
      <w:r w:rsidRPr="00EF545E">
        <w:rPr>
          <w:sz w:val="22"/>
        </w:rPr>
        <w:t xml:space="preserve"> est placé sous le régime de l'article 210 A du CGI ;</w:t>
      </w:r>
    </w:p>
    <w:p w14:paraId="0A6BC49B" w14:textId="34C64D85" w:rsidR="00A348ED" w:rsidRPr="00EF545E" w:rsidRDefault="00A348ED" w:rsidP="002061AB">
      <w:pPr>
        <w:pStyle w:val="Paragraphedeliste"/>
        <w:numPr>
          <w:ilvl w:val="0"/>
          <w:numId w:val="1"/>
        </w:numPr>
        <w:spacing w:after="0"/>
        <w:jc w:val="both"/>
        <w:rPr>
          <w:sz w:val="22"/>
        </w:rPr>
      </w:pPr>
      <w:proofErr w:type="gramStart"/>
      <w:r w:rsidRPr="00EF545E">
        <w:rPr>
          <w:sz w:val="22"/>
        </w:rPr>
        <w:t>l'apport</w:t>
      </w:r>
      <w:proofErr w:type="gramEnd"/>
      <w:r w:rsidRPr="00EF545E">
        <w:rPr>
          <w:sz w:val="22"/>
        </w:rPr>
        <w:t xml:space="preserve"> et l'attribution n'ont pas comme objectif principal ou comme un de leurs objectifs principaux</w:t>
      </w:r>
      <w:r w:rsidR="00950CF0" w:rsidRPr="00EF545E">
        <w:rPr>
          <w:sz w:val="22"/>
        </w:rPr>
        <w:t xml:space="preserve"> la fraude ou l'évasion fiscale …</w:t>
      </w:r>
    </w:p>
    <w:p w14:paraId="63621BF0" w14:textId="77777777" w:rsidR="00A348ED" w:rsidRPr="00A348ED" w:rsidRDefault="00A348ED" w:rsidP="00F66488">
      <w:pPr>
        <w:spacing w:after="0"/>
        <w:jc w:val="both"/>
        <w:rPr>
          <w:sz w:val="22"/>
        </w:rPr>
      </w:pPr>
    </w:p>
    <w:p w14:paraId="45D6B7C7" w14:textId="77777777" w:rsidR="00A348ED" w:rsidRPr="00A348ED" w:rsidRDefault="00A348ED" w:rsidP="00F66488">
      <w:pPr>
        <w:spacing w:after="0"/>
        <w:jc w:val="both"/>
        <w:rPr>
          <w:sz w:val="22"/>
        </w:rPr>
      </w:pPr>
      <w:r w:rsidRPr="00A348ED">
        <w:rPr>
          <w:sz w:val="22"/>
        </w:rPr>
        <w:t>Lorsque l'attribution est faite au profit d'une entreprise, les titres répartis doivent être inscrits au bilan pour une valeur égale au produit de la valeur comptable des titres de la société apporteuse et du rapport existant, à la date de l'opération d'apport, entre la valeur réelle des titres répartis et celle des titres de la société apporteuse. La valeur comptable des titres de la société apporteuse est réduite à due concurrence.</w:t>
      </w:r>
    </w:p>
    <w:p w14:paraId="59553538" w14:textId="77777777" w:rsidR="00A348ED" w:rsidRDefault="00A348ED" w:rsidP="00F66488">
      <w:pPr>
        <w:spacing w:after="0"/>
        <w:jc w:val="both"/>
        <w:rPr>
          <w:sz w:val="22"/>
        </w:rPr>
      </w:pPr>
    </w:p>
    <w:tbl>
      <w:tblPr>
        <w:tblStyle w:val="Grilledutableau"/>
        <w:tblW w:w="0" w:type="auto"/>
        <w:tblLook w:val="04A0" w:firstRow="1" w:lastRow="0" w:firstColumn="1" w:lastColumn="0" w:noHBand="0" w:noVBand="1"/>
      </w:tblPr>
      <w:tblGrid>
        <w:gridCol w:w="9054"/>
      </w:tblGrid>
      <w:tr w:rsidR="001907C8" w14:paraId="6FDF4385" w14:textId="77777777" w:rsidTr="001907C8">
        <w:tc>
          <w:tcPr>
            <w:tcW w:w="9054" w:type="dxa"/>
            <w:shd w:val="clear" w:color="auto" w:fill="F2F2F2" w:themeFill="background1" w:themeFillShade="F2"/>
          </w:tcPr>
          <w:p w14:paraId="6440E62D" w14:textId="77777777" w:rsidR="001907C8" w:rsidRPr="001907C8" w:rsidRDefault="001907C8" w:rsidP="001907C8">
            <w:pPr>
              <w:jc w:val="both"/>
              <w:rPr>
                <w:i/>
                <w:iCs/>
                <w:sz w:val="22"/>
              </w:rPr>
            </w:pPr>
            <w:r w:rsidRPr="001907C8">
              <w:rPr>
                <w:i/>
                <w:iCs/>
                <w:sz w:val="22"/>
              </w:rPr>
              <w:t>B. Remboursement ultérieur des sommes incorporées au capital, aux capitaux propres ou aux réserves à la suite d'une scission</w:t>
            </w:r>
          </w:p>
          <w:p w14:paraId="28CB3134" w14:textId="77777777" w:rsidR="001907C8" w:rsidRPr="001907C8" w:rsidRDefault="001907C8" w:rsidP="001907C8">
            <w:pPr>
              <w:jc w:val="both"/>
              <w:rPr>
                <w:i/>
                <w:iCs/>
                <w:sz w:val="22"/>
              </w:rPr>
            </w:pPr>
            <w:r w:rsidRPr="001907C8">
              <w:rPr>
                <w:i/>
                <w:iCs/>
                <w:sz w:val="22"/>
              </w:rPr>
              <w:t>160</w:t>
            </w:r>
          </w:p>
          <w:p w14:paraId="162B5E1A" w14:textId="77777777" w:rsidR="001907C8" w:rsidRPr="001907C8" w:rsidRDefault="001907C8" w:rsidP="001907C8">
            <w:pPr>
              <w:jc w:val="both"/>
              <w:rPr>
                <w:i/>
                <w:iCs/>
                <w:sz w:val="22"/>
              </w:rPr>
            </w:pPr>
          </w:p>
          <w:p w14:paraId="18C5C67E" w14:textId="77777777" w:rsidR="001907C8" w:rsidRPr="001907C8" w:rsidRDefault="001907C8" w:rsidP="001907C8">
            <w:pPr>
              <w:jc w:val="both"/>
              <w:rPr>
                <w:i/>
                <w:iCs/>
                <w:sz w:val="22"/>
              </w:rPr>
            </w:pPr>
            <w:r w:rsidRPr="001907C8">
              <w:rPr>
                <w:i/>
                <w:iCs/>
                <w:sz w:val="22"/>
              </w:rPr>
              <w:t>Le remboursement par la société bénéficiaire des apports des titres émis à l'occasion de la scission est considéré comme une distribution de revenus (CGI, art. 112, 1°-b, CGI, art. 112, 3°-c et CGI, art. 120, 3°-b). Il en est de même des remboursements de sommes qui ont été portées aux capitaux propres de la société bénéficiaire des apports à l'occasion d'une scission sans échange de titres au sens du 3° du II de l'article L. 236-3 du C. com. en contrepartie de l'actif net reçu (CGI, art. 112, 1°, c).</w:t>
            </w:r>
          </w:p>
          <w:p w14:paraId="765C8857" w14:textId="77777777" w:rsidR="001907C8" w:rsidRPr="001907C8" w:rsidRDefault="001907C8" w:rsidP="001907C8">
            <w:pPr>
              <w:jc w:val="both"/>
              <w:rPr>
                <w:i/>
                <w:iCs/>
                <w:sz w:val="22"/>
              </w:rPr>
            </w:pPr>
          </w:p>
          <w:p w14:paraId="56E77720" w14:textId="77777777" w:rsidR="001907C8" w:rsidRPr="001907C8" w:rsidRDefault="001907C8" w:rsidP="001907C8">
            <w:pPr>
              <w:jc w:val="both"/>
              <w:rPr>
                <w:i/>
                <w:iCs/>
                <w:sz w:val="22"/>
              </w:rPr>
            </w:pPr>
            <w:r w:rsidRPr="001907C8">
              <w:rPr>
                <w:i/>
                <w:iCs/>
                <w:sz w:val="22"/>
              </w:rPr>
              <w:t>170</w:t>
            </w:r>
          </w:p>
          <w:p w14:paraId="08D1FAB1" w14:textId="77777777" w:rsidR="001907C8" w:rsidRPr="001907C8" w:rsidRDefault="001907C8" w:rsidP="001907C8">
            <w:pPr>
              <w:jc w:val="both"/>
              <w:rPr>
                <w:i/>
                <w:iCs/>
                <w:sz w:val="22"/>
              </w:rPr>
            </w:pPr>
          </w:p>
          <w:p w14:paraId="7A8B19A3" w14:textId="77777777" w:rsidR="001907C8" w:rsidRPr="001907C8" w:rsidRDefault="001907C8" w:rsidP="001907C8">
            <w:pPr>
              <w:jc w:val="both"/>
              <w:rPr>
                <w:i/>
                <w:iCs/>
                <w:sz w:val="22"/>
              </w:rPr>
            </w:pPr>
            <w:r w:rsidRPr="001907C8">
              <w:rPr>
                <w:i/>
                <w:iCs/>
                <w:sz w:val="22"/>
              </w:rPr>
              <w:t>Toutefois, dès lors qu'elle recueille une fraction de l'actif de la société scindée, chacune des sociétés bénéficiaires des apports est comptable d'une fraction proportionnelle des apports reçus originairement par la société scindée, d'une part, et du boni de la même société, d'autre part. Ainsi, la société issue de la scission peut prétendre rembourser en franchise d'impôt une somme correspondant à la fraction des apports reçus originairement par la société scindée dont elle demeure comptable dans la mesure où ces apports n'ont pas déjà été remboursés en franchise d'impôt.</w:t>
            </w:r>
          </w:p>
          <w:p w14:paraId="45636B0A" w14:textId="77777777" w:rsidR="001907C8" w:rsidRPr="001907C8" w:rsidRDefault="001907C8" w:rsidP="001907C8">
            <w:pPr>
              <w:jc w:val="both"/>
              <w:rPr>
                <w:i/>
                <w:iCs/>
                <w:sz w:val="22"/>
              </w:rPr>
            </w:pPr>
          </w:p>
          <w:p w14:paraId="120E3CF8" w14:textId="77777777" w:rsidR="001907C8" w:rsidRPr="001907C8" w:rsidRDefault="001907C8" w:rsidP="001907C8">
            <w:pPr>
              <w:jc w:val="both"/>
              <w:rPr>
                <w:i/>
                <w:iCs/>
                <w:sz w:val="22"/>
              </w:rPr>
            </w:pPr>
            <w:r w:rsidRPr="001907C8">
              <w:rPr>
                <w:i/>
                <w:iCs/>
                <w:sz w:val="22"/>
              </w:rPr>
              <w:t>Par suite, pour déterminer le montant du revenu distribué en cas de réduction de capital de la société issue de la scission non motivée par des pertes, il convient de tenir compte des dispositions du 1° de l'article 112 du CGI et du 3° de l'article 120 du CGI selon lesquelles les répartitions ne sont réputées présenter pour les associés ou les actionnaires le caractère de remboursement d'apports ou de primes d'émission que si tous les bénéfices et les réserves autres que la réserve légale ont été auparavant répartis. Ainsi, la fraction de l'actif de la société scindée ne correspondant pas à des apports de cette société, dont la société nouvelle demeure comptable, ne peut faire l'objet d'un remboursement en franchise d'impôt.</w:t>
            </w:r>
          </w:p>
          <w:p w14:paraId="0DB64C56" w14:textId="4C2BBE25" w:rsidR="001907C8" w:rsidRDefault="001907C8" w:rsidP="001907C8">
            <w:pPr>
              <w:jc w:val="both"/>
              <w:rPr>
                <w:i/>
                <w:iCs/>
                <w:sz w:val="22"/>
              </w:rPr>
            </w:pPr>
          </w:p>
          <w:p w14:paraId="4C5B913A" w14:textId="2F440841" w:rsidR="001907C8" w:rsidRDefault="001907C8" w:rsidP="001907C8">
            <w:pPr>
              <w:jc w:val="both"/>
              <w:rPr>
                <w:sz w:val="22"/>
              </w:rPr>
            </w:pPr>
            <w:r w:rsidRPr="001907C8">
              <w:rPr>
                <w:sz w:val="22"/>
              </w:rPr>
              <w:lastRenderedPageBreak/>
              <w:t>https://bofip.impots.gouv.fr/bofip/3424-PGP.html/identifiant%3DBOI-RPPM-RCM-10-20-30-30-20200603#:~:text=Ainsi%2C%20la%20société%20issue%20de,remboursés%20en%20franchise%20d'impôt.</w:t>
            </w:r>
          </w:p>
        </w:tc>
      </w:tr>
    </w:tbl>
    <w:p w14:paraId="697454E3" w14:textId="77777777" w:rsidR="001907C8" w:rsidRPr="00A348ED" w:rsidRDefault="001907C8" w:rsidP="00F66488">
      <w:pPr>
        <w:spacing w:after="0"/>
        <w:jc w:val="both"/>
        <w:rPr>
          <w:sz w:val="22"/>
        </w:rPr>
      </w:pPr>
    </w:p>
    <w:p w14:paraId="34E77CB6" w14:textId="77777777" w:rsidR="002E7257" w:rsidRDefault="00D84822" w:rsidP="00F66488">
      <w:pPr>
        <w:spacing w:after="0"/>
        <w:jc w:val="both"/>
        <w:rPr>
          <w:sz w:val="22"/>
        </w:rPr>
      </w:pPr>
      <w:r>
        <w:rPr>
          <w:sz w:val="22"/>
        </w:rPr>
        <w:t xml:space="preserve"> </w:t>
      </w:r>
    </w:p>
    <w:p w14:paraId="4F98468A" w14:textId="77777777" w:rsidR="00B02E33" w:rsidRDefault="00B02E33" w:rsidP="00F66488">
      <w:pPr>
        <w:spacing w:after="0"/>
        <w:jc w:val="both"/>
        <w:rPr>
          <w:sz w:val="22"/>
        </w:rPr>
      </w:pPr>
    </w:p>
    <w:p w14:paraId="1FD7020A" w14:textId="77777777" w:rsidR="00F66488" w:rsidRDefault="00F66488" w:rsidP="00F66488">
      <w:pPr>
        <w:spacing w:after="0"/>
        <w:jc w:val="both"/>
        <w:rPr>
          <w:sz w:val="22"/>
        </w:rPr>
      </w:pPr>
    </w:p>
    <w:p w14:paraId="1675EE4F" w14:textId="77777777" w:rsidR="00F66488" w:rsidRDefault="00F66488" w:rsidP="00F66488">
      <w:pPr>
        <w:spacing w:after="0"/>
        <w:jc w:val="both"/>
        <w:rPr>
          <w:sz w:val="22"/>
        </w:rPr>
      </w:pPr>
    </w:p>
    <w:p w14:paraId="45441AC6" w14:textId="63E578C9" w:rsidR="00F66488" w:rsidRDefault="00555EDE" w:rsidP="00555EDE">
      <w:pPr>
        <w:pBdr>
          <w:top w:val="single" w:sz="4" w:space="1" w:color="auto"/>
          <w:left w:val="single" w:sz="4" w:space="4" w:color="auto"/>
          <w:bottom w:val="single" w:sz="4" w:space="1" w:color="auto"/>
          <w:right w:val="single" w:sz="4" w:space="4" w:color="auto"/>
        </w:pBdr>
        <w:spacing w:after="0"/>
        <w:jc w:val="center"/>
        <w:rPr>
          <w:b/>
          <w:bCs/>
          <w:sz w:val="22"/>
        </w:rPr>
      </w:pPr>
      <w:r w:rsidRPr="00555EDE">
        <w:rPr>
          <w:b/>
          <w:bCs/>
          <w:sz w:val="22"/>
        </w:rPr>
        <w:t>TERMINOLOGIE</w:t>
      </w:r>
    </w:p>
    <w:p w14:paraId="7557B3EC" w14:textId="409E5D12" w:rsidR="00555EDE" w:rsidRDefault="00555EDE" w:rsidP="00555EDE">
      <w:pPr>
        <w:spacing w:after="0"/>
        <w:jc w:val="center"/>
        <w:rPr>
          <w:b/>
          <w:bCs/>
          <w:sz w:val="22"/>
        </w:rPr>
      </w:pPr>
    </w:p>
    <w:tbl>
      <w:tblPr>
        <w:tblStyle w:val="Grilledutableau"/>
        <w:tblW w:w="0" w:type="auto"/>
        <w:tblLook w:val="04A0" w:firstRow="1" w:lastRow="0" w:firstColumn="1" w:lastColumn="0" w:noHBand="0" w:noVBand="1"/>
      </w:tblPr>
      <w:tblGrid>
        <w:gridCol w:w="2547"/>
        <w:gridCol w:w="6507"/>
      </w:tblGrid>
      <w:tr w:rsidR="00555EDE" w14:paraId="7CFB5F52" w14:textId="77777777" w:rsidTr="00A50FB9">
        <w:tc>
          <w:tcPr>
            <w:tcW w:w="2547" w:type="dxa"/>
          </w:tcPr>
          <w:p w14:paraId="5E9DC093" w14:textId="77777777" w:rsidR="00555EDE" w:rsidRPr="00555EDE" w:rsidRDefault="00555EDE" w:rsidP="00555EDE">
            <w:pPr>
              <w:pStyle w:val="Titre1"/>
              <w:spacing w:before="0"/>
              <w:jc w:val="center"/>
              <w:rPr>
                <w:rFonts w:ascii="Arial" w:hAnsi="Arial"/>
                <w:color w:val="000000" w:themeColor="text1"/>
                <w:sz w:val="24"/>
              </w:rPr>
            </w:pPr>
            <w:r w:rsidRPr="00555EDE">
              <w:rPr>
                <w:rFonts w:ascii="Arial" w:hAnsi="Arial"/>
                <w:color w:val="000000" w:themeColor="text1"/>
                <w:sz w:val="24"/>
              </w:rPr>
              <w:t>PRIME DE FUSION</w:t>
            </w:r>
          </w:p>
          <w:p w14:paraId="1CA5C5D6" w14:textId="77777777" w:rsidR="00555EDE" w:rsidRPr="00555EDE" w:rsidRDefault="00555EDE" w:rsidP="00555EDE">
            <w:pPr>
              <w:jc w:val="center"/>
              <w:rPr>
                <w:b/>
                <w:bCs/>
                <w:sz w:val="22"/>
              </w:rPr>
            </w:pPr>
          </w:p>
        </w:tc>
        <w:tc>
          <w:tcPr>
            <w:tcW w:w="6507" w:type="dxa"/>
          </w:tcPr>
          <w:p w14:paraId="1EA36235" w14:textId="7C8320A4" w:rsidR="00555EDE" w:rsidRPr="00555EDE" w:rsidRDefault="00555EDE" w:rsidP="00555EDE">
            <w:pPr>
              <w:jc w:val="both"/>
              <w:rPr>
                <w:color w:val="000000" w:themeColor="text1"/>
              </w:rPr>
            </w:pPr>
            <w:r>
              <w:rPr>
                <w:color w:val="000000" w:themeColor="text1"/>
              </w:rPr>
              <w:t>D</w:t>
            </w:r>
            <w:r w:rsidRPr="00C51A1E">
              <w:rPr>
                <w:color w:val="000000" w:themeColor="text1"/>
              </w:rPr>
              <w:t>ifférence entre la valeur réelle de l'apport et l'augmentation de capital correspondante</w:t>
            </w:r>
          </w:p>
        </w:tc>
      </w:tr>
      <w:tr w:rsidR="00555EDE" w14:paraId="22E7B554" w14:textId="77777777" w:rsidTr="00A50FB9">
        <w:tc>
          <w:tcPr>
            <w:tcW w:w="2547" w:type="dxa"/>
          </w:tcPr>
          <w:p w14:paraId="5284C559" w14:textId="04B644EF" w:rsidR="00555EDE" w:rsidRPr="00555EDE" w:rsidRDefault="00555EDE" w:rsidP="00555EDE">
            <w:pPr>
              <w:pStyle w:val="Titre2"/>
              <w:spacing w:before="0"/>
              <w:jc w:val="center"/>
              <w:rPr>
                <w:rFonts w:ascii="Arial" w:hAnsi="Arial"/>
                <w:color w:val="000000" w:themeColor="text1"/>
                <w:sz w:val="24"/>
              </w:rPr>
            </w:pPr>
            <w:r w:rsidRPr="00555EDE">
              <w:rPr>
                <w:rFonts w:ascii="Arial" w:hAnsi="Arial"/>
                <w:color w:val="000000" w:themeColor="text1"/>
                <w:sz w:val="24"/>
              </w:rPr>
              <w:t>PLUS-VALUE DE FUSION</w:t>
            </w:r>
          </w:p>
        </w:tc>
        <w:tc>
          <w:tcPr>
            <w:tcW w:w="6507" w:type="dxa"/>
          </w:tcPr>
          <w:p w14:paraId="4A93CB36" w14:textId="4BF1577D" w:rsidR="00555EDE" w:rsidRPr="00555EDE" w:rsidRDefault="00555EDE" w:rsidP="00555EDE">
            <w:pPr>
              <w:jc w:val="both"/>
              <w:rPr>
                <w:color w:val="000000" w:themeColor="text1"/>
              </w:rPr>
            </w:pPr>
            <w:r>
              <w:rPr>
                <w:color w:val="000000" w:themeColor="text1"/>
              </w:rPr>
              <w:t>R</w:t>
            </w:r>
            <w:r w:rsidRPr="00C51A1E">
              <w:rPr>
                <w:color w:val="000000" w:themeColor="text1"/>
              </w:rPr>
              <w:t>éalisée par la société absorbée, différence entre la valeur d'apport et la valeur comptable</w:t>
            </w:r>
          </w:p>
        </w:tc>
      </w:tr>
      <w:tr w:rsidR="00555EDE" w14:paraId="495E7311" w14:textId="77777777" w:rsidTr="00A50FB9">
        <w:tc>
          <w:tcPr>
            <w:tcW w:w="2547" w:type="dxa"/>
          </w:tcPr>
          <w:p w14:paraId="2E2421C5" w14:textId="1674A4D1" w:rsidR="00555EDE" w:rsidRPr="00555EDE" w:rsidRDefault="00555EDE" w:rsidP="00555EDE">
            <w:pPr>
              <w:pStyle w:val="Titre2"/>
              <w:spacing w:before="0"/>
              <w:jc w:val="center"/>
              <w:rPr>
                <w:rFonts w:ascii="Arial" w:hAnsi="Arial"/>
                <w:color w:val="000000" w:themeColor="text1"/>
                <w:sz w:val="24"/>
              </w:rPr>
            </w:pPr>
            <w:r w:rsidRPr="00555EDE">
              <w:rPr>
                <w:rFonts w:ascii="Arial" w:hAnsi="Arial"/>
                <w:color w:val="000000" w:themeColor="text1"/>
                <w:sz w:val="24"/>
              </w:rPr>
              <w:t>BONI DE FUSION</w:t>
            </w:r>
          </w:p>
        </w:tc>
        <w:tc>
          <w:tcPr>
            <w:tcW w:w="6507" w:type="dxa"/>
          </w:tcPr>
          <w:p w14:paraId="3B305CA1" w14:textId="67BCDCDF" w:rsidR="00555EDE" w:rsidRPr="00555EDE" w:rsidRDefault="00555EDE" w:rsidP="00555EDE">
            <w:pPr>
              <w:jc w:val="both"/>
              <w:rPr>
                <w:color w:val="000000" w:themeColor="text1"/>
              </w:rPr>
            </w:pPr>
            <w:r>
              <w:rPr>
                <w:color w:val="000000" w:themeColor="text1"/>
              </w:rPr>
              <w:t>D</w:t>
            </w:r>
            <w:r w:rsidRPr="00C51A1E">
              <w:rPr>
                <w:color w:val="000000" w:themeColor="text1"/>
              </w:rPr>
              <w:t>istribué aux actionnaires de la société absorbée, différence entre la valeur réelle de l’actif net et le capital</w:t>
            </w:r>
          </w:p>
        </w:tc>
      </w:tr>
    </w:tbl>
    <w:p w14:paraId="16654A97" w14:textId="77777777" w:rsidR="00555EDE" w:rsidRPr="00555EDE" w:rsidRDefault="00555EDE" w:rsidP="00555EDE">
      <w:pPr>
        <w:spacing w:after="0"/>
        <w:jc w:val="both"/>
        <w:rPr>
          <w:sz w:val="22"/>
        </w:rPr>
      </w:pPr>
    </w:p>
    <w:p w14:paraId="789103F6" w14:textId="77777777" w:rsidR="00555EDE" w:rsidRPr="00C51A1E" w:rsidRDefault="00555EDE" w:rsidP="00555EDE">
      <w:pPr>
        <w:spacing w:after="0"/>
        <w:rPr>
          <w:color w:val="000000" w:themeColor="text1"/>
        </w:rPr>
      </w:pPr>
    </w:p>
    <w:p w14:paraId="25794B73" w14:textId="77777777" w:rsidR="00555EDE" w:rsidRPr="00C51A1E" w:rsidRDefault="00555EDE" w:rsidP="00555EDE">
      <w:pPr>
        <w:spacing w:after="0"/>
        <w:rPr>
          <w:color w:val="000000" w:themeColor="text1"/>
        </w:rPr>
      </w:pPr>
    </w:p>
    <w:p w14:paraId="60C4021B" w14:textId="77777777" w:rsidR="00F66488" w:rsidRDefault="00F66488" w:rsidP="00F66488">
      <w:pPr>
        <w:spacing w:after="0"/>
        <w:jc w:val="both"/>
        <w:rPr>
          <w:sz w:val="22"/>
        </w:rPr>
      </w:pPr>
    </w:p>
    <w:p w14:paraId="5A91C064" w14:textId="77777777" w:rsidR="007021C1" w:rsidRPr="008C5D8D" w:rsidRDefault="007021C1" w:rsidP="00F66488">
      <w:pPr>
        <w:spacing w:after="0"/>
        <w:jc w:val="both"/>
        <w:rPr>
          <w:sz w:val="22"/>
        </w:rPr>
      </w:pPr>
    </w:p>
    <w:sectPr w:rsidR="007021C1" w:rsidRPr="008C5D8D" w:rsidSect="007021C1">
      <w:footerReference w:type="even" r:id="rId8"/>
      <w:footerReference w:type="default" r:id="rId9"/>
      <w:pgSz w:w="11900" w:h="16840"/>
      <w:pgMar w:top="1418" w:right="1418" w:bottom="1418" w:left="1418" w:header="709" w:footer="70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B18846D" w14:textId="77777777" w:rsidR="003538B1" w:rsidRDefault="003538B1">
      <w:pPr>
        <w:spacing w:after="0"/>
      </w:pPr>
      <w:r>
        <w:separator/>
      </w:r>
    </w:p>
  </w:endnote>
  <w:endnote w:type="continuationSeparator" w:id="0">
    <w:p w14:paraId="589E633F" w14:textId="77777777" w:rsidR="003538B1" w:rsidRDefault="003538B1">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0000500000000020000"/>
    <w:charset w:val="00"/>
    <w:family w:val="auto"/>
    <w:pitch w:val="variable"/>
    <w:sig w:usb0="E00002FF" w:usb1="5000205A" w:usb2="00000000" w:usb3="00000000" w:csb0="0000019F" w:csb1="00000000"/>
  </w:font>
  <w:font w:name="Tahoma,Bold">
    <w:altName w:val="Tahoma"/>
    <w:panose1 w:val="020B0604020202020204"/>
    <w:charset w:val="00"/>
    <w:family w:val="roman"/>
    <w:notTrueType/>
    <w:pitch w:val="default"/>
  </w:font>
  <w:font w:name="ArialMT">
    <w:altName w:val="Arial"/>
    <w:panose1 w:val="020B0604020202020204"/>
    <w:charset w:val="4D"/>
    <w:family w:val="swiss"/>
    <w:notTrueType/>
    <w:pitch w:val="default"/>
    <w:sig w:usb0="03000000" w:usb1="00000000" w:usb2="00000000" w:usb3="00000000" w:csb0="00000001" w:csb1="00000000"/>
  </w:font>
  <w:font w:name="Times New Roman (Corps CS)">
    <w:panose1 w:val="020B060402020202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0DC7DB" w14:textId="77777777" w:rsidR="00F66488" w:rsidRDefault="00F66488" w:rsidP="00F66488">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14:paraId="66B9211B" w14:textId="77777777" w:rsidR="00F66488" w:rsidRDefault="00F66488" w:rsidP="00F75044">
    <w:pPr>
      <w:pStyle w:val="Pieddepag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DBF682" w14:textId="77777777" w:rsidR="00F66488" w:rsidRDefault="00F66488" w:rsidP="00F66488">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separate"/>
    </w:r>
    <w:r w:rsidR="003D22F6">
      <w:rPr>
        <w:rStyle w:val="Numrodepage"/>
        <w:noProof/>
      </w:rPr>
      <w:t>9</w:t>
    </w:r>
    <w:r>
      <w:rPr>
        <w:rStyle w:val="Numrodepage"/>
      </w:rPr>
      <w:fldChar w:fldCharType="end"/>
    </w:r>
  </w:p>
  <w:p w14:paraId="7C8CB90E" w14:textId="77777777" w:rsidR="00F66488" w:rsidRDefault="00F66488" w:rsidP="00F75044">
    <w:pPr>
      <w:pStyle w:val="Pieddepage"/>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AB3173" w14:textId="77777777" w:rsidR="003538B1" w:rsidRDefault="003538B1">
      <w:pPr>
        <w:spacing w:after="0"/>
      </w:pPr>
      <w:r>
        <w:separator/>
      </w:r>
    </w:p>
  </w:footnote>
  <w:footnote w:type="continuationSeparator" w:id="0">
    <w:p w14:paraId="708A3BC9" w14:textId="77777777" w:rsidR="003538B1" w:rsidRDefault="003538B1">
      <w:pPr>
        <w:spacing w:after="0"/>
      </w:pPr>
      <w:r>
        <w:continuationSeparator/>
      </w:r>
    </w:p>
  </w:footnote>
  <w:footnote w:id="1">
    <w:p w14:paraId="646E98BE" w14:textId="23EB23F7" w:rsidR="00703652" w:rsidRPr="006A6E25" w:rsidRDefault="00703652" w:rsidP="006A6E25">
      <w:pPr>
        <w:spacing w:after="0"/>
        <w:jc w:val="both"/>
        <w:rPr>
          <w:sz w:val="22"/>
        </w:rPr>
      </w:pPr>
      <w:r>
        <w:rPr>
          <w:rStyle w:val="Appelnotedebasdep"/>
        </w:rPr>
        <w:footnoteRef/>
      </w:r>
      <w:r>
        <w:t xml:space="preserve"> </w:t>
      </w:r>
      <w:r w:rsidR="006A6E25">
        <w:rPr>
          <w:sz w:val="22"/>
        </w:rPr>
        <w:t>Code de commerce article L 236-1</w:t>
      </w:r>
    </w:p>
  </w:footnote>
  <w:footnote w:id="2">
    <w:p w14:paraId="7A15146F" w14:textId="45371A8A" w:rsidR="00CE47FC" w:rsidRPr="00CE47FC" w:rsidRDefault="00CE47FC" w:rsidP="00CE47FC">
      <w:pPr>
        <w:rPr>
          <w:rFonts w:eastAsia="Times New Roman" w:cs="Arial"/>
          <w:sz w:val="22"/>
          <w:szCs w:val="22"/>
          <w:lang w:eastAsia="fr-FR"/>
        </w:rPr>
      </w:pPr>
      <w:r w:rsidRPr="00CE47FC">
        <w:rPr>
          <w:rStyle w:val="Appelnotedebasdep"/>
          <w:rFonts w:cs="Arial"/>
          <w:sz w:val="22"/>
          <w:szCs w:val="22"/>
        </w:rPr>
        <w:footnoteRef/>
      </w:r>
      <w:r w:rsidRPr="00CE47FC">
        <w:rPr>
          <w:rFonts w:cs="Arial"/>
          <w:sz w:val="22"/>
          <w:szCs w:val="22"/>
        </w:rPr>
        <w:t xml:space="preserve"> </w:t>
      </w:r>
      <w:r>
        <w:rPr>
          <w:rFonts w:cs="Arial"/>
          <w:sz w:val="22"/>
          <w:szCs w:val="22"/>
        </w:rPr>
        <w:t xml:space="preserve">Pour la fusion simplifiée, </w:t>
      </w:r>
      <w:r w:rsidRPr="00CE47FC">
        <w:rPr>
          <w:rFonts w:eastAsia="Times New Roman" w:cs="Arial"/>
          <w:sz w:val="22"/>
          <w:szCs w:val="22"/>
          <w:lang w:eastAsia="fr-FR"/>
        </w:rPr>
        <w:t>l'intervention d'un commissaire à la fusion et d'un commissaire aux apports n'est pas nécessaire. </w:t>
      </w:r>
    </w:p>
    <w:p w14:paraId="26B14F44" w14:textId="15BDDD17" w:rsidR="00CE47FC" w:rsidRDefault="00CE47FC">
      <w:pPr>
        <w:pStyle w:val="Notedebasdepage"/>
      </w:pPr>
    </w:p>
  </w:footnote>
  <w:footnote w:id="3">
    <w:p w14:paraId="6A06D61A" w14:textId="22EEC906" w:rsidR="00A01E84" w:rsidRDefault="00A01E84" w:rsidP="00A01E84">
      <w:pPr>
        <w:pStyle w:val="NormalWeb"/>
      </w:pPr>
      <w:r>
        <w:rPr>
          <w:rStyle w:val="Appelnotedebasdep"/>
        </w:rPr>
        <w:footnoteRef/>
      </w:r>
      <w:r>
        <w:t xml:space="preserve"> PCG </w:t>
      </w:r>
      <w:r>
        <w:rPr>
          <w:rFonts w:ascii="Tahoma,Bold" w:hAnsi="Tahoma,Bold"/>
          <w:sz w:val="20"/>
          <w:szCs w:val="20"/>
        </w:rPr>
        <w:t xml:space="preserve">Art. 742-1 </w:t>
      </w:r>
    </w:p>
  </w:footnote>
  <w:footnote w:id="4">
    <w:p w14:paraId="21C427BD" w14:textId="66EAE649" w:rsidR="00A33346" w:rsidRDefault="00A33346">
      <w:pPr>
        <w:pStyle w:val="Notedebasdepage"/>
      </w:pPr>
      <w:r>
        <w:rPr>
          <w:rStyle w:val="Appelnotedebasdep"/>
        </w:rPr>
        <w:footnoteRef/>
      </w:r>
      <w:r>
        <w:t xml:space="preserve"> </w:t>
      </w:r>
      <w:proofErr w:type="gramStart"/>
      <w:r>
        <w:t>CGI  art.</w:t>
      </w:r>
      <w:proofErr w:type="gramEnd"/>
      <w:r>
        <w:t xml:space="preserve"> 210 C</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5D0380"/>
    <w:multiLevelType w:val="hybridMultilevel"/>
    <w:tmpl w:val="7F601E78"/>
    <w:lvl w:ilvl="0" w:tplc="3ED872F4">
      <w:start w:val="2"/>
      <w:numFmt w:val="bullet"/>
      <w:lvlText w:val="-"/>
      <w:lvlJc w:val="left"/>
      <w:pPr>
        <w:ind w:left="720" w:hanging="360"/>
      </w:pPr>
      <w:rPr>
        <w:rFonts w:ascii="Arial" w:eastAsiaTheme="minorHAnsi" w:hAnsi="Arial" w:cstheme="minorBidi"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371A3080"/>
    <w:multiLevelType w:val="hybridMultilevel"/>
    <w:tmpl w:val="4B7C6B1E"/>
    <w:lvl w:ilvl="0" w:tplc="040C0019">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4D1146F5"/>
    <w:multiLevelType w:val="hybridMultilevel"/>
    <w:tmpl w:val="3956F86A"/>
    <w:lvl w:ilvl="0" w:tplc="B9C8C634">
      <w:numFmt w:val="bullet"/>
      <w:lvlText w:val="-"/>
      <w:lvlJc w:val="left"/>
      <w:pPr>
        <w:ind w:left="720" w:hanging="360"/>
      </w:pPr>
      <w:rPr>
        <w:rFonts w:ascii="Arial" w:eastAsiaTheme="minorHAnsi" w:hAnsi="Arial" w:cstheme="minorBidi"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6BB12DF9"/>
    <w:multiLevelType w:val="hybridMultilevel"/>
    <w:tmpl w:val="2B9A2C36"/>
    <w:lvl w:ilvl="0" w:tplc="1BF84C94">
      <w:start w:val="2"/>
      <w:numFmt w:val="bullet"/>
      <w:lvlText w:val="–"/>
      <w:lvlJc w:val="left"/>
      <w:pPr>
        <w:ind w:left="720" w:hanging="360"/>
      </w:pPr>
      <w:rPr>
        <w:rFonts w:ascii="Arial" w:eastAsiaTheme="minorHAnsi" w:hAnsi="Arial" w:cstheme="minorBidi"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090201968">
    <w:abstractNumId w:val="0"/>
  </w:num>
  <w:num w:numId="2" w16cid:durableId="166409026">
    <w:abstractNumId w:val="1"/>
  </w:num>
  <w:num w:numId="3" w16cid:durableId="712461010">
    <w:abstractNumId w:val="3"/>
  </w:num>
  <w:num w:numId="4" w16cid:durableId="20082343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5"/>
  <w:embedSystemFonts/>
  <w:proofState w:spelling="clean" w:grammar="clean"/>
  <w:defaultTabStop w:val="708"/>
  <w:hyphenationZone w:val="425"/>
  <w:displayHorizontalDrawingGridEvery w:val="0"/>
  <w:displayVerticalDrawingGridEvery w:val="0"/>
  <w:doNotUseMarginsForDrawingGridOrigin/>
  <w:noPunctuationKerning/>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5D8D"/>
    <w:rsid w:val="000433A4"/>
    <w:rsid w:val="00054CCA"/>
    <w:rsid w:val="00077F58"/>
    <w:rsid w:val="00094BC2"/>
    <w:rsid w:val="000A2248"/>
    <w:rsid w:val="000C78B3"/>
    <w:rsid w:val="000D31F8"/>
    <w:rsid w:val="000E5E13"/>
    <w:rsid w:val="00102A0F"/>
    <w:rsid w:val="00121DB6"/>
    <w:rsid w:val="00151454"/>
    <w:rsid w:val="00157D7E"/>
    <w:rsid w:val="00181EC7"/>
    <w:rsid w:val="001907C8"/>
    <w:rsid w:val="00193403"/>
    <w:rsid w:val="00197BF4"/>
    <w:rsid w:val="001E407F"/>
    <w:rsid w:val="002061AB"/>
    <w:rsid w:val="00216F1E"/>
    <w:rsid w:val="00243EB9"/>
    <w:rsid w:val="00255B55"/>
    <w:rsid w:val="00290918"/>
    <w:rsid w:val="00295BB0"/>
    <w:rsid w:val="002C5470"/>
    <w:rsid w:val="002D3FF9"/>
    <w:rsid w:val="002D75F7"/>
    <w:rsid w:val="002E7257"/>
    <w:rsid w:val="003023F1"/>
    <w:rsid w:val="00321070"/>
    <w:rsid w:val="003252C5"/>
    <w:rsid w:val="003279AE"/>
    <w:rsid w:val="00332357"/>
    <w:rsid w:val="003437AA"/>
    <w:rsid w:val="003538B1"/>
    <w:rsid w:val="00372BA8"/>
    <w:rsid w:val="00383DA0"/>
    <w:rsid w:val="003A79BC"/>
    <w:rsid w:val="003D2205"/>
    <w:rsid w:val="003D22F6"/>
    <w:rsid w:val="00406413"/>
    <w:rsid w:val="0043247B"/>
    <w:rsid w:val="004372BB"/>
    <w:rsid w:val="00481299"/>
    <w:rsid w:val="00486D10"/>
    <w:rsid w:val="004876DC"/>
    <w:rsid w:val="00494859"/>
    <w:rsid w:val="004D3003"/>
    <w:rsid w:val="00501235"/>
    <w:rsid w:val="00555EDE"/>
    <w:rsid w:val="00563E51"/>
    <w:rsid w:val="00594BA3"/>
    <w:rsid w:val="005E297B"/>
    <w:rsid w:val="005F3CE1"/>
    <w:rsid w:val="00621A1D"/>
    <w:rsid w:val="006406E2"/>
    <w:rsid w:val="006515D4"/>
    <w:rsid w:val="0065331F"/>
    <w:rsid w:val="0066678A"/>
    <w:rsid w:val="0069504B"/>
    <w:rsid w:val="006A6E25"/>
    <w:rsid w:val="006D0C0D"/>
    <w:rsid w:val="006F669C"/>
    <w:rsid w:val="007021C1"/>
    <w:rsid w:val="00703652"/>
    <w:rsid w:val="00710FEC"/>
    <w:rsid w:val="00723837"/>
    <w:rsid w:val="00745DFE"/>
    <w:rsid w:val="00790FCA"/>
    <w:rsid w:val="007A5977"/>
    <w:rsid w:val="007B016F"/>
    <w:rsid w:val="00812B3B"/>
    <w:rsid w:val="00887179"/>
    <w:rsid w:val="00894788"/>
    <w:rsid w:val="008A105F"/>
    <w:rsid w:val="008C4479"/>
    <w:rsid w:val="008C5D8D"/>
    <w:rsid w:val="00905E13"/>
    <w:rsid w:val="009166FC"/>
    <w:rsid w:val="009277C9"/>
    <w:rsid w:val="00950CF0"/>
    <w:rsid w:val="009644CD"/>
    <w:rsid w:val="0096678F"/>
    <w:rsid w:val="009964AB"/>
    <w:rsid w:val="009A0A49"/>
    <w:rsid w:val="009B63D7"/>
    <w:rsid w:val="009C0652"/>
    <w:rsid w:val="009C42C8"/>
    <w:rsid w:val="00A01E84"/>
    <w:rsid w:val="00A06B56"/>
    <w:rsid w:val="00A33346"/>
    <w:rsid w:val="00A348ED"/>
    <w:rsid w:val="00A475FE"/>
    <w:rsid w:val="00A50FB9"/>
    <w:rsid w:val="00A970B5"/>
    <w:rsid w:val="00AA0918"/>
    <w:rsid w:val="00AD42D4"/>
    <w:rsid w:val="00AE31C6"/>
    <w:rsid w:val="00AE5516"/>
    <w:rsid w:val="00B02E33"/>
    <w:rsid w:val="00B31F32"/>
    <w:rsid w:val="00B33570"/>
    <w:rsid w:val="00B42D5C"/>
    <w:rsid w:val="00B500FB"/>
    <w:rsid w:val="00B56CA2"/>
    <w:rsid w:val="00BC28EB"/>
    <w:rsid w:val="00BC3A9B"/>
    <w:rsid w:val="00BC592D"/>
    <w:rsid w:val="00BC5E86"/>
    <w:rsid w:val="00BD5745"/>
    <w:rsid w:val="00BE6ABB"/>
    <w:rsid w:val="00BF6BBF"/>
    <w:rsid w:val="00C02129"/>
    <w:rsid w:val="00C13AF3"/>
    <w:rsid w:val="00C359DD"/>
    <w:rsid w:val="00C376A4"/>
    <w:rsid w:val="00C72927"/>
    <w:rsid w:val="00C83118"/>
    <w:rsid w:val="00C93AE1"/>
    <w:rsid w:val="00CA2806"/>
    <w:rsid w:val="00CE47FC"/>
    <w:rsid w:val="00CF5910"/>
    <w:rsid w:val="00D32147"/>
    <w:rsid w:val="00D84822"/>
    <w:rsid w:val="00D92567"/>
    <w:rsid w:val="00DC4880"/>
    <w:rsid w:val="00DF4457"/>
    <w:rsid w:val="00E015D1"/>
    <w:rsid w:val="00E03EBE"/>
    <w:rsid w:val="00E158C4"/>
    <w:rsid w:val="00E16B4B"/>
    <w:rsid w:val="00E235EC"/>
    <w:rsid w:val="00E423E9"/>
    <w:rsid w:val="00E43D53"/>
    <w:rsid w:val="00EA4FA0"/>
    <w:rsid w:val="00EE6DF1"/>
    <w:rsid w:val="00EF545E"/>
    <w:rsid w:val="00F2029B"/>
    <w:rsid w:val="00F55E0F"/>
    <w:rsid w:val="00F66488"/>
    <w:rsid w:val="00F665B1"/>
    <w:rsid w:val="00F75044"/>
    <w:rsid w:val="00F92524"/>
    <w:rsid w:val="00F97044"/>
    <w:rsid w:val="00FD5BEF"/>
    <w:rsid w:val="00FD5D97"/>
  </w:rsids>
  <m:mathPr>
    <m:mathFont m:val="Cambria Math"/>
    <m:brkBin m:val="before"/>
    <m:brkBinSub m:val="--"/>
    <m:smallFrac m:val="0"/>
    <m:dispDef m:val="0"/>
    <m:lMargin m:val="0"/>
    <m:rMargin m:val="0"/>
    <m:defJc m:val="centerGroup"/>
    <m:wrapRight/>
    <m:intLim m:val="subSup"/>
    <m:naryLim m:val="subSup"/>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5CAE77E0"/>
  <w15:docId w15:val="{95A0240C-75D1-164E-94F0-4FBE7C17C4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fr-FR" w:eastAsia="en-US" w:bidi="ar-SA"/>
      </w:rPr>
    </w:rPrDefault>
    <w:pPrDefault>
      <w:pPr>
        <w:spacing w:after="200"/>
      </w:pPr>
    </w:pPrDefault>
  </w:docDefaults>
  <w:latentStyles w:defLockedState="0" w:defUIPriority="0" w:defSemiHidden="0" w:defUnhideWhenUsed="0" w:defQFormat="0" w:count="376">
    <w:lsdException w:name="heading 5"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Bullet 2" w:semiHidden="1" w:unhideWhenUsed="1"/>
    <w:lsdException w:name="List Bullet 3"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E0471"/>
    <w:rPr>
      <w:rFonts w:ascii="Arial" w:hAnsi="Arial"/>
    </w:rPr>
  </w:style>
  <w:style w:type="paragraph" w:styleId="Titre1">
    <w:name w:val="heading 1"/>
    <w:basedOn w:val="Normal"/>
    <w:next w:val="Normal"/>
    <w:link w:val="Titre1Car"/>
    <w:rsid w:val="00F7504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Titre2">
    <w:name w:val="heading 2"/>
    <w:basedOn w:val="Normal"/>
    <w:next w:val="Normal"/>
    <w:link w:val="Titre2Car"/>
    <w:rsid w:val="00102A0F"/>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tyle1">
    <w:name w:val="Style1"/>
    <w:basedOn w:val="Normal"/>
    <w:qFormat/>
    <w:rsid w:val="00FA7B30"/>
    <w:pPr>
      <w:tabs>
        <w:tab w:val="left" w:pos="0"/>
        <w:tab w:val="left" w:pos="7088"/>
        <w:tab w:val="right" w:pos="10080"/>
      </w:tabs>
      <w:spacing w:after="0"/>
      <w:jc w:val="center"/>
    </w:pPr>
    <w:rPr>
      <w:rFonts w:eastAsia="Times" w:cs="Times New Roman"/>
      <w:sz w:val="32"/>
      <w:szCs w:val="20"/>
      <w:lang w:eastAsia="fr-FR"/>
    </w:rPr>
  </w:style>
  <w:style w:type="paragraph" w:styleId="Paragraphedeliste">
    <w:name w:val="List Paragraph"/>
    <w:basedOn w:val="Normal"/>
    <w:uiPriority w:val="34"/>
    <w:qFormat/>
    <w:rsid w:val="008C5D8D"/>
    <w:pPr>
      <w:ind w:left="720"/>
      <w:contextualSpacing/>
    </w:pPr>
  </w:style>
  <w:style w:type="paragraph" w:styleId="Pieddepage">
    <w:name w:val="footer"/>
    <w:basedOn w:val="Normal"/>
    <w:link w:val="PieddepageCar"/>
    <w:rsid w:val="00F75044"/>
    <w:pPr>
      <w:tabs>
        <w:tab w:val="center" w:pos="4536"/>
        <w:tab w:val="right" w:pos="9072"/>
      </w:tabs>
      <w:spacing w:after="0"/>
    </w:pPr>
  </w:style>
  <w:style w:type="character" w:customStyle="1" w:styleId="PieddepageCar">
    <w:name w:val="Pied de page Car"/>
    <w:basedOn w:val="Policepardfaut"/>
    <w:link w:val="Pieddepage"/>
    <w:rsid w:val="00F75044"/>
    <w:rPr>
      <w:rFonts w:ascii="Arial" w:hAnsi="Arial"/>
    </w:rPr>
  </w:style>
  <w:style w:type="character" w:styleId="Numrodepage">
    <w:name w:val="page number"/>
    <w:basedOn w:val="Policepardfaut"/>
    <w:rsid w:val="00F75044"/>
  </w:style>
  <w:style w:type="character" w:customStyle="1" w:styleId="Titre1Car">
    <w:name w:val="Titre 1 Car"/>
    <w:basedOn w:val="Policepardfaut"/>
    <w:link w:val="Titre1"/>
    <w:rsid w:val="00F75044"/>
    <w:rPr>
      <w:rFonts w:asciiTheme="majorHAnsi" w:eastAsiaTheme="majorEastAsia" w:hAnsiTheme="majorHAnsi" w:cstheme="majorBidi"/>
      <w:b/>
      <w:bCs/>
      <w:color w:val="345A8A" w:themeColor="accent1" w:themeShade="B5"/>
      <w:sz w:val="32"/>
      <w:szCs w:val="32"/>
    </w:rPr>
  </w:style>
  <w:style w:type="character" w:customStyle="1" w:styleId="Titre2Car">
    <w:name w:val="Titre 2 Car"/>
    <w:basedOn w:val="Policepardfaut"/>
    <w:link w:val="Titre2"/>
    <w:rsid w:val="00102A0F"/>
    <w:rPr>
      <w:rFonts w:asciiTheme="majorHAnsi" w:eastAsiaTheme="majorEastAsia" w:hAnsiTheme="majorHAnsi" w:cstheme="majorBidi"/>
      <w:b/>
      <w:bCs/>
      <w:color w:val="4F81BD" w:themeColor="accent1"/>
      <w:sz w:val="26"/>
      <w:szCs w:val="26"/>
    </w:rPr>
  </w:style>
  <w:style w:type="paragraph" w:styleId="En-ttedetabledesmatires">
    <w:name w:val="TOC Heading"/>
    <w:basedOn w:val="Titre1"/>
    <w:next w:val="Normal"/>
    <w:uiPriority w:val="39"/>
    <w:unhideWhenUsed/>
    <w:qFormat/>
    <w:rsid w:val="002D75F7"/>
    <w:pPr>
      <w:spacing w:line="276" w:lineRule="auto"/>
      <w:outlineLvl w:val="9"/>
    </w:pPr>
    <w:rPr>
      <w:color w:val="365F91" w:themeColor="accent1" w:themeShade="BF"/>
      <w:sz w:val="28"/>
      <w:szCs w:val="28"/>
      <w:lang w:eastAsia="fr-FR"/>
    </w:rPr>
  </w:style>
  <w:style w:type="paragraph" w:styleId="TM1">
    <w:name w:val="toc 1"/>
    <w:basedOn w:val="Normal"/>
    <w:next w:val="Normal"/>
    <w:autoRedefine/>
    <w:uiPriority w:val="39"/>
    <w:rsid w:val="002D75F7"/>
    <w:pPr>
      <w:spacing w:before="120" w:after="0"/>
    </w:pPr>
    <w:rPr>
      <w:rFonts w:asciiTheme="minorHAnsi" w:hAnsiTheme="minorHAnsi"/>
      <w:b/>
    </w:rPr>
  </w:style>
  <w:style w:type="paragraph" w:styleId="TM2">
    <w:name w:val="toc 2"/>
    <w:basedOn w:val="Normal"/>
    <w:next w:val="Normal"/>
    <w:autoRedefine/>
    <w:uiPriority w:val="39"/>
    <w:rsid w:val="002D75F7"/>
    <w:pPr>
      <w:spacing w:after="0"/>
      <w:ind w:left="240"/>
    </w:pPr>
    <w:rPr>
      <w:rFonts w:asciiTheme="minorHAnsi" w:hAnsiTheme="minorHAnsi"/>
      <w:b/>
      <w:sz w:val="22"/>
      <w:szCs w:val="22"/>
    </w:rPr>
  </w:style>
  <w:style w:type="paragraph" w:styleId="TM3">
    <w:name w:val="toc 3"/>
    <w:basedOn w:val="Normal"/>
    <w:next w:val="Normal"/>
    <w:autoRedefine/>
    <w:rsid w:val="002D75F7"/>
    <w:pPr>
      <w:spacing w:after="0"/>
      <w:ind w:left="480"/>
    </w:pPr>
    <w:rPr>
      <w:rFonts w:asciiTheme="minorHAnsi" w:hAnsiTheme="minorHAnsi"/>
      <w:sz w:val="22"/>
      <w:szCs w:val="22"/>
    </w:rPr>
  </w:style>
  <w:style w:type="paragraph" w:styleId="TM4">
    <w:name w:val="toc 4"/>
    <w:basedOn w:val="Normal"/>
    <w:next w:val="Normal"/>
    <w:autoRedefine/>
    <w:rsid w:val="002D75F7"/>
    <w:pPr>
      <w:spacing w:after="0"/>
      <w:ind w:left="720"/>
    </w:pPr>
    <w:rPr>
      <w:rFonts w:asciiTheme="minorHAnsi" w:hAnsiTheme="minorHAnsi"/>
      <w:sz w:val="20"/>
      <w:szCs w:val="20"/>
    </w:rPr>
  </w:style>
  <w:style w:type="paragraph" w:styleId="TM5">
    <w:name w:val="toc 5"/>
    <w:basedOn w:val="Normal"/>
    <w:next w:val="Normal"/>
    <w:autoRedefine/>
    <w:rsid w:val="002D75F7"/>
    <w:pPr>
      <w:spacing w:after="0"/>
      <w:ind w:left="960"/>
    </w:pPr>
    <w:rPr>
      <w:rFonts w:asciiTheme="minorHAnsi" w:hAnsiTheme="minorHAnsi"/>
      <w:sz w:val="20"/>
      <w:szCs w:val="20"/>
    </w:rPr>
  </w:style>
  <w:style w:type="paragraph" w:styleId="TM6">
    <w:name w:val="toc 6"/>
    <w:basedOn w:val="Normal"/>
    <w:next w:val="Normal"/>
    <w:autoRedefine/>
    <w:rsid w:val="002D75F7"/>
    <w:pPr>
      <w:spacing w:after="0"/>
      <w:ind w:left="1200"/>
    </w:pPr>
    <w:rPr>
      <w:rFonts w:asciiTheme="minorHAnsi" w:hAnsiTheme="minorHAnsi"/>
      <w:sz w:val="20"/>
      <w:szCs w:val="20"/>
    </w:rPr>
  </w:style>
  <w:style w:type="paragraph" w:styleId="TM7">
    <w:name w:val="toc 7"/>
    <w:basedOn w:val="Normal"/>
    <w:next w:val="Normal"/>
    <w:autoRedefine/>
    <w:rsid w:val="002D75F7"/>
    <w:pPr>
      <w:spacing w:after="0"/>
      <w:ind w:left="1440"/>
    </w:pPr>
    <w:rPr>
      <w:rFonts w:asciiTheme="minorHAnsi" w:hAnsiTheme="minorHAnsi"/>
      <w:sz w:val="20"/>
      <w:szCs w:val="20"/>
    </w:rPr>
  </w:style>
  <w:style w:type="paragraph" w:styleId="TM8">
    <w:name w:val="toc 8"/>
    <w:basedOn w:val="Normal"/>
    <w:next w:val="Normal"/>
    <w:autoRedefine/>
    <w:rsid w:val="002D75F7"/>
    <w:pPr>
      <w:spacing w:after="0"/>
      <w:ind w:left="1680"/>
    </w:pPr>
    <w:rPr>
      <w:rFonts w:asciiTheme="minorHAnsi" w:hAnsiTheme="minorHAnsi"/>
      <w:sz w:val="20"/>
      <w:szCs w:val="20"/>
    </w:rPr>
  </w:style>
  <w:style w:type="paragraph" w:styleId="TM9">
    <w:name w:val="toc 9"/>
    <w:basedOn w:val="Normal"/>
    <w:next w:val="Normal"/>
    <w:autoRedefine/>
    <w:rsid w:val="002D75F7"/>
    <w:pPr>
      <w:spacing w:after="0"/>
      <w:ind w:left="1920"/>
    </w:pPr>
    <w:rPr>
      <w:rFonts w:asciiTheme="minorHAnsi" w:hAnsiTheme="minorHAnsi"/>
      <w:sz w:val="20"/>
      <w:szCs w:val="20"/>
    </w:rPr>
  </w:style>
  <w:style w:type="paragraph" w:styleId="Notedebasdepage">
    <w:name w:val="footnote text"/>
    <w:basedOn w:val="Normal"/>
    <w:link w:val="NotedebasdepageCar"/>
    <w:semiHidden/>
    <w:unhideWhenUsed/>
    <w:rsid w:val="00703652"/>
    <w:pPr>
      <w:spacing w:after="0"/>
    </w:pPr>
    <w:rPr>
      <w:sz w:val="20"/>
      <w:szCs w:val="20"/>
    </w:rPr>
  </w:style>
  <w:style w:type="character" w:customStyle="1" w:styleId="NotedebasdepageCar">
    <w:name w:val="Note de bas de page Car"/>
    <w:basedOn w:val="Policepardfaut"/>
    <w:link w:val="Notedebasdepage"/>
    <w:semiHidden/>
    <w:rsid w:val="00703652"/>
    <w:rPr>
      <w:rFonts w:ascii="Arial" w:hAnsi="Arial"/>
      <w:sz w:val="20"/>
      <w:szCs w:val="20"/>
    </w:rPr>
  </w:style>
  <w:style w:type="character" w:styleId="Appelnotedebasdep">
    <w:name w:val="footnote reference"/>
    <w:basedOn w:val="Policepardfaut"/>
    <w:semiHidden/>
    <w:unhideWhenUsed/>
    <w:rsid w:val="00703652"/>
    <w:rPr>
      <w:vertAlign w:val="superscript"/>
    </w:rPr>
  </w:style>
  <w:style w:type="paragraph" w:styleId="NormalWeb">
    <w:name w:val="Normal (Web)"/>
    <w:basedOn w:val="Normal"/>
    <w:uiPriority w:val="99"/>
    <w:unhideWhenUsed/>
    <w:rsid w:val="00A01E84"/>
    <w:pPr>
      <w:spacing w:before="100" w:beforeAutospacing="1" w:after="100" w:afterAutospacing="1"/>
    </w:pPr>
    <w:rPr>
      <w:rFonts w:ascii="Times New Roman" w:eastAsia="Times New Roman" w:hAnsi="Times New Roman" w:cs="Times New Roman"/>
      <w:lang w:eastAsia="fr-FR"/>
    </w:rPr>
  </w:style>
  <w:style w:type="table" w:styleId="Grilledutableau">
    <w:name w:val="Table Grid"/>
    <w:basedOn w:val="TableauNormal"/>
    <w:rsid w:val="00555EDE"/>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72861167">
      <w:bodyDiv w:val="1"/>
      <w:marLeft w:val="0"/>
      <w:marRight w:val="0"/>
      <w:marTop w:val="0"/>
      <w:marBottom w:val="0"/>
      <w:divBdr>
        <w:top w:val="none" w:sz="0" w:space="0" w:color="auto"/>
        <w:left w:val="none" w:sz="0" w:space="0" w:color="auto"/>
        <w:bottom w:val="none" w:sz="0" w:space="0" w:color="auto"/>
        <w:right w:val="none" w:sz="0" w:space="0" w:color="auto"/>
      </w:divBdr>
      <w:divsChild>
        <w:div w:id="1069963501">
          <w:marLeft w:val="0"/>
          <w:marRight w:val="0"/>
          <w:marTop w:val="0"/>
          <w:marBottom w:val="0"/>
          <w:divBdr>
            <w:top w:val="none" w:sz="0" w:space="0" w:color="auto"/>
            <w:left w:val="none" w:sz="0" w:space="0" w:color="auto"/>
            <w:bottom w:val="none" w:sz="0" w:space="0" w:color="auto"/>
            <w:right w:val="none" w:sz="0" w:space="0" w:color="auto"/>
          </w:divBdr>
          <w:divsChild>
            <w:div w:id="412514010">
              <w:marLeft w:val="0"/>
              <w:marRight w:val="0"/>
              <w:marTop w:val="0"/>
              <w:marBottom w:val="0"/>
              <w:divBdr>
                <w:top w:val="none" w:sz="0" w:space="0" w:color="auto"/>
                <w:left w:val="none" w:sz="0" w:space="0" w:color="auto"/>
                <w:bottom w:val="none" w:sz="0" w:space="0" w:color="auto"/>
                <w:right w:val="none" w:sz="0" w:space="0" w:color="auto"/>
              </w:divBdr>
              <w:divsChild>
                <w:div w:id="1577545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8441312">
      <w:bodyDiv w:val="1"/>
      <w:marLeft w:val="0"/>
      <w:marRight w:val="0"/>
      <w:marTop w:val="0"/>
      <w:marBottom w:val="0"/>
      <w:divBdr>
        <w:top w:val="none" w:sz="0" w:space="0" w:color="auto"/>
        <w:left w:val="none" w:sz="0" w:space="0" w:color="auto"/>
        <w:bottom w:val="none" w:sz="0" w:space="0" w:color="auto"/>
        <w:right w:val="none" w:sz="0" w:space="0" w:color="auto"/>
      </w:divBdr>
    </w:div>
    <w:div w:id="1999379764">
      <w:bodyDiv w:val="1"/>
      <w:marLeft w:val="0"/>
      <w:marRight w:val="0"/>
      <w:marTop w:val="0"/>
      <w:marBottom w:val="0"/>
      <w:divBdr>
        <w:top w:val="none" w:sz="0" w:space="0" w:color="auto"/>
        <w:left w:val="none" w:sz="0" w:space="0" w:color="auto"/>
        <w:bottom w:val="none" w:sz="0" w:space="0" w:color="auto"/>
        <w:right w:val="none" w:sz="0" w:space="0" w:color="auto"/>
      </w:divBdr>
      <w:divsChild>
        <w:div w:id="1204750536">
          <w:marLeft w:val="0"/>
          <w:marRight w:val="0"/>
          <w:marTop w:val="0"/>
          <w:marBottom w:val="0"/>
          <w:divBdr>
            <w:top w:val="none" w:sz="0" w:space="0" w:color="auto"/>
            <w:left w:val="none" w:sz="0" w:space="0" w:color="auto"/>
            <w:bottom w:val="none" w:sz="0" w:space="0" w:color="auto"/>
            <w:right w:val="none" w:sz="0" w:space="0" w:color="auto"/>
          </w:divBdr>
          <w:divsChild>
            <w:div w:id="803549056">
              <w:marLeft w:val="0"/>
              <w:marRight w:val="0"/>
              <w:marTop w:val="0"/>
              <w:marBottom w:val="0"/>
              <w:divBdr>
                <w:top w:val="none" w:sz="0" w:space="0" w:color="auto"/>
                <w:left w:val="none" w:sz="0" w:space="0" w:color="auto"/>
                <w:bottom w:val="none" w:sz="0" w:space="0" w:color="auto"/>
                <w:right w:val="none" w:sz="0" w:space="0" w:color="auto"/>
              </w:divBdr>
              <w:divsChild>
                <w:div w:id="510919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59</TotalTime>
  <Pages>10</Pages>
  <Words>4173</Words>
  <Characters>22953</Characters>
  <Application>Microsoft Office Word</Application>
  <DocSecurity>0</DocSecurity>
  <Lines>191</Lines>
  <Paragraphs>54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27072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françois turq</dc:creator>
  <cp:keywords/>
  <cp:lastModifiedBy>françois turq</cp:lastModifiedBy>
  <cp:revision>20</cp:revision>
  <dcterms:created xsi:type="dcterms:W3CDTF">2022-02-02T19:18:00Z</dcterms:created>
  <dcterms:modified xsi:type="dcterms:W3CDTF">2025-01-29T09:10:00Z</dcterms:modified>
</cp:coreProperties>
</file>