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E569CF" w14:textId="77777777" w:rsidR="00112FAB" w:rsidRPr="00097F6B" w:rsidRDefault="00112FAB" w:rsidP="00112FAB">
      <w:pPr>
        <w:tabs>
          <w:tab w:val="left" w:pos="5954"/>
          <w:tab w:val="left" w:pos="7371"/>
        </w:tabs>
      </w:pPr>
      <w:r w:rsidRPr="001C5C1C">
        <w:rPr>
          <w:noProof/>
        </w:rPr>
        <w:drawing>
          <wp:anchor distT="0" distB="0" distL="114300" distR="114300" simplePos="0" relativeHeight="251661312" behindDoc="0" locked="0" layoutInCell="1" allowOverlap="1" wp14:anchorId="46423F8E" wp14:editId="768CFA15">
            <wp:simplePos x="0" y="0"/>
            <wp:positionH relativeFrom="column">
              <wp:posOffset>0</wp:posOffset>
            </wp:positionH>
            <wp:positionV relativeFrom="paragraph">
              <wp:posOffset>160655</wp:posOffset>
            </wp:positionV>
            <wp:extent cx="1551305" cy="427355"/>
            <wp:effectExtent l="0" t="0" r="0" b="0"/>
            <wp:wrapThrough wrapText="bothSides">
              <wp:wrapPolygon edited="0">
                <wp:start x="0" y="0"/>
                <wp:lineTo x="0" y="21183"/>
                <wp:lineTo x="21397" y="21183"/>
                <wp:lineTo x="21397" y="0"/>
                <wp:lineTo x="0" y="0"/>
              </wp:wrapPolygon>
            </wp:wrapThrough>
            <wp:docPr id="7"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51305" cy="427355"/>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p w14:paraId="1B18F6B4" w14:textId="65B566BB" w:rsidR="00112FAB" w:rsidRPr="00ED5D91" w:rsidRDefault="00112FAB" w:rsidP="00112FAB">
      <w:pPr>
        <w:tabs>
          <w:tab w:val="left" w:pos="7371"/>
        </w:tabs>
        <w:rPr>
          <w:rFonts w:ascii="Arial" w:hAnsi="Arial" w:cs="Arial"/>
          <w:b/>
          <w:sz w:val="22"/>
          <w:szCs w:val="22"/>
        </w:rPr>
      </w:pPr>
      <w:r w:rsidRPr="00ED5D91">
        <w:rPr>
          <w:rFonts w:ascii="Arial" w:hAnsi="Arial" w:cs="Arial"/>
          <w:b/>
          <w:sz w:val="22"/>
          <w:szCs w:val="22"/>
        </w:rPr>
        <w:t xml:space="preserve">                                                                              202</w:t>
      </w:r>
      <w:r w:rsidR="00CE1F77">
        <w:rPr>
          <w:rFonts w:ascii="Arial" w:hAnsi="Arial" w:cs="Arial"/>
          <w:b/>
          <w:sz w:val="22"/>
          <w:szCs w:val="22"/>
        </w:rPr>
        <w:t>4</w:t>
      </w:r>
      <w:r w:rsidRPr="00ED5D91">
        <w:rPr>
          <w:rFonts w:ascii="Arial" w:hAnsi="Arial" w:cs="Arial"/>
          <w:b/>
          <w:sz w:val="22"/>
          <w:szCs w:val="22"/>
        </w:rPr>
        <w:t>/202</w:t>
      </w:r>
      <w:r w:rsidR="00CE1F77">
        <w:rPr>
          <w:rFonts w:ascii="Arial" w:hAnsi="Arial" w:cs="Arial"/>
          <w:b/>
          <w:sz w:val="22"/>
          <w:szCs w:val="22"/>
        </w:rPr>
        <w:t>5</w:t>
      </w:r>
    </w:p>
    <w:p w14:paraId="27BD1C54" w14:textId="77777777" w:rsidR="00112FAB" w:rsidRPr="00ED5D91" w:rsidRDefault="00112FAB" w:rsidP="00112FAB">
      <w:pPr>
        <w:tabs>
          <w:tab w:val="left" w:pos="7371"/>
        </w:tabs>
        <w:rPr>
          <w:rFonts w:ascii="Arial" w:hAnsi="Arial" w:cs="Arial"/>
          <w:b/>
          <w:sz w:val="22"/>
          <w:szCs w:val="22"/>
        </w:rPr>
      </w:pPr>
    </w:p>
    <w:p w14:paraId="1CF47A31" w14:textId="77777777" w:rsidR="00112FAB" w:rsidRPr="00ED5D91" w:rsidRDefault="00112FAB" w:rsidP="00112FAB">
      <w:pPr>
        <w:tabs>
          <w:tab w:val="left" w:pos="7371"/>
        </w:tabs>
        <w:rPr>
          <w:rFonts w:ascii="Arial" w:hAnsi="Arial" w:cs="Arial"/>
          <w:b/>
          <w:sz w:val="22"/>
          <w:szCs w:val="22"/>
        </w:rPr>
      </w:pPr>
    </w:p>
    <w:p w14:paraId="6A005BB3" w14:textId="77777777" w:rsidR="00112FAB" w:rsidRPr="00ED5D91" w:rsidRDefault="00112FAB" w:rsidP="00112FAB">
      <w:pPr>
        <w:tabs>
          <w:tab w:val="left" w:pos="7371"/>
        </w:tabs>
        <w:rPr>
          <w:rFonts w:ascii="Arial" w:hAnsi="Arial" w:cs="Arial"/>
          <w:b/>
          <w:sz w:val="22"/>
          <w:szCs w:val="22"/>
        </w:rPr>
      </w:pPr>
      <w:r w:rsidRPr="00ED5D91">
        <w:rPr>
          <w:rFonts w:ascii="Arial" w:hAnsi="Arial" w:cs="Arial"/>
          <w:b/>
          <w:sz w:val="22"/>
          <w:szCs w:val="22"/>
        </w:rPr>
        <w:t>UFR 06</w:t>
      </w:r>
    </w:p>
    <w:p w14:paraId="2ACAE12F" w14:textId="77777777" w:rsidR="00112FAB" w:rsidRPr="00ED5D91" w:rsidRDefault="00112FAB" w:rsidP="00112FAB">
      <w:pPr>
        <w:tabs>
          <w:tab w:val="left" w:pos="7371"/>
        </w:tabs>
        <w:jc w:val="center"/>
        <w:rPr>
          <w:rFonts w:ascii="Arial" w:hAnsi="Arial" w:cs="Arial"/>
          <w:b/>
          <w:sz w:val="22"/>
          <w:szCs w:val="22"/>
        </w:rPr>
      </w:pPr>
      <w:r w:rsidRPr="00ED5D91">
        <w:rPr>
          <w:rFonts w:ascii="Arial" w:hAnsi="Arial" w:cs="Arial"/>
          <w:b/>
          <w:sz w:val="22"/>
          <w:szCs w:val="22"/>
        </w:rPr>
        <w:t>MASTER 2 – Gestion Financière et Fiscalité</w:t>
      </w:r>
    </w:p>
    <w:p w14:paraId="442D84EB" w14:textId="77777777" w:rsidR="00112FAB" w:rsidRPr="00ED5D91" w:rsidRDefault="00112FAB" w:rsidP="00112FAB">
      <w:pPr>
        <w:tabs>
          <w:tab w:val="left" w:pos="7371"/>
        </w:tabs>
        <w:jc w:val="center"/>
        <w:rPr>
          <w:rFonts w:ascii="Arial" w:hAnsi="Arial" w:cs="Arial"/>
          <w:b/>
          <w:sz w:val="22"/>
          <w:szCs w:val="22"/>
        </w:rPr>
      </w:pPr>
      <w:r w:rsidRPr="00ED5D91">
        <w:rPr>
          <w:rFonts w:ascii="Arial" w:hAnsi="Arial" w:cs="Arial"/>
          <w:b/>
          <w:sz w:val="22"/>
          <w:szCs w:val="22"/>
        </w:rPr>
        <w:t>Séminaire décisions financières et fiscalité - F TURQ</w:t>
      </w:r>
    </w:p>
    <w:p w14:paraId="2150F1BB" w14:textId="77777777" w:rsidR="00112FAB" w:rsidRPr="00ED5D91" w:rsidRDefault="00112FAB" w:rsidP="00112FAB">
      <w:pPr>
        <w:widowControl w:val="0"/>
        <w:autoSpaceDE w:val="0"/>
        <w:autoSpaceDN w:val="0"/>
        <w:adjustRightInd w:val="0"/>
        <w:jc w:val="both"/>
        <w:rPr>
          <w:rFonts w:ascii="Arial" w:hAnsi="Arial" w:cs="Arial"/>
          <w:b/>
          <w:sz w:val="22"/>
          <w:szCs w:val="22"/>
        </w:rPr>
      </w:pPr>
    </w:p>
    <w:p w14:paraId="39565BEA" w14:textId="77777777" w:rsidR="00112FAB" w:rsidRPr="00D01B65" w:rsidRDefault="00112FAB" w:rsidP="00112FAB">
      <w:pPr>
        <w:widowControl w:val="0"/>
        <w:autoSpaceDE w:val="0"/>
        <w:autoSpaceDN w:val="0"/>
        <w:adjustRightInd w:val="0"/>
        <w:jc w:val="center"/>
        <w:rPr>
          <w:rFonts w:ascii="Arial" w:hAnsi="Arial" w:cs="Arial"/>
          <w:b/>
          <w:color w:val="000000" w:themeColor="text1"/>
          <w:sz w:val="22"/>
          <w:szCs w:val="22"/>
        </w:rPr>
      </w:pPr>
      <w:r w:rsidRPr="00A57D8A">
        <w:rPr>
          <w:rFonts w:ascii="Arial" w:hAnsi="Arial" w:cs="Arial"/>
          <w:b/>
          <w:color w:val="000000" w:themeColor="text1"/>
          <w:sz w:val="22"/>
          <w:szCs w:val="22"/>
        </w:rPr>
        <w:t>LES GROUPES</w:t>
      </w:r>
    </w:p>
    <w:p w14:paraId="42D510F0" w14:textId="2506C8A3" w:rsidR="00112FAB" w:rsidRPr="00ED5D91" w:rsidRDefault="00112FAB" w:rsidP="00456755">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sz w:val="22"/>
          <w:szCs w:val="22"/>
        </w:rPr>
      </w:pPr>
      <w:r>
        <w:rPr>
          <w:rFonts w:ascii="Arial" w:hAnsi="Arial" w:cs="Arial"/>
          <w:b/>
          <w:color w:val="000000" w:themeColor="text1"/>
          <w:sz w:val="22"/>
          <w:szCs w:val="22"/>
        </w:rPr>
        <w:t xml:space="preserve">Dossier </w:t>
      </w:r>
      <w:r w:rsidR="005A26E0">
        <w:rPr>
          <w:rFonts w:ascii="Arial" w:hAnsi="Arial" w:cs="Arial"/>
          <w:b/>
          <w:color w:val="000000" w:themeColor="text1"/>
          <w:sz w:val="22"/>
          <w:szCs w:val="22"/>
        </w:rPr>
        <w:t>3</w:t>
      </w:r>
      <w:r>
        <w:rPr>
          <w:rFonts w:ascii="Arial" w:hAnsi="Arial" w:cs="Arial"/>
          <w:b/>
          <w:color w:val="000000" w:themeColor="text1"/>
          <w:sz w:val="22"/>
          <w:szCs w:val="22"/>
        </w:rPr>
        <w:t> : les transferts de bénéfices</w:t>
      </w:r>
      <w:r w:rsidR="00640557">
        <w:rPr>
          <w:rFonts w:ascii="Arial" w:hAnsi="Arial" w:cs="Arial"/>
          <w:b/>
          <w:color w:val="000000" w:themeColor="text1"/>
          <w:sz w:val="22"/>
          <w:szCs w:val="22"/>
        </w:rPr>
        <w:t xml:space="preserve"> des groupes internationaux</w:t>
      </w:r>
    </w:p>
    <w:p w14:paraId="6E097C52"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7CF3425C"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1B45BBD6" w14:textId="40BAF921"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xml:space="preserve">Selon la définition de l'Organisation de Coopération et de Développement </w:t>
      </w:r>
      <w:r w:rsidR="004A6A27" w:rsidRPr="00ED5D91">
        <w:rPr>
          <w:rFonts w:ascii="Arial" w:hAnsi="Arial" w:cs="Arial"/>
          <w:sz w:val="22"/>
          <w:szCs w:val="22"/>
        </w:rPr>
        <w:t>Économique</w:t>
      </w:r>
      <w:r>
        <w:rPr>
          <w:rFonts w:ascii="Arial" w:hAnsi="Arial" w:cs="Arial"/>
          <w:sz w:val="22"/>
          <w:szCs w:val="22"/>
        </w:rPr>
        <w:t xml:space="preserve"> </w:t>
      </w:r>
      <w:r w:rsidRPr="00ED5D91">
        <w:rPr>
          <w:rFonts w:ascii="Arial" w:hAnsi="Arial" w:cs="Arial"/>
          <w:sz w:val="22"/>
          <w:szCs w:val="22"/>
        </w:rPr>
        <w:t xml:space="preserve">(OCDE), les prix de transfert sont "les prix auxquels une entreprise transfère des biens corporels, des actifs incorporels, ou rend des services à des entreprises associées". </w:t>
      </w:r>
      <w:r w:rsidR="00536241">
        <w:rPr>
          <w:rStyle w:val="Appelnotedebasdep"/>
          <w:rFonts w:ascii="Arial" w:hAnsi="Arial" w:cs="Arial"/>
          <w:sz w:val="22"/>
          <w:szCs w:val="22"/>
        </w:rPr>
        <w:footnoteReference w:id="1"/>
      </w:r>
    </w:p>
    <w:p w14:paraId="5D43B052"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xml:space="preserve">Ils se définissent plus simplement comme étant les prix des transactions entre sociétés d'un même groupe et résidentes </w:t>
      </w:r>
      <w:r w:rsidRPr="00ED5D91">
        <w:rPr>
          <w:rFonts w:ascii="Arial" w:hAnsi="Arial" w:cs="Arial"/>
          <w:b/>
          <w:sz w:val="22"/>
          <w:szCs w:val="22"/>
        </w:rPr>
        <w:t>d'États différents </w:t>
      </w:r>
      <w:r w:rsidRPr="00ED5D91">
        <w:rPr>
          <w:rFonts w:ascii="Arial" w:hAnsi="Arial" w:cs="Arial"/>
          <w:sz w:val="22"/>
          <w:szCs w:val="22"/>
        </w:rPr>
        <w:t xml:space="preserve">: ils supposent des </w:t>
      </w:r>
      <w:r w:rsidRPr="00ED5D91">
        <w:rPr>
          <w:rFonts w:ascii="Arial" w:hAnsi="Arial" w:cs="Arial"/>
          <w:b/>
          <w:sz w:val="22"/>
          <w:szCs w:val="22"/>
        </w:rPr>
        <w:t>transactions intragroupes</w:t>
      </w:r>
      <w:r w:rsidRPr="00ED5D91">
        <w:rPr>
          <w:rFonts w:ascii="Arial" w:hAnsi="Arial" w:cs="Arial"/>
          <w:sz w:val="22"/>
          <w:szCs w:val="22"/>
        </w:rPr>
        <w:t xml:space="preserve"> et le </w:t>
      </w:r>
      <w:r w:rsidRPr="00ED5D91">
        <w:rPr>
          <w:rFonts w:ascii="Arial" w:hAnsi="Arial" w:cs="Arial"/>
          <w:b/>
          <w:sz w:val="22"/>
          <w:szCs w:val="22"/>
        </w:rPr>
        <w:t>passage d'une frontière</w:t>
      </w:r>
      <w:r w:rsidRPr="00ED5D91">
        <w:rPr>
          <w:rFonts w:ascii="Arial" w:hAnsi="Arial" w:cs="Arial"/>
          <w:sz w:val="22"/>
          <w:szCs w:val="22"/>
        </w:rPr>
        <w:t xml:space="preserve">. </w:t>
      </w:r>
    </w:p>
    <w:p w14:paraId="08D020BF"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xml:space="preserve">Les entreprises sont concernées non seulement pour les ventes de biens et de marchandises, mais également pour toutes les prestations de services intragroupes : partage de certains frais communs entre plusieurs entreprises du groupe (frais d'administration générale ou de siège), mise à disposition de personnes ou de biens, redevances de concession de brevets ou de marques, relations financières, services rendus par une entreprise du groupe aux autres entreprises… </w:t>
      </w:r>
    </w:p>
    <w:p w14:paraId="3384E287"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0BF33627" w14:textId="031A6BDF"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xml:space="preserve">Les sociétés </w:t>
      </w:r>
      <w:r w:rsidR="00725D56">
        <w:rPr>
          <w:rFonts w:ascii="Arial" w:hAnsi="Arial" w:cs="Arial"/>
          <w:sz w:val="22"/>
          <w:szCs w:val="22"/>
        </w:rPr>
        <w:t xml:space="preserve">qui </w:t>
      </w:r>
      <w:r w:rsidRPr="00ED5D91">
        <w:rPr>
          <w:rFonts w:ascii="Arial" w:hAnsi="Arial" w:cs="Arial"/>
          <w:sz w:val="22"/>
          <w:szCs w:val="22"/>
        </w:rPr>
        <w:t>ont des relations commerciales avec des parties liées s'exposent à d’importantes difficultés :</w:t>
      </w:r>
    </w:p>
    <w:p w14:paraId="0C71393B" w14:textId="4BD7EA05" w:rsidR="00112FAB" w:rsidRPr="00ED5D91" w:rsidRDefault="00804CBC" w:rsidP="00112FAB">
      <w:pPr>
        <w:widowControl w:val="0"/>
        <w:numPr>
          <w:ilvl w:val="0"/>
          <w:numId w:val="6"/>
        </w:numPr>
        <w:autoSpaceDE w:val="0"/>
        <w:autoSpaceDN w:val="0"/>
        <w:adjustRightInd w:val="0"/>
        <w:jc w:val="both"/>
        <w:rPr>
          <w:rFonts w:ascii="Arial" w:hAnsi="Arial" w:cs="Arial"/>
          <w:sz w:val="22"/>
          <w:szCs w:val="22"/>
        </w:rPr>
      </w:pPr>
      <w:r w:rsidRPr="00ED5D91">
        <w:rPr>
          <w:rFonts w:ascii="Arial" w:hAnsi="Arial" w:cs="Arial"/>
          <w:sz w:val="22"/>
          <w:szCs w:val="22"/>
        </w:rPr>
        <w:t>D’une</w:t>
      </w:r>
      <w:r w:rsidR="00112FAB" w:rsidRPr="00ED5D91">
        <w:rPr>
          <w:rFonts w:ascii="Arial" w:hAnsi="Arial" w:cs="Arial"/>
          <w:sz w:val="22"/>
          <w:szCs w:val="22"/>
        </w:rPr>
        <w:t xml:space="preserve"> part, la détermination des prix de transfert et l’évaluation en douane ne sont pas régies par les mêmes règles</w:t>
      </w:r>
    </w:p>
    <w:p w14:paraId="6EAD55B6" w14:textId="7FAD7B56" w:rsidR="00112FAB" w:rsidRPr="00ED5D91" w:rsidRDefault="00804CBC" w:rsidP="00112FAB">
      <w:pPr>
        <w:widowControl w:val="0"/>
        <w:numPr>
          <w:ilvl w:val="0"/>
          <w:numId w:val="6"/>
        </w:numPr>
        <w:autoSpaceDE w:val="0"/>
        <w:autoSpaceDN w:val="0"/>
        <w:adjustRightInd w:val="0"/>
        <w:jc w:val="both"/>
        <w:rPr>
          <w:rFonts w:ascii="Arial" w:hAnsi="Arial" w:cs="Arial"/>
          <w:sz w:val="22"/>
          <w:szCs w:val="22"/>
        </w:rPr>
      </w:pPr>
      <w:r w:rsidRPr="00ED5D91">
        <w:rPr>
          <w:rFonts w:ascii="Arial" w:hAnsi="Arial" w:cs="Arial"/>
          <w:sz w:val="22"/>
          <w:szCs w:val="22"/>
        </w:rPr>
        <w:t>D’autre</w:t>
      </w:r>
      <w:r w:rsidR="00112FAB" w:rsidRPr="00ED5D91">
        <w:rPr>
          <w:rFonts w:ascii="Arial" w:hAnsi="Arial" w:cs="Arial"/>
          <w:sz w:val="22"/>
          <w:szCs w:val="22"/>
        </w:rPr>
        <w:t xml:space="preserve"> part, elles relèvent d’administrations distinctes dans de nombreux pays.</w:t>
      </w:r>
    </w:p>
    <w:p w14:paraId="0ABE19B0" w14:textId="77777777" w:rsidR="00112FAB" w:rsidRPr="00ED5D91" w:rsidRDefault="00112FAB" w:rsidP="00112FAB">
      <w:pPr>
        <w:widowControl w:val="0"/>
        <w:autoSpaceDE w:val="0"/>
        <w:autoSpaceDN w:val="0"/>
        <w:adjustRightInd w:val="0"/>
        <w:jc w:val="center"/>
        <w:rPr>
          <w:rFonts w:ascii="Arial" w:hAnsi="Arial" w:cs="Arial"/>
          <w:sz w:val="22"/>
          <w:szCs w:val="22"/>
        </w:rPr>
      </w:pPr>
    </w:p>
    <w:p w14:paraId="39EC1E13"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324A8E07" w14:textId="67CFB951"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xml:space="preserve">L’OCDE a donc lancé </w:t>
      </w:r>
      <w:r w:rsidR="00725D56">
        <w:rPr>
          <w:rFonts w:ascii="Arial" w:hAnsi="Arial" w:cs="Arial"/>
          <w:sz w:val="22"/>
          <w:szCs w:val="22"/>
        </w:rPr>
        <w:t xml:space="preserve">il y a quelques années </w:t>
      </w:r>
      <w:r w:rsidRPr="00ED5D91">
        <w:rPr>
          <w:rFonts w:ascii="Arial" w:hAnsi="Arial" w:cs="Arial"/>
          <w:sz w:val="22"/>
          <w:szCs w:val="22"/>
        </w:rPr>
        <w:t xml:space="preserve">une action sur ce point : BEPS (Base </w:t>
      </w:r>
      <w:proofErr w:type="spellStart"/>
      <w:r w:rsidRPr="00ED5D91">
        <w:rPr>
          <w:rFonts w:ascii="Arial" w:hAnsi="Arial" w:cs="Arial"/>
          <w:sz w:val="22"/>
          <w:szCs w:val="22"/>
        </w:rPr>
        <w:t>Erosion</w:t>
      </w:r>
      <w:proofErr w:type="spellEnd"/>
      <w:r w:rsidRPr="00ED5D91">
        <w:rPr>
          <w:rFonts w:ascii="Arial" w:hAnsi="Arial" w:cs="Arial"/>
          <w:sz w:val="22"/>
          <w:szCs w:val="22"/>
        </w:rPr>
        <w:t xml:space="preserve"> and Profit </w:t>
      </w:r>
      <w:proofErr w:type="spellStart"/>
      <w:r w:rsidRPr="00ED5D91">
        <w:rPr>
          <w:rFonts w:ascii="Arial" w:hAnsi="Arial" w:cs="Arial"/>
          <w:sz w:val="22"/>
          <w:szCs w:val="22"/>
        </w:rPr>
        <w:t>Shifting</w:t>
      </w:r>
      <w:proofErr w:type="spellEnd"/>
      <w:r w:rsidRPr="00ED5D91">
        <w:rPr>
          <w:rFonts w:ascii="Arial" w:hAnsi="Arial" w:cs="Arial"/>
          <w:sz w:val="22"/>
          <w:szCs w:val="22"/>
        </w:rPr>
        <w:t>)</w:t>
      </w:r>
    </w:p>
    <w:p w14:paraId="71377530" w14:textId="77777777" w:rsidR="00112FAB" w:rsidRDefault="00112FAB" w:rsidP="00112FAB">
      <w:pPr>
        <w:widowControl w:val="0"/>
        <w:autoSpaceDE w:val="0"/>
        <w:autoSpaceDN w:val="0"/>
        <w:adjustRightInd w:val="0"/>
        <w:jc w:val="both"/>
        <w:rPr>
          <w:szCs w:val="21"/>
        </w:rPr>
      </w:pPr>
    </w:p>
    <w:p w14:paraId="779799B0" w14:textId="58F6BB0E" w:rsidR="00112FAB" w:rsidRPr="002D0435"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 w:val="22"/>
          <w:szCs w:val="22"/>
        </w:rPr>
      </w:pPr>
      <w:r w:rsidRPr="002D0435">
        <w:rPr>
          <w:b/>
          <w:i/>
          <w:sz w:val="22"/>
          <w:szCs w:val="22"/>
        </w:rPr>
        <w:t>Enrayer l’érosion de la base d’imposition et le transfert de bénéfices</w:t>
      </w:r>
      <w:r w:rsidRPr="002D0435">
        <w:rPr>
          <w:i/>
          <w:sz w:val="22"/>
          <w:szCs w:val="22"/>
        </w:rPr>
        <w:t xml:space="preserve"> (BEPS) est une priorité absolue pour les pouvoirs publics partout dans le monde. En 2013, les pays de l’OCDE et du G20, </w:t>
      </w:r>
      <w:proofErr w:type="spellStart"/>
      <w:r w:rsidRPr="002D0435">
        <w:rPr>
          <w:i/>
          <w:sz w:val="22"/>
          <w:szCs w:val="22"/>
        </w:rPr>
        <w:t>oeuvrant</w:t>
      </w:r>
      <w:proofErr w:type="spellEnd"/>
      <w:r w:rsidRPr="002D0435">
        <w:rPr>
          <w:i/>
          <w:sz w:val="22"/>
          <w:szCs w:val="22"/>
        </w:rPr>
        <w:t xml:space="preserve"> sur un pied d’égalité, ont adopté un Plan d’action en 15 points visant à lutter contre l’érosion de la base d’imposition et le transfert de bénéfices. Le Plan d’action vise à faire coïncider le lieu d’imposition des bénéfices avec le lieu d’exercice des activités économiques à l’origine de ces bénéfices et de la création de valeur. Lutter contre l’érosion de la base d’imposition et le transfert de bénéfices constitue un impératif pour tous les pays et il convient d’agir rapidement, notamment pour empêcher que ne se défasse le cadre fiscal international existant fondé sur le consensus, ce qui aggraverait l’incertitude pour les entreprises, à l’heure où les investissements internationaux sont plus nécessaires que jamais. </w:t>
      </w:r>
      <w:r w:rsidR="00B8728F">
        <w:rPr>
          <w:rStyle w:val="Appelnotedebasdep"/>
          <w:i/>
          <w:sz w:val="22"/>
          <w:szCs w:val="22"/>
        </w:rPr>
        <w:footnoteReference w:id="2"/>
      </w:r>
    </w:p>
    <w:p w14:paraId="0DEFDA78" w14:textId="77777777" w:rsidR="00112FAB" w:rsidRDefault="00112FAB" w:rsidP="00112FAB">
      <w:pPr>
        <w:widowControl w:val="0"/>
        <w:autoSpaceDE w:val="0"/>
        <w:autoSpaceDN w:val="0"/>
        <w:adjustRightInd w:val="0"/>
        <w:jc w:val="both"/>
        <w:rPr>
          <w:szCs w:val="21"/>
        </w:rPr>
      </w:pPr>
    </w:p>
    <w:p w14:paraId="459CE5DD" w14:textId="77777777" w:rsidR="00112FAB" w:rsidRDefault="00112FAB" w:rsidP="00112FAB">
      <w:pPr>
        <w:widowControl w:val="0"/>
        <w:autoSpaceDE w:val="0"/>
        <w:autoSpaceDN w:val="0"/>
        <w:adjustRightInd w:val="0"/>
        <w:jc w:val="both"/>
        <w:rPr>
          <w:szCs w:val="21"/>
        </w:rPr>
      </w:pPr>
    </w:p>
    <w:p w14:paraId="2F2B38EF" w14:textId="77777777" w:rsidR="00112FAB" w:rsidRDefault="00112FAB" w:rsidP="00112FAB">
      <w:pPr>
        <w:widowControl w:val="0"/>
        <w:autoSpaceDE w:val="0"/>
        <w:autoSpaceDN w:val="0"/>
        <w:adjustRightInd w:val="0"/>
        <w:jc w:val="both"/>
        <w:rPr>
          <w:szCs w:val="21"/>
        </w:rPr>
      </w:pPr>
    </w:p>
    <w:p w14:paraId="28340703" w14:textId="77777777" w:rsidR="00112FAB" w:rsidRPr="00212D47" w:rsidRDefault="00112FAB" w:rsidP="00112FAB">
      <w:pPr>
        <w:pStyle w:val="Titre1"/>
        <w:jc w:val="center"/>
        <w:rPr>
          <w:rFonts w:ascii="Arial" w:hAnsi="Arial"/>
          <w:sz w:val="28"/>
          <w:szCs w:val="28"/>
          <w:u w:val="none"/>
        </w:rPr>
      </w:pPr>
      <w:r>
        <w:rPr>
          <w:rFonts w:ascii="Arial" w:hAnsi="Arial"/>
          <w:sz w:val="28"/>
          <w:szCs w:val="28"/>
          <w:u w:val="none"/>
        </w:rPr>
        <w:br w:type="page"/>
      </w:r>
      <w:r w:rsidRPr="00212D47">
        <w:rPr>
          <w:rFonts w:ascii="Arial" w:hAnsi="Arial"/>
          <w:sz w:val="28"/>
          <w:szCs w:val="28"/>
          <w:u w:val="none"/>
        </w:rPr>
        <w:lastRenderedPageBreak/>
        <w:t>1</w:t>
      </w:r>
      <w:r w:rsidRPr="00212D47">
        <w:rPr>
          <w:rFonts w:ascii="Arial" w:hAnsi="Arial"/>
          <w:sz w:val="28"/>
          <w:szCs w:val="28"/>
          <w:u w:val="none"/>
          <w:vertAlign w:val="superscript"/>
        </w:rPr>
        <w:t>ÈRE</w:t>
      </w:r>
      <w:r w:rsidRPr="00212D47">
        <w:rPr>
          <w:rFonts w:ascii="Arial" w:hAnsi="Arial"/>
          <w:sz w:val="28"/>
          <w:szCs w:val="28"/>
          <w:u w:val="none"/>
        </w:rPr>
        <w:t xml:space="preserve"> PARTIE : PRIX DE TRANSFERT ET BÉNÉFICE</w:t>
      </w:r>
    </w:p>
    <w:p w14:paraId="6EFDBDED" w14:textId="77777777" w:rsidR="00112FAB" w:rsidRPr="008B5C2A" w:rsidRDefault="00112FAB" w:rsidP="00112FAB">
      <w:pPr>
        <w:widowControl w:val="0"/>
        <w:autoSpaceDE w:val="0"/>
        <w:autoSpaceDN w:val="0"/>
        <w:adjustRightInd w:val="0"/>
        <w:jc w:val="both"/>
        <w:rPr>
          <w:szCs w:val="21"/>
        </w:rPr>
      </w:pPr>
    </w:p>
    <w:p w14:paraId="176C2403" w14:textId="77777777" w:rsidR="00112FAB" w:rsidRPr="004C17B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cs="Arial"/>
          <w:i/>
          <w:szCs w:val="32"/>
        </w:rPr>
      </w:pPr>
      <w:r w:rsidRPr="004C17BA">
        <w:rPr>
          <w:i/>
          <w:szCs w:val="21"/>
        </w:rPr>
        <w:t> </w:t>
      </w:r>
      <w:r w:rsidRPr="004C17BA">
        <w:rPr>
          <w:rFonts w:cs="Arial"/>
          <w:i/>
          <w:szCs w:val="32"/>
        </w:rPr>
        <w:t>La fixation du prix de transfert des transactions conclues au sein d'entreprises multinationales ne résulte pas, nécessairement, comme pour les entreprises indépendantes, des règles du marché.</w:t>
      </w:r>
    </w:p>
    <w:p w14:paraId="2AAE44C2" w14:textId="77777777" w:rsidR="00112FAB" w:rsidRPr="004C17B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cs="Arial"/>
          <w:i/>
          <w:szCs w:val="32"/>
        </w:rPr>
      </w:pPr>
      <w:r w:rsidRPr="004C17BA">
        <w:rPr>
          <w:rFonts w:cs="Arial"/>
          <w:i/>
          <w:szCs w:val="32"/>
        </w:rPr>
        <w:t>D'autres considérations internes au groupe peuvent intervenir et influer sur la répartition des résultats entre les pays concernés par les transactions.</w:t>
      </w:r>
    </w:p>
    <w:p w14:paraId="7A908CC2" w14:textId="75BFC264" w:rsidR="00112FAB" w:rsidRPr="004C17B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cs="Arial"/>
          <w:i/>
          <w:szCs w:val="32"/>
        </w:rPr>
      </w:pPr>
      <w:r w:rsidRPr="004C17BA">
        <w:rPr>
          <w:rFonts w:cs="Arial"/>
          <w:i/>
          <w:szCs w:val="32"/>
        </w:rPr>
        <w:t>Pour l'administration, il est donc nécessaire d'avoir les moyens, notamment juridiques, pour apprécier la normalité des prix de transfert.</w:t>
      </w:r>
      <w:r w:rsidR="00EF60DA">
        <w:rPr>
          <w:rStyle w:val="Appelnotedebasdep"/>
          <w:rFonts w:cs="Arial"/>
          <w:i/>
          <w:szCs w:val="32"/>
        </w:rPr>
        <w:footnoteReference w:id="3"/>
      </w:r>
    </w:p>
    <w:p w14:paraId="1B634416"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A37C021"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Pendant longtemps l’administration fiscale n’a disposé que d’un seul instrument : l’article 57 du CGI. Instrument très puissant mais d’application difficile par elle.</w:t>
      </w:r>
    </w:p>
    <w:p w14:paraId="57D29E69" w14:textId="77777777" w:rsidR="00112FAB" w:rsidRDefault="00112FAB" w:rsidP="00112FAB">
      <w:pPr>
        <w:widowControl w:val="0"/>
        <w:autoSpaceDE w:val="0"/>
        <w:autoSpaceDN w:val="0"/>
        <w:adjustRightInd w:val="0"/>
        <w:jc w:val="both"/>
        <w:rPr>
          <w:i/>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4"/>
      </w:tblGrid>
      <w:tr w:rsidR="00112FAB" w:rsidRPr="00F440FF" w14:paraId="4B1FE924" w14:textId="77777777" w:rsidTr="00D01B65">
        <w:tc>
          <w:tcPr>
            <w:tcW w:w="9072" w:type="dxa"/>
            <w:shd w:val="clear" w:color="auto" w:fill="auto"/>
          </w:tcPr>
          <w:p w14:paraId="4613F59D" w14:textId="77777777" w:rsidR="00112FAB" w:rsidRPr="00620877" w:rsidRDefault="00112FAB" w:rsidP="00D01B65">
            <w:pPr>
              <w:jc w:val="both"/>
              <w:rPr>
                <w:rFonts w:ascii="Times" w:hAnsi="Times"/>
                <w:b/>
                <w:i/>
              </w:rPr>
            </w:pPr>
            <w:r w:rsidRPr="00620877">
              <w:rPr>
                <w:rFonts w:ascii="Times" w:hAnsi="Times"/>
                <w:b/>
                <w:i/>
              </w:rPr>
              <w:t>Article 57 CGI</w:t>
            </w:r>
          </w:p>
          <w:p w14:paraId="06C26F37" w14:textId="77777777" w:rsidR="00112FAB" w:rsidRPr="00620877" w:rsidRDefault="00112FAB" w:rsidP="00D01B65">
            <w:pPr>
              <w:jc w:val="both"/>
              <w:rPr>
                <w:rFonts w:ascii="Times" w:hAnsi="Times"/>
                <w:i/>
              </w:rPr>
            </w:pPr>
            <w:r w:rsidRPr="00620877">
              <w:rPr>
                <w:rFonts w:ascii="Times" w:hAnsi="Times"/>
                <w:i/>
              </w:rPr>
              <w:t xml:space="preserve">Pour l'établissement de l'impôt sur le revenu dû par les entreprises qui sont sous la dépendance ou qui possèdent le contrôle d'entreprises situées hors de France, les bénéfices indirectement transférés à ces dernières, soit par voie de majoration ou de diminution des prix d'achat ou de vente, soit par tout autre moyen, sont incorporés aux résultats accusés par les comptabilités. Il est procédé de même à l'égard des entreprises qui sont sous la dépendance d'une entreprise ou d'un groupe possédant également le contrôle d'entreprises situées hors de France. </w:t>
            </w:r>
          </w:p>
          <w:p w14:paraId="6C314906" w14:textId="05F0B9EC" w:rsidR="00112FAB" w:rsidRPr="00620877" w:rsidRDefault="00112FAB" w:rsidP="00D01B65">
            <w:pPr>
              <w:pStyle w:val="Corpsdetexte2"/>
              <w:rPr>
                <w:i/>
                <w:sz w:val="22"/>
              </w:rPr>
            </w:pPr>
            <w:r w:rsidRPr="00620877">
              <w:rPr>
                <w:i/>
                <w:sz w:val="22"/>
              </w:rPr>
              <w:t xml:space="preserve">La condition de dépendance ou de contrôle n'est pas exigée lorsque le transfert s'effectue avec des entreprises établies dans un </w:t>
            </w:r>
            <w:r w:rsidR="00B93F3B" w:rsidRPr="00620877">
              <w:rPr>
                <w:i/>
                <w:sz w:val="22"/>
              </w:rPr>
              <w:t>État</w:t>
            </w:r>
            <w:r w:rsidRPr="00620877">
              <w:rPr>
                <w:i/>
                <w:sz w:val="22"/>
              </w:rPr>
              <w:t xml:space="preserve"> étranger ou dans un territoire situé hors de France dont le régime fiscal est privilégié au sens du deuxième alinéa de l'article 238 A.</w:t>
            </w:r>
          </w:p>
          <w:p w14:paraId="39CB664A" w14:textId="77777777" w:rsidR="00112FAB" w:rsidRPr="00620877" w:rsidRDefault="00112FAB" w:rsidP="00D01B65">
            <w:pPr>
              <w:jc w:val="both"/>
              <w:rPr>
                <w:rFonts w:ascii="Times" w:hAnsi="Times"/>
                <w:i/>
              </w:rPr>
            </w:pPr>
            <w:r w:rsidRPr="00620877">
              <w:rPr>
                <w:rFonts w:ascii="Times" w:hAnsi="Times"/>
                <w:i/>
              </w:rPr>
              <w:t>A défaut d'éléments précis pour opérer les redressements prévus à l'alinéa précédent, les produits imposables sont déterminés par comparaison avec ceux des entreprises similaires exploitées normalement.</w:t>
            </w:r>
          </w:p>
        </w:tc>
      </w:tr>
    </w:tbl>
    <w:p w14:paraId="223FF620" w14:textId="77777777" w:rsidR="00112FAB" w:rsidRDefault="00112FAB" w:rsidP="00112FAB">
      <w:pPr>
        <w:widowControl w:val="0"/>
        <w:autoSpaceDE w:val="0"/>
        <w:autoSpaceDN w:val="0"/>
        <w:adjustRightInd w:val="0"/>
        <w:jc w:val="both"/>
        <w:rPr>
          <w:i/>
          <w:szCs w:val="21"/>
        </w:rPr>
      </w:pPr>
    </w:p>
    <w:p w14:paraId="0AD2009F" w14:textId="77777777" w:rsidR="00112FAB" w:rsidRDefault="00112FAB" w:rsidP="00112FAB">
      <w:pPr>
        <w:widowControl w:val="0"/>
        <w:autoSpaceDE w:val="0"/>
        <w:autoSpaceDN w:val="0"/>
        <w:adjustRightInd w:val="0"/>
        <w:jc w:val="both"/>
        <w:rPr>
          <w:szCs w:val="21"/>
        </w:rPr>
      </w:pPr>
    </w:p>
    <w:p w14:paraId="356E82D1"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Depuis quelques années, les obligations des entreprises en matière d’information se sont développées de manière exponentielle. Désormais, l’entreprise ne peut attendre sereinement les questions du vérificateur, elle doit préparer et mettre à sa disposition de plus en plus d’informations :</w:t>
      </w:r>
    </w:p>
    <w:p w14:paraId="6B9D6876" w14:textId="77777777" w:rsidR="00112FAB" w:rsidRPr="00ED5D91" w:rsidRDefault="00112FAB" w:rsidP="00112FAB">
      <w:pPr>
        <w:widowControl w:val="0"/>
        <w:numPr>
          <w:ilvl w:val="0"/>
          <w:numId w:val="6"/>
        </w:numPr>
        <w:autoSpaceDE w:val="0"/>
        <w:autoSpaceDN w:val="0"/>
        <w:adjustRightInd w:val="0"/>
        <w:jc w:val="both"/>
        <w:rPr>
          <w:rFonts w:ascii="Arial" w:hAnsi="Arial" w:cs="Arial"/>
          <w:sz w:val="22"/>
          <w:szCs w:val="22"/>
        </w:rPr>
      </w:pPr>
      <w:r w:rsidRPr="00ED5D91">
        <w:rPr>
          <w:rFonts w:ascii="Arial" w:hAnsi="Arial" w:cs="Arial"/>
          <w:sz w:val="22"/>
          <w:szCs w:val="22"/>
        </w:rPr>
        <w:t>Article L13 B du LPF en cas de contrôle fiscal (CA &lt; 400 millions €),</w:t>
      </w:r>
    </w:p>
    <w:p w14:paraId="10BD5D39" w14:textId="77777777" w:rsidR="00112FAB" w:rsidRPr="00ED5D91" w:rsidRDefault="00112FAB" w:rsidP="00112FAB">
      <w:pPr>
        <w:widowControl w:val="0"/>
        <w:numPr>
          <w:ilvl w:val="0"/>
          <w:numId w:val="6"/>
        </w:numPr>
        <w:autoSpaceDE w:val="0"/>
        <w:autoSpaceDN w:val="0"/>
        <w:adjustRightInd w:val="0"/>
        <w:jc w:val="both"/>
        <w:rPr>
          <w:rFonts w:ascii="Arial" w:hAnsi="Arial" w:cs="Arial"/>
          <w:sz w:val="22"/>
          <w:szCs w:val="22"/>
        </w:rPr>
      </w:pPr>
      <w:r w:rsidRPr="00ED5D91">
        <w:rPr>
          <w:rFonts w:ascii="Arial" w:hAnsi="Arial" w:cs="Arial"/>
          <w:sz w:val="22"/>
          <w:szCs w:val="22"/>
        </w:rPr>
        <w:t>Article 223 quinquies B pour les entreprises dont le CA ou le bilan dépasse 50 millions €,</w:t>
      </w:r>
    </w:p>
    <w:p w14:paraId="4BAE0BFA" w14:textId="13C9738A" w:rsidR="00112FAB" w:rsidRPr="00ED5D91" w:rsidRDefault="00112FAB" w:rsidP="00112FAB">
      <w:pPr>
        <w:widowControl w:val="0"/>
        <w:numPr>
          <w:ilvl w:val="0"/>
          <w:numId w:val="6"/>
        </w:numPr>
        <w:autoSpaceDE w:val="0"/>
        <w:autoSpaceDN w:val="0"/>
        <w:adjustRightInd w:val="0"/>
        <w:jc w:val="both"/>
        <w:rPr>
          <w:rFonts w:ascii="Arial" w:hAnsi="Arial" w:cs="Arial"/>
          <w:sz w:val="22"/>
          <w:szCs w:val="22"/>
        </w:rPr>
      </w:pPr>
      <w:r w:rsidRPr="00ED5D91">
        <w:rPr>
          <w:rFonts w:ascii="Arial" w:hAnsi="Arial" w:cs="Arial"/>
          <w:sz w:val="22"/>
          <w:szCs w:val="22"/>
        </w:rPr>
        <w:t>Article L13 AA du LPF pour les entreprises dont le CA ou le bilan dépasse 400 millions €,</w:t>
      </w:r>
    </w:p>
    <w:p w14:paraId="6F0E5F77" w14:textId="77777777" w:rsidR="00112FAB" w:rsidRPr="00ED5D91" w:rsidRDefault="00112FAB" w:rsidP="00112FAB">
      <w:pPr>
        <w:widowControl w:val="0"/>
        <w:numPr>
          <w:ilvl w:val="0"/>
          <w:numId w:val="6"/>
        </w:numPr>
        <w:autoSpaceDE w:val="0"/>
        <w:autoSpaceDN w:val="0"/>
        <w:adjustRightInd w:val="0"/>
        <w:jc w:val="both"/>
        <w:rPr>
          <w:rFonts w:ascii="Arial" w:hAnsi="Arial" w:cs="Arial"/>
          <w:sz w:val="22"/>
          <w:szCs w:val="22"/>
        </w:rPr>
      </w:pPr>
      <w:r w:rsidRPr="00ED5D91">
        <w:rPr>
          <w:rFonts w:ascii="Arial" w:hAnsi="Arial" w:cs="Arial"/>
          <w:sz w:val="22"/>
          <w:szCs w:val="22"/>
        </w:rPr>
        <w:t>Article 223 quinquies C pour les entreprises dont le CA dépasse 750 millions € et qui établissent des comptes consolidés (déclaration pays par pays).</w:t>
      </w:r>
    </w:p>
    <w:p w14:paraId="15715CC8" w14:textId="148D8239" w:rsidR="00112FAB" w:rsidRPr="00ED5D91" w:rsidRDefault="00112FAB" w:rsidP="00112FAB">
      <w:pPr>
        <w:widowControl w:val="0"/>
        <w:numPr>
          <w:ilvl w:val="0"/>
          <w:numId w:val="6"/>
        </w:numPr>
        <w:autoSpaceDE w:val="0"/>
        <w:autoSpaceDN w:val="0"/>
        <w:adjustRightInd w:val="0"/>
        <w:jc w:val="both"/>
        <w:rPr>
          <w:rFonts w:ascii="Arial" w:hAnsi="Arial" w:cs="Arial"/>
          <w:sz w:val="22"/>
          <w:szCs w:val="22"/>
        </w:rPr>
      </w:pPr>
      <w:r w:rsidRPr="00ED5D91">
        <w:rPr>
          <w:rFonts w:ascii="Arial" w:hAnsi="Arial" w:cs="Arial"/>
          <w:sz w:val="22"/>
          <w:szCs w:val="22"/>
        </w:rPr>
        <w:t>Article 1649 AD</w:t>
      </w:r>
      <w:r w:rsidR="00A20781">
        <w:rPr>
          <w:rFonts w:ascii="Arial" w:hAnsi="Arial" w:cs="Arial"/>
          <w:sz w:val="22"/>
          <w:szCs w:val="22"/>
        </w:rPr>
        <w:t xml:space="preserve"> </w:t>
      </w:r>
      <w:r w:rsidRPr="00ED5D91">
        <w:rPr>
          <w:rFonts w:ascii="Arial" w:hAnsi="Arial" w:cs="Arial"/>
          <w:sz w:val="22"/>
          <w:szCs w:val="22"/>
        </w:rPr>
        <w:t>déclaration d'un dispositif transfrontière, par l'intermédiaire ayant participé à la mise en œuvre de ce dispositif ou par le contribuable concerné.</w:t>
      </w:r>
    </w:p>
    <w:p w14:paraId="39012492"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7BE4CC8D"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1388436C"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Les problèmes de prix de transfert apparaissent normalement à l’occasion d’une vérification de comptabilité. Dans le cadre français, la procédure à suivre est précisée par le code :</w:t>
      </w:r>
    </w:p>
    <w:p w14:paraId="6D8F45FF"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2C7D3795" w14:textId="77777777" w:rsidR="00112FAB" w:rsidRPr="00ED5D91" w:rsidRDefault="00112FAB" w:rsidP="00112FAB">
      <w:pPr>
        <w:pStyle w:val="Titre1"/>
        <w:rPr>
          <w:rFonts w:ascii="Arial" w:hAnsi="Arial" w:cs="Arial"/>
          <w:sz w:val="22"/>
          <w:szCs w:val="22"/>
          <w:u w:val="none"/>
        </w:rPr>
      </w:pPr>
      <w:r w:rsidRPr="00ED5D91">
        <w:rPr>
          <w:rFonts w:ascii="Arial" w:hAnsi="Arial" w:cs="Arial"/>
          <w:sz w:val="22"/>
          <w:szCs w:val="22"/>
          <w:u w:val="none"/>
        </w:rPr>
        <w:lastRenderedPageBreak/>
        <w:t>Article L13B LPF</w:t>
      </w:r>
    </w:p>
    <w:p w14:paraId="5ACA10FD" w14:textId="77777777" w:rsidR="00112FAB" w:rsidRPr="0056434C" w:rsidRDefault="00112FAB" w:rsidP="00112FAB">
      <w:pPr>
        <w:pStyle w:val="Corpsdetexte"/>
        <w:pBdr>
          <w:top w:val="single" w:sz="4" w:space="1" w:color="auto"/>
          <w:left w:val="single" w:sz="4" w:space="4" w:color="auto"/>
          <w:bottom w:val="single" w:sz="4" w:space="1" w:color="auto"/>
          <w:right w:val="single" w:sz="4" w:space="4" w:color="auto"/>
        </w:pBdr>
        <w:jc w:val="both"/>
        <w:rPr>
          <w:rFonts w:ascii="Times" w:hAnsi="Times"/>
          <w:i/>
        </w:rPr>
      </w:pPr>
      <w:r w:rsidRPr="0056434C">
        <w:rPr>
          <w:rFonts w:ascii="Times" w:hAnsi="Times"/>
          <w:i/>
        </w:rPr>
        <w:t>Lorsque, au cours d'une vérification de comptabilité ou d'un examen de comptabilité, l'administration a réuni des éléments faisant présumer qu'une entreprise, autre que celles mentionnées au I de l'article L. 13 AA</w:t>
      </w:r>
      <w:r w:rsidRPr="0097087A">
        <w:rPr>
          <w:rFonts w:ascii="Times" w:hAnsi="Times"/>
          <w:b/>
          <w:i/>
        </w:rPr>
        <w:t>,</w:t>
      </w:r>
      <w:r w:rsidRPr="0056434C">
        <w:rPr>
          <w:rFonts w:ascii="Times" w:hAnsi="Times"/>
          <w:i/>
        </w:rPr>
        <w:t xml:space="preserve"> a opéré un transfert indirect de bénéfices, au sens des dispositions de l'article 57 du code général des impôts, elle peut demander à cette entreprise des informations et documents précisant :</w:t>
      </w:r>
    </w:p>
    <w:p w14:paraId="14FAAD27" w14:textId="77777777" w:rsidR="00112FAB" w:rsidRPr="0056434C" w:rsidRDefault="00112FAB" w:rsidP="00112FAB">
      <w:pPr>
        <w:pStyle w:val="Corpsdetexte"/>
        <w:pBdr>
          <w:top w:val="single" w:sz="4" w:space="1" w:color="auto"/>
          <w:left w:val="single" w:sz="4" w:space="4" w:color="auto"/>
          <w:bottom w:val="single" w:sz="4" w:space="1" w:color="auto"/>
          <w:right w:val="single" w:sz="4" w:space="4" w:color="auto"/>
        </w:pBdr>
        <w:jc w:val="both"/>
        <w:rPr>
          <w:rFonts w:ascii="Times" w:hAnsi="Times"/>
          <w:i/>
        </w:rPr>
      </w:pPr>
      <w:r w:rsidRPr="0056434C">
        <w:rPr>
          <w:rFonts w:ascii="Times" w:hAnsi="Times"/>
          <w:i/>
        </w:rPr>
        <w:t>1° La nature des relations entrant dans les prévisions de l'article 57 du code général des impôts, entre cette entreprise et une ou plusieurs entreprises exploitées hors de France ou sociétés ou groupements établis hors de France ;</w:t>
      </w:r>
    </w:p>
    <w:p w14:paraId="6FD17294" w14:textId="77777777" w:rsidR="00112FAB" w:rsidRPr="0056434C" w:rsidRDefault="00112FAB" w:rsidP="00112FAB">
      <w:pPr>
        <w:pStyle w:val="Corpsdetexte"/>
        <w:pBdr>
          <w:top w:val="single" w:sz="4" w:space="1" w:color="auto"/>
          <w:left w:val="single" w:sz="4" w:space="4" w:color="auto"/>
          <w:bottom w:val="single" w:sz="4" w:space="1" w:color="auto"/>
          <w:right w:val="single" w:sz="4" w:space="4" w:color="auto"/>
        </w:pBdr>
        <w:jc w:val="both"/>
        <w:rPr>
          <w:rFonts w:ascii="Times" w:hAnsi="Times"/>
          <w:i/>
        </w:rPr>
      </w:pPr>
      <w:r w:rsidRPr="0056434C">
        <w:rPr>
          <w:rFonts w:ascii="Times" w:hAnsi="Times"/>
          <w:i/>
        </w:rPr>
        <w:t xml:space="preserve">2° La </w:t>
      </w:r>
      <w:r w:rsidRPr="00A505FB">
        <w:rPr>
          <w:rFonts w:ascii="Times" w:hAnsi="Times"/>
          <w:b/>
          <w:bCs/>
          <w:i/>
          <w:u w:val="single"/>
        </w:rPr>
        <w:t>méthode de détermination des prix</w:t>
      </w:r>
      <w:r w:rsidRPr="0056434C">
        <w:rPr>
          <w:rFonts w:ascii="Times" w:hAnsi="Times"/>
          <w:i/>
        </w:rPr>
        <w:t xml:space="preserve"> des opérations de nature industrielle, commerciale ou financière qu'elle effectue avec des entreprises, sociétés ou groupements visés au 1° et les éléments qui la justifient ainsi que, le cas échéant, les contreparties consenties ;</w:t>
      </w:r>
    </w:p>
    <w:p w14:paraId="5125878F" w14:textId="77777777" w:rsidR="00112FAB" w:rsidRPr="0056434C" w:rsidRDefault="00112FAB" w:rsidP="00112FAB">
      <w:pPr>
        <w:pStyle w:val="Corpsdetexte"/>
        <w:pBdr>
          <w:top w:val="single" w:sz="4" w:space="1" w:color="auto"/>
          <w:left w:val="single" w:sz="4" w:space="4" w:color="auto"/>
          <w:bottom w:val="single" w:sz="4" w:space="1" w:color="auto"/>
          <w:right w:val="single" w:sz="4" w:space="4" w:color="auto"/>
        </w:pBdr>
        <w:jc w:val="both"/>
        <w:rPr>
          <w:rFonts w:ascii="Times" w:hAnsi="Times"/>
          <w:i/>
        </w:rPr>
      </w:pPr>
      <w:r w:rsidRPr="0056434C">
        <w:rPr>
          <w:rFonts w:ascii="Times" w:hAnsi="Times"/>
          <w:i/>
        </w:rPr>
        <w:t>3° Les activités exercées par les entreprises, sociétés ou groupements visés au 1°, liées aux opérations visées au 2° ;</w:t>
      </w:r>
    </w:p>
    <w:p w14:paraId="27CE5317" w14:textId="77777777" w:rsidR="00112FAB" w:rsidRPr="0056434C" w:rsidRDefault="00112FAB" w:rsidP="00112FAB">
      <w:pPr>
        <w:pStyle w:val="Corpsdetexte"/>
        <w:pBdr>
          <w:top w:val="single" w:sz="4" w:space="1" w:color="auto"/>
          <w:left w:val="single" w:sz="4" w:space="4" w:color="auto"/>
          <w:bottom w:val="single" w:sz="4" w:space="1" w:color="auto"/>
          <w:right w:val="single" w:sz="4" w:space="4" w:color="auto"/>
        </w:pBdr>
        <w:jc w:val="both"/>
        <w:rPr>
          <w:rFonts w:ascii="Times" w:hAnsi="Times"/>
          <w:i/>
        </w:rPr>
      </w:pPr>
      <w:r w:rsidRPr="0056434C">
        <w:rPr>
          <w:rFonts w:ascii="Times" w:hAnsi="Times"/>
          <w:i/>
        </w:rPr>
        <w:t>4° Le traitement fiscal réservé aux opérations visées au 2° et réalisées par les entreprises qu'elle exploite hors de France ou par les sociétés ou groupements visés au 1° dont elle détient, directement ou indirectement, la majorité du capital ou des droits de vote.</w:t>
      </w:r>
    </w:p>
    <w:p w14:paraId="3156608A" w14:textId="77777777" w:rsidR="00112FAB" w:rsidRPr="0056434C" w:rsidRDefault="00112FAB" w:rsidP="00112FAB">
      <w:pPr>
        <w:pStyle w:val="Corpsdetexte"/>
        <w:pBdr>
          <w:top w:val="single" w:sz="4" w:space="1" w:color="auto"/>
          <w:left w:val="single" w:sz="4" w:space="4" w:color="auto"/>
          <w:bottom w:val="single" w:sz="4" w:space="1" w:color="auto"/>
          <w:right w:val="single" w:sz="4" w:space="4" w:color="auto"/>
        </w:pBdr>
        <w:jc w:val="both"/>
        <w:rPr>
          <w:rFonts w:ascii="Times" w:hAnsi="Times"/>
          <w:i/>
        </w:rPr>
      </w:pPr>
      <w:r w:rsidRPr="0056434C">
        <w:rPr>
          <w:rFonts w:ascii="Times" w:hAnsi="Times"/>
          <w:i/>
        </w:rPr>
        <w:t>Les demandes visées au premier alinéa doivent être précises et indiquer explicitement, par nature d'activité ou par produit, le pays ou le territoire concerné, l'entreprise, la société ou le groupement visé ainsi que, le cas échéant, les montants en cause. Elles doivent, en outre, préciser à l'entreprise vérifiée le délai de réponse qui lui est ouvert. Ce délai, qui ne peut être inférieur à deux mois, peut être prorogé sur demande motivée sans pouvoir excéder au total une durée de trois mois.</w:t>
      </w:r>
    </w:p>
    <w:p w14:paraId="59C25709" w14:textId="77777777" w:rsidR="00112FAB" w:rsidRPr="0036248A" w:rsidRDefault="00112FAB" w:rsidP="00112FAB">
      <w:pPr>
        <w:pStyle w:val="Corpsdetexte"/>
        <w:pBdr>
          <w:top w:val="single" w:sz="4" w:space="1" w:color="auto"/>
          <w:left w:val="single" w:sz="4" w:space="4" w:color="auto"/>
          <w:bottom w:val="single" w:sz="4" w:space="1" w:color="auto"/>
          <w:right w:val="single" w:sz="4" w:space="4" w:color="auto"/>
        </w:pBdr>
        <w:jc w:val="both"/>
        <w:rPr>
          <w:rFonts w:ascii="Times" w:hAnsi="Times"/>
          <w:i/>
        </w:rPr>
      </w:pPr>
      <w:r w:rsidRPr="0056434C">
        <w:rPr>
          <w:rFonts w:ascii="Times" w:hAnsi="Times"/>
          <w:i/>
        </w:rPr>
        <w:t>Lorsque l'entreprise a répondu de façon insuffisante, l'administration lui adresse une mise en demeure d'avoir à compléter sa réponse dans un délai de trente jours en précisant les compléments de réponse qu'elle souhaite. Cette mise en demeure doit rappeler les sanctions applicables en cas de défaut de répons</w:t>
      </w:r>
      <w:r>
        <w:rPr>
          <w:rFonts w:ascii="Times" w:hAnsi="Times"/>
          <w:i/>
        </w:rPr>
        <w:t>e.</w:t>
      </w:r>
    </w:p>
    <w:p w14:paraId="0F91EA5C" w14:textId="77777777" w:rsidR="00112FAB" w:rsidRDefault="00112FAB" w:rsidP="00112FAB">
      <w:pPr>
        <w:widowControl w:val="0"/>
        <w:autoSpaceDE w:val="0"/>
        <w:autoSpaceDN w:val="0"/>
        <w:adjustRightInd w:val="0"/>
        <w:jc w:val="both"/>
        <w:rPr>
          <w:i/>
          <w:szCs w:val="21"/>
        </w:rPr>
      </w:pPr>
    </w:p>
    <w:p w14:paraId="6BD88916" w14:textId="77777777" w:rsidR="00112FAB" w:rsidRPr="00ED5D91" w:rsidRDefault="00112FAB" w:rsidP="00112FAB">
      <w:pPr>
        <w:widowControl w:val="0"/>
        <w:autoSpaceDE w:val="0"/>
        <w:autoSpaceDN w:val="0"/>
        <w:adjustRightInd w:val="0"/>
        <w:jc w:val="both"/>
        <w:rPr>
          <w:rFonts w:ascii="Arial" w:hAnsi="Arial" w:cs="Arial"/>
          <w:i/>
          <w:sz w:val="22"/>
          <w:szCs w:val="22"/>
        </w:rPr>
      </w:pPr>
    </w:p>
    <w:p w14:paraId="6D0FFDA3"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Pour les entreprises concernées, il convient de signaler le rôle-clé du contrôle interne qui doit être associé au processus d’élaboration de la documentation en matière de prix de transfert :</w:t>
      </w:r>
    </w:p>
    <w:p w14:paraId="19823EBE" w14:textId="60971D9E" w:rsidR="00112FAB" w:rsidRPr="00ED5D91" w:rsidRDefault="004C0595" w:rsidP="00112FAB">
      <w:pPr>
        <w:widowControl w:val="0"/>
        <w:numPr>
          <w:ilvl w:val="0"/>
          <w:numId w:val="5"/>
        </w:numPr>
        <w:autoSpaceDE w:val="0"/>
        <w:autoSpaceDN w:val="0"/>
        <w:adjustRightInd w:val="0"/>
        <w:jc w:val="both"/>
        <w:rPr>
          <w:rFonts w:ascii="Arial" w:hAnsi="Arial" w:cs="Arial"/>
          <w:sz w:val="22"/>
          <w:szCs w:val="22"/>
        </w:rPr>
      </w:pPr>
      <w:r w:rsidRPr="00ED5D91">
        <w:rPr>
          <w:rFonts w:ascii="Arial" w:hAnsi="Arial" w:cs="Arial"/>
          <w:sz w:val="22"/>
          <w:szCs w:val="22"/>
        </w:rPr>
        <w:t>Cartographier</w:t>
      </w:r>
      <w:r w:rsidR="00112FAB" w:rsidRPr="00ED5D91">
        <w:rPr>
          <w:rFonts w:ascii="Arial" w:hAnsi="Arial" w:cs="Arial"/>
          <w:sz w:val="22"/>
          <w:szCs w:val="22"/>
        </w:rPr>
        <w:t xml:space="preserve"> </w:t>
      </w:r>
      <w:r w:rsidRPr="00ED5D91">
        <w:rPr>
          <w:rFonts w:ascii="Arial" w:hAnsi="Arial" w:cs="Arial"/>
          <w:sz w:val="22"/>
          <w:szCs w:val="22"/>
        </w:rPr>
        <w:t>les flux intragroupes</w:t>
      </w:r>
      <w:r w:rsidR="00112FAB" w:rsidRPr="00ED5D91">
        <w:rPr>
          <w:rFonts w:ascii="Arial" w:hAnsi="Arial" w:cs="Arial"/>
          <w:sz w:val="22"/>
          <w:szCs w:val="22"/>
        </w:rPr>
        <w:t xml:space="preserve"> ;</w:t>
      </w:r>
    </w:p>
    <w:p w14:paraId="34ADC17C" w14:textId="2B7B39BA" w:rsidR="00112FAB" w:rsidRPr="00ED5D91" w:rsidRDefault="004C0595" w:rsidP="00112FAB">
      <w:pPr>
        <w:widowControl w:val="0"/>
        <w:numPr>
          <w:ilvl w:val="0"/>
          <w:numId w:val="5"/>
        </w:numPr>
        <w:autoSpaceDE w:val="0"/>
        <w:autoSpaceDN w:val="0"/>
        <w:adjustRightInd w:val="0"/>
        <w:jc w:val="both"/>
        <w:rPr>
          <w:rFonts w:ascii="Arial" w:hAnsi="Arial" w:cs="Arial"/>
          <w:sz w:val="22"/>
          <w:szCs w:val="22"/>
        </w:rPr>
      </w:pPr>
      <w:r w:rsidRPr="00ED5D91">
        <w:rPr>
          <w:rFonts w:ascii="Arial" w:hAnsi="Arial" w:cs="Arial"/>
          <w:sz w:val="22"/>
          <w:szCs w:val="22"/>
        </w:rPr>
        <w:t>Formaliser</w:t>
      </w:r>
      <w:r w:rsidR="00112FAB" w:rsidRPr="00ED5D91">
        <w:rPr>
          <w:rFonts w:ascii="Arial" w:hAnsi="Arial" w:cs="Arial"/>
          <w:sz w:val="22"/>
          <w:szCs w:val="22"/>
        </w:rPr>
        <w:t xml:space="preserve"> les points de contrôle permettant de justifier les montants facturés, l’outil informatique (ERP par exemple) devant être configuré pour facilement retrouver et suivre les données relatives aux prix de transfert ;</w:t>
      </w:r>
    </w:p>
    <w:p w14:paraId="08E4904F" w14:textId="23DA15DE" w:rsidR="00112FAB" w:rsidRPr="00ED5D91" w:rsidRDefault="004C0595" w:rsidP="00112FAB">
      <w:pPr>
        <w:widowControl w:val="0"/>
        <w:numPr>
          <w:ilvl w:val="0"/>
          <w:numId w:val="5"/>
        </w:numPr>
        <w:autoSpaceDE w:val="0"/>
        <w:autoSpaceDN w:val="0"/>
        <w:adjustRightInd w:val="0"/>
        <w:jc w:val="both"/>
        <w:rPr>
          <w:rFonts w:ascii="Arial" w:hAnsi="Arial" w:cs="Arial"/>
          <w:sz w:val="22"/>
          <w:szCs w:val="22"/>
        </w:rPr>
      </w:pPr>
      <w:r w:rsidRPr="00ED5D91">
        <w:rPr>
          <w:rFonts w:ascii="Arial" w:hAnsi="Arial" w:cs="Arial"/>
          <w:sz w:val="22"/>
          <w:szCs w:val="22"/>
        </w:rPr>
        <w:t>Définir</w:t>
      </w:r>
      <w:r w:rsidR="00112FAB" w:rsidRPr="00ED5D91">
        <w:rPr>
          <w:rFonts w:ascii="Arial" w:hAnsi="Arial" w:cs="Arial"/>
          <w:sz w:val="22"/>
          <w:szCs w:val="22"/>
        </w:rPr>
        <w:t xml:space="preserve"> et communiquer les rôles et responsabilités en matière de prix de transfert ;</w:t>
      </w:r>
    </w:p>
    <w:p w14:paraId="4380ED82" w14:textId="2AF3537D" w:rsidR="00112FAB" w:rsidRPr="00ED5D91" w:rsidRDefault="004C0595" w:rsidP="00112FAB">
      <w:pPr>
        <w:widowControl w:val="0"/>
        <w:numPr>
          <w:ilvl w:val="0"/>
          <w:numId w:val="5"/>
        </w:numPr>
        <w:autoSpaceDE w:val="0"/>
        <w:autoSpaceDN w:val="0"/>
        <w:adjustRightInd w:val="0"/>
        <w:jc w:val="both"/>
        <w:rPr>
          <w:rFonts w:ascii="Arial" w:hAnsi="Arial" w:cs="Arial"/>
          <w:sz w:val="22"/>
          <w:szCs w:val="22"/>
        </w:rPr>
      </w:pPr>
      <w:r w:rsidRPr="00ED5D91">
        <w:rPr>
          <w:rFonts w:ascii="Arial" w:hAnsi="Arial" w:cs="Arial"/>
          <w:sz w:val="22"/>
          <w:szCs w:val="22"/>
        </w:rPr>
        <w:t>Mettre</w:t>
      </w:r>
      <w:r w:rsidR="00112FAB" w:rsidRPr="00ED5D91">
        <w:rPr>
          <w:rFonts w:ascii="Arial" w:hAnsi="Arial" w:cs="Arial"/>
          <w:sz w:val="22"/>
          <w:szCs w:val="22"/>
        </w:rPr>
        <w:t xml:space="preserve"> en place des procédures d’identification et de remontée des </w:t>
      </w:r>
      <w:r w:rsidR="00127496" w:rsidRPr="00ED5D91">
        <w:rPr>
          <w:rFonts w:ascii="Arial" w:hAnsi="Arial" w:cs="Arial"/>
          <w:sz w:val="22"/>
          <w:szCs w:val="22"/>
        </w:rPr>
        <w:t>non-conformités</w:t>
      </w:r>
      <w:r w:rsidR="00112FAB" w:rsidRPr="00ED5D91">
        <w:rPr>
          <w:rFonts w:ascii="Arial" w:hAnsi="Arial" w:cs="Arial"/>
          <w:sz w:val="22"/>
          <w:szCs w:val="22"/>
        </w:rPr>
        <w:t xml:space="preserve"> au dispositif de contrôle des prix de transfert ;</w:t>
      </w:r>
    </w:p>
    <w:p w14:paraId="442460A7" w14:textId="6C0A0292" w:rsidR="00112FAB" w:rsidRPr="00ED5D91" w:rsidRDefault="004C0595" w:rsidP="00112FAB">
      <w:pPr>
        <w:widowControl w:val="0"/>
        <w:numPr>
          <w:ilvl w:val="0"/>
          <w:numId w:val="5"/>
        </w:numPr>
        <w:autoSpaceDE w:val="0"/>
        <w:autoSpaceDN w:val="0"/>
        <w:adjustRightInd w:val="0"/>
        <w:jc w:val="both"/>
        <w:rPr>
          <w:rFonts w:ascii="Arial" w:hAnsi="Arial" w:cs="Arial"/>
          <w:sz w:val="22"/>
          <w:szCs w:val="22"/>
        </w:rPr>
      </w:pPr>
      <w:r w:rsidRPr="00ED5D91">
        <w:rPr>
          <w:rFonts w:ascii="Arial" w:hAnsi="Arial" w:cs="Arial"/>
          <w:sz w:val="22"/>
          <w:szCs w:val="22"/>
        </w:rPr>
        <w:t>Organiser</w:t>
      </w:r>
      <w:r w:rsidR="00112FAB" w:rsidRPr="00ED5D91">
        <w:rPr>
          <w:rFonts w:ascii="Arial" w:hAnsi="Arial" w:cs="Arial"/>
          <w:sz w:val="22"/>
          <w:szCs w:val="22"/>
        </w:rPr>
        <w:t xml:space="preserve"> la révision ou l’ajustement de la politique de prix de transfert et de la documentation en cas de modification du</w:t>
      </w:r>
      <w:proofErr w:type="gramStart"/>
      <w:r w:rsidR="00127496">
        <w:rPr>
          <w:rFonts w:ascii="Arial" w:hAnsi="Arial" w:cs="Arial"/>
          <w:sz w:val="22"/>
          <w:szCs w:val="22"/>
        </w:rPr>
        <w:t xml:space="preserve"> </w:t>
      </w:r>
      <w:r w:rsidR="00112FAB" w:rsidRPr="00ED5D91">
        <w:rPr>
          <w:rFonts w:ascii="Arial" w:hAnsi="Arial" w:cs="Arial"/>
          <w:sz w:val="22"/>
          <w:szCs w:val="22"/>
        </w:rPr>
        <w:t>«business</w:t>
      </w:r>
      <w:proofErr w:type="gramEnd"/>
      <w:r w:rsidR="00112FAB" w:rsidRPr="00ED5D91">
        <w:rPr>
          <w:rFonts w:ascii="Arial" w:hAnsi="Arial" w:cs="Arial"/>
          <w:sz w:val="22"/>
          <w:szCs w:val="22"/>
        </w:rPr>
        <w:t xml:space="preserve"> model» (restructuration, acquisitions…) ou lors de changements significatifs dans l’environnement de l’entreprise.</w:t>
      </w:r>
    </w:p>
    <w:p w14:paraId="14247ACC"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568795A3"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2A846A87" w14:textId="77777777" w:rsidR="00112FAB" w:rsidRPr="00ED5D91" w:rsidRDefault="00112FAB" w:rsidP="00112FAB">
      <w:pPr>
        <w:widowControl w:val="0"/>
        <w:autoSpaceDE w:val="0"/>
        <w:autoSpaceDN w:val="0"/>
        <w:adjustRightInd w:val="0"/>
        <w:jc w:val="both"/>
        <w:rPr>
          <w:rFonts w:ascii="Arial" w:hAnsi="Arial" w:cs="Arial"/>
          <w:b/>
          <w:sz w:val="22"/>
          <w:szCs w:val="22"/>
        </w:rPr>
      </w:pPr>
      <w:r w:rsidRPr="00ED5D91">
        <w:rPr>
          <w:rFonts w:ascii="Arial" w:hAnsi="Arial" w:cs="Arial"/>
          <w:b/>
          <w:sz w:val="22"/>
          <w:szCs w:val="22"/>
        </w:rPr>
        <w:t>Article 223 quinquies B</w:t>
      </w:r>
    </w:p>
    <w:p w14:paraId="34F78E7E"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Les personnes morales établies en France :</w:t>
      </w:r>
    </w:p>
    <w:p w14:paraId="18223C43"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 xml:space="preserve">1° Dont le chiffre d'affaires annuel hors taxe ou l'actif brut figurant au bilan est supérieur ou égal à </w:t>
      </w:r>
      <w:r w:rsidRPr="0097087A">
        <w:rPr>
          <w:b/>
          <w:i/>
          <w:szCs w:val="21"/>
        </w:rPr>
        <w:t>50 millions d'euros</w:t>
      </w:r>
      <w:r w:rsidRPr="0097087A">
        <w:rPr>
          <w:i/>
          <w:szCs w:val="21"/>
        </w:rPr>
        <w:t xml:space="preserve"> ;</w:t>
      </w:r>
    </w:p>
    <w:p w14:paraId="746E8A90"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lastRenderedPageBreak/>
        <w:t>2° Ou détenant à la clôture de l'exercice, directement ou indirectement, plus de la moitié du capital ou des droits de vote d'une entité juridique (personne morale, organisme, fiducie ou institution comparable établie ou constituée en France ou hors de France) satisfaisant à l'une des conditions mentionnées au 1° ;</w:t>
      </w:r>
    </w:p>
    <w:p w14:paraId="4FC6A74E"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3° Ou dont plus de la moitié du capital ou des droits de vote est détenue à la clôture de l'exercice, directement ou indirectement, par une entité juridique satisfaisant à l'une des conditions mentionnées au 1° ;</w:t>
      </w:r>
    </w:p>
    <w:p w14:paraId="130D31E2"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4° Ou appartenant à un groupe relevant du régime fiscal prévu à l'article 223 A ou à l'article 223 A bis lorsque ce groupe comprend au moins une personne morale satisfaisant à l'une des conditions mentionnées aux 1° à 3° du présent I,</w:t>
      </w:r>
    </w:p>
    <w:p w14:paraId="7C3F56B5"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p>
    <w:p w14:paraId="24EE5305"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 xml:space="preserve">Souscrivent une </w:t>
      </w:r>
      <w:r w:rsidRPr="0097087A">
        <w:rPr>
          <w:b/>
          <w:i/>
          <w:szCs w:val="21"/>
        </w:rPr>
        <w:t>déclaration, par voie électronique</w:t>
      </w:r>
      <w:r w:rsidRPr="0097087A">
        <w:rPr>
          <w:i/>
          <w:szCs w:val="21"/>
        </w:rPr>
        <w:t>, dans le délai de six mois</w:t>
      </w:r>
      <w:r>
        <w:rPr>
          <w:i/>
          <w:szCs w:val="21"/>
        </w:rPr>
        <w:t xml:space="preserve"> (*)</w:t>
      </w:r>
      <w:r w:rsidRPr="0097087A">
        <w:rPr>
          <w:i/>
          <w:szCs w:val="21"/>
        </w:rPr>
        <w:t xml:space="preserve"> qui suit la clôture (rappel : la déclaration standard doit être faite dans les trois mois).</w:t>
      </w:r>
    </w:p>
    <w:p w14:paraId="65F3A4A1" w14:textId="77777777" w:rsidR="00112FAB"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szCs w:val="21"/>
        </w:rPr>
      </w:pPr>
    </w:p>
    <w:p w14:paraId="4EFFAF12"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La déclaration comporte les informations suivantes :</w:t>
      </w:r>
    </w:p>
    <w:p w14:paraId="41EC25AC"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1° Des informations générales sur le groupe d'entreprises associées :</w:t>
      </w:r>
    </w:p>
    <w:p w14:paraId="1B6E130D"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a) Une description générale de l'activité déployée, incluant les changements intervenus au cours de l'exercice ;</w:t>
      </w:r>
    </w:p>
    <w:p w14:paraId="68DD8BD9"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b) Une liste des principaux actifs incorporels détenus, notamment brevets, marques, noms commerciaux et savoir-faire, en relation avec l'entreprise déclarante ainsi que l'</w:t>
      </w:r>
      <w:proofErr w:type="spellStart"/>
      <w:r w:rsidRPr="0097087A">
        <w:rPr>
          <w:i/>
          <w:szCs w:val="21"/>
        </w:rPr>
        <w:t>Etat</w:t>
      </w:r>
      <w:proofErr w:type="spellEnd"/>
      <w:r w:rsidRPr="0097087A">
        <w:rPr>
          <w:i/>
          <w:szCs w:val="21"/>
        </w:rPr>
        <w:t xml:space="preserve"> ou le territoire d'implantation de l'entreprise propriétaire de ces actifs ;</w:t>
      </w:r>
    </w:p>
    <w:p w14:paraId="164AF188"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 xml:space="preserve">c) Une </w:t>
      </w:r>
      <w:r w:rsidRPr="00A505FB">
        <w:rPr>
          <w:b/>
          <w:bCs/>
          <w:i/>
          <w:szCs w:val="21"/>
          <w:u w:val="single"/>
        </w:rPr>
        <w:t>description générale de la politique de prix de transfert du</w:t>
      </w:r>
      <w:r w:rsidRPr="00FA2A66">
        <w:rPr>
          <w:b/>
          <w:bCs/>
          <w:i/>
          <w:szCs w:val="21"/>
        </w:rPr>
        <w:t xml:space="preserve"> groupe</w:t>
      </w:r>
      <w:r w:rsidRPr="0097087A">
        <w:rPr>
          <w:i/>
          <w:szCs w:val="21"/>
        </w:rPr>
        <w:t xml:space="preserve"> et les changements intervenus au cours de l'exercice ;</w:t>
      </w:r>
    </w:p>
    <w:p w14:paraId="54209EE2"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p>
    <w:p w14:paraId="027C31F3"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2° Des informations spécifiques concernant l'entreprise :</w:t>
      </w:r>
    </w:p>
    <w:p w14:paraId="7194F5B1"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a) Une description de l'activité déployée, incluant les changements intervenus au cours de l'exercice ;</w:t>
      </w:r>
    </w:p>
    <w:p w14:paraId="7AA26CE7"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b) Un état récapitulatif des opérations réalisées avec d'autres entreprises associées, lorsque le montant agrégé par nature de transactions excède 100 000 €. Cet état indique la nature et le montant des transactions, ainsi que les États et territoires d'implantation des entreprises associées ;</w:t>
      </w:r>
    </w:p>
    <w:p w14:paraId="4438D686" w14:textId="77777777" w:rsidR="00112FAB" w:rsidRPr="0097087A"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szCs w:val="21"/>
        </w:rPr>
      </w:pPr>
      <w:r w:rsidRPr="0097087A">
        <w:rPr>
          <w:i/>
          <w:szCs w:val="21"/>
        </w:rPr>
        <w:t>c) Une présentation de la ou des méthodes de détermination des prix de transfert dans le respect du principe de pleine concurrence en indiquant la principale méthode utilisée et les changements intervenus au cours de l'exercice.</w:t>
      </w:r>
    </w:p>
    <w:p w14:paraId="538AAF37"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rappel : le délai pour la déclaration du résultat est 3 mois</w:t>
      </w:r>
    </w:p>
    <w:p w14:paraId="0A70B756"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136C0C4" w14:textId="4BFD9694" w:rsidR="00112FAB" w:rsidRPr="000E564F"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L’entreprise doit effectivement avoir une POLITIQUE DE PRIX DE TRANSFERT. Il s’agit désormais d’une télé déclaration annuelle, à fournir dans les 6 mois qui suivent la déclaration des résultats. Cette obligation déclarative allégée s’applique aux personnes morales françaises ainsi qu’aux établissements stables français d’entités étrangères :</w:t>
      </w:r>
    </w:p>
    <w:p w14:paraId="6C8DF6CB" w14:textId="77777777" w:rsidR="00112FAB" w:rsidRDefault="00112FAB" w:rsidP="00112FAB">
      <w:pPr>
        <w:jc w:val="both"/>
      </w:pPr>
    </w:p>
    <w:p w14:paraId="1D41B08D" w14:textId="77777777" w:rsidR="00112FAB" w:rsidRPr="00136DE2" w:rsidRDefault="00112FAB" w:rsidP="00112FAB">
      <w:pPr>
        <w:jc w:val="both"/>
        <w:rPr>
          <w:i/>
          <w:iCs/>
        </w:rPr>
      </w:pPr>
      <w:r w:rsidRPr="00136DE2">
        <w:rPr>
          <w:i/>
          <w:iCs/>
        </w:rPr>
        <w:t xml:space="preserve">Enfin, ce </w:t>
      </w:r>
      <w:r>
        <w:rPr>
          <w:i/>
          <w:iCs/>
        </w:rPr>
        <w:t>…</w:t>
      </w:r>
      <w:r w:rsidRPr="00136DE2">
        <w:rPr>
          <w:i/>
          <w:iCs/>
        </w:rPr>
        <w:t xml:space="preserve"> format induit l’obligation pour les entreprises françaises de présenter les conséquences arithmétiques de l’application des politiques de prix de transfert dans la comptabilité sociale de l’entreprise avec l’identification des comptes concernés : cette information, qui ne sera a priori pas aisée à fournir pour des sociétés ayant plusieurs activités ou types de flux internationaux intragroupe, devrait permettre à l’administration de vérifier concrètement la traduction comptable de la politique de prix de transfert mise en œuvre. En outre, l’administration pourrait avoir un accès plus large à la comptabilité analytique des entreprises puisque le décret prévoit que les informations doivent notamment porter sur : </w:t>
      </w:r>
      <w:r w:rsidRPr="00136DE2">
        <w:rPr>
          <w:rStyle w:val="Accentuation"/>
          <w:i w:val="0"/>
          <w:iCs w:val="0"/>
        </w:rPr>
        <w:t xml:space="preserve">« la </w:t>
      </w:r>
      <w:r w:rsidRPr="00136DE2">
        <w:rPr>
          <w:rStyle w:val="Accentuation"/>
          <w:i w:val="0"/>
          <w:iCs w:val="0"/>
        </w:rPr>
        <w:lastRenderedPageBreak/>
        <w:t>correspondance entre les états financiers ayant servi à la détermination des prix et ceux dont la tenue par l’entreprise est obligatoire »</w:t>
      </w:r>
      <w:r w:rsidRPr="00136DE2">
        <w:rPr>
          <w:i/>
          <w:iCs/>
        </w:rPr>
        <w:t>.</w:t>
      </w:r>
      <w:r w:rsidRPr="00136DE2">
        <w:rPr>
          <w:rStyle w:val="Appelnotedebasdep"/>
          <w:i/>
          <w:iCs/>
        </w:rPr>
        <w:footnoteReference w:id="4"/>
      </w:r>
    </w:p>
    <w:p w14:paraId="7C1ECCCA" w14:textId="77777777" w:rsidR="00112FAB" w:rsidRDefault="00112FAB" w:rsidP="00112FAB">
      <w:pPr>
        <w:widowControl w:val="0"/>
        <w:autoSpaceDE w:val="0"/>
        <w:autoSpaceDN w:val="0"/>
        <w:adjustRightInd w:val="0"/>
        <w:jc w:val="both"/>
        <w:rPr>
          <w:szCs w:val="21"/>
        </w:rPr>
      </w:pPr>
    </w:p>
    <w:p w14:paraId="44A34ABB" w14:textId="77777777" w:rsidR="00112FAB" w:rsidRPr="00FA2A66" w:rsidRDefault="00112FAB" w:rsidP="00112FAB">
      <w:pPr>
        <w:widowControl w:val="0"/>
        <w:autoSpaceDE w:val="0"/>
        <w:autoSpaceDN w:val="0"/>
        <w:adjustRightInd w:val="0"/>
        <w:jc w:val="both"/>
        <w:rPr>
          <w:rFonts w:ascii="Arial" w:hAnsi="Arial" w:cs="Arial"/>
          <w:sz w:val="22"/>
          <w:szCs w:val="22"/>
        </w:rPr>
      </w:pPr>
      <w:r w:rsidRPr="00FA2A66">
        <w:rPr>
          <w:rFonts w:ascii="Arial" w:hAnsi="Arial" w:cs="Arial"/>
          <w:sz w:val="22"/>
          <w:szCs w:val="22"/>
        </w:rPr>
        <w:t>Des exigences particulières touchent les « grandes entreprises » qui doivent élaborer une information, sans attendre les demandes de l’administration.</w:t>
      </w:r>
    </w:p>
    <w:p w14:paraId="4776D0C2" w14:textId="77777777" w:rsidR="00112FAB" w:rsidRPr="00FA2A66" w:rsidRDefault="00112FAB" w:rsidP="00112FAB">
      <w:pPr>
        <w:widowControl w:val="0"/>
        <w:autoSpaceDE w:val="0"/>
        <w:autoSpaceDN w:val="0"/>
        <w:adjustRightInd w:val="0"/>
        <w:jc w:val="both"/>
        <w:rPr>
          <w:rFonts w:ascii="Arial" w:hAnsi="Arial" w:cs="Arial"/>
          <w:sz w:val="22"/>
          <w:szCs w:val="22"/>
        </w:rPr>
      </w:pPr>
      <w:r w:rsidRPr="00FA2A66">
        <w:rPr>
          <w:rFonts w:ascii="Arial" w:hAnsi="Arial" w:cs="Arial"/>
          <w:sz w:val="22"/>
          <w:szCs w:val="22"/>
        </w:rPr>
        <w:t>Selon l’article Article L13 AA LPF, les personnes morales concernées sont celles :</w:t>
      </w:r>
    </w:p>
    <w:p w14:paraId="343380BD" w14:textId="77777777" w:rsidR="00112FAB" w:rsidRDefault="00112FAB" w:rsidP="00112FAB">
      <w:pPr>
        <w:widowControl w:val="0"/>
        <w:autoSpaceDE w:val="0"/>
        <w:autoSpaceDN w:val="0"/>
        <w:adjustRightInd w:val="0"/>
        <w:jc w:val="both"/>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3"/>
        <w:gridCol w:w="992"/>
      </w:tblGrid>
      <w:tr w:rsidR="00112FAB" w:rsidRPr="0021751D" w14:paraId="14B25D06" w14:textId="77777777" w:rsidTr="00D01B65">
        <w:tc>
          <w:tcPr>
            <w:tcW w:w="8755" w:type="dxa"/>
            <w:gridSpan w:val="2"/>
            <w:shd w:val="clear" w:color="auto" w:fill="auto"/>
          </w:tcPr>
          <w:p w14:paraId="36DE9978" w14:textId="77777777" w:rsidR="00112FAB" w:rsidRPr="0021751D" w:rsidRDefault="00112FAB" w:rsidP="00D01B65">
            <w:pPr>
              <w:widowControl w:val="0"/>
              <w:autoSpaceDE w:val="0"/>
              <w:autoSpaceDN w:val="0"/>
              <w:adjustRightInd w:val="0"/>
              <w:jc w:val="center"/>
              <w:rPr>
                <w:b/>
                <w:szCs w:val="21"/>
              </w:rPr>
            </w:pPr>
            <w:r w:rsidRPr="0021751D">
              <w:rPr>
                <w:b/>
                <w:szCs w:val="21"/>
              </w:rPr>
              <w:t>ART L 13 AA LPF</w:t>
            </w:r>
          </w:p>
        </w:tc>
      </w:tr>
      <w:tr w:rsidR="00112FAB" w:rsidRPr="00FE4FCC" w14:paraId="3FF0F379" w14:textId="77777777" w:rsidTr="00D01B65">
        <w:tc>
          <w:tcPr>
            <w:tcW w:w="7763" w:type="dxa"/>
            <w:shd w:val="clear" w:color="auto" w:fill="auto"/>
          </w:tcPr>
          <w:p w14:paraId="19A76D26" w14:textId="025BAF66" w:rsidR="00112FAB" w:rsidRPr="00FE4FCC" w:rsidRDefault="00112FAB" w:rsidP="00D01B65">
            <w:pPr>
              <w:jc w:val="both"/>
              <w:rPr>
                <w:b/>
                <w:szCs w:val="22"/>
              </w:rPr>
            </w:pPr>
            <w:r w:rsidRPr="00FE4FCC">
              <w:rPr>
                <w:b/>
                <w:szCs w:val="22"/>
              </w:rPr>
              <w:t xml:space="preserve">a) CA HT ou actif brut figurant au bilan ≥ </w:t>
            </w:r>
            <w:r w:rsidR="004A3800">
              <w:rPr>
                <w:b/>
                <w:szCs w:val="22"/>
              </w:rPr>
              <w:t xml:space="preserve">150 </w:t>
            </w:r>
            <w:r w:rsidRPr="00FE4FCC">
              <w:rPr>
                <w:b/>
                <w:szCs w:val="22"/>
              </w:rPr>
              <w:t>millions d'euros,</w:t>
            </w:r>
          </w:p>
        </w:tc>
        <w:tc>
          <w:tcPr>
            <w:tcW w:w="992" w:type="dxa"/>
            <w:shd w:val="clear" w:color="auto" w:fill="auto"/>
          </w:tcPr>
          <w:p w14:paraId="47130699" w14:textId="77777777" w:rsidR="00112FAB" w:rsidRPr="00FE4FCC" w:rsidRDefault="00112FAB" w:rsidP="00D01B65">
            <w:pPr>
              <w:widowControl w:val="0"/>
              <w:autoSpaceDE w:val="0"/>
              <w:autoSpaceDN w:val="0"/>
              <w:adjustRightInd w:val="0"/>
              <w:jc w:val="both"/>
              <w:rPr>
                <w:szCs w:val="21"/>
              </w:rPr>
            </w:pPr>
          </w:p>
        </w:tc>
      </w:tr>
      <w:tr w:rsidR="00112FAB" w:rsidRPr="00FE4FCC" w14:paraId="6E069557" w14:textId="77777777" w:rsidTr="00D01B65">
        <w:tc>
          <w:tcPr>
            <w:tcW w:w="7763" w:type="dxa"/>
            <w:shd w:val="clear" w:color="auto" w:fill="auto"/>
          </w:tcPr>
          <w:p w14:paraId="19B94545" w14:textId="77777777" w:rsidR="00112FAB" w:rsidRPr="00E54236" w:rsidRDefault="00112FAB" w:rsidP="00D01B65">
            <w:pPr>
              <w:jc w:val="both"/>
              <w:rPr>
                <w:sz w:val="20"/>
                <w:szCs w:val="20"/>
              </w:rPr>
            </w:pPr>
            <w:r w:rsidRPr="00E54236">
              <w:rPr>
                <w:sz w:val="20"/>
                <w:szCs w:val="20"/>
              </w:rPr>
              <w:t>b) Détenant à la clôture de l'exercice, directement ou indirectement, &gt; 50% du capital ou des droits de vote d'une entité juridique ― personne morale, organisme, fiducie ou institution comparable établie ou constituée en France ou hors de France ― satisfaisant à l'une des conditions mentionnées au a,</w:t>
            </w:r>
          </w:p>
          <w:p w14:paraId="73A33983" w14:textId="77777777" w:rsidR="00112FAB" w:rsidRPr="00E54236" w:rsidRDefault="00112FAB" w:rsidP="00D01B65">
            <w:pPr>
              <w:jc w:val="both"/>
              <w:rPr>
                <w:sz w:val="20"/>
                <w:szCs w:val="20"/>
              </w:rPr>
            </w:pPr>
            <w:r w:rsidRPr="00E54236">
              <w:rPr>
                <w:sz w:val="20"/>
                <w:szCs w:val="20"/>
              </w:rPr>
              <w:t>c) Dont &gt; 50% du capital ou des droits de vote est détenue, à la clôture de l'exercice, directement ou indirectement, par une entité juridique satisfaisant à l'une des conditions mentionnées au a,</w:t>
            </w:r>
          </w:p>
        </w:tc>
        <w:tc>
          <w:tcPr>
            <w:tcW w:w="992" w:type="dxa"/>
            <w:vMerge w:val="restart"/>
            <w:shd w:val="clear" w:color="auto" w:fill="auto"/>
          </w:tcPr>
          <w:p w14:paraId="57E24170" w14:textId="77777777" w:rsidR="00112FAB" w:rsidRPr="00FE4FCC" w:rsidRDefault="00112FAB" w:rsidP="00D01B65">
            <w:pPr>
              <w:widowControl w:val="0"/>
              <w:autoSpaceDE w:val="0"/>
              <w:autoSpaceDN w:val="0"/>
              <w:adjustRightInd w:val="0"/>
              <w:jc w:val="both"/>
              <w:rPr>
                <w:szCs w:val="21"/>
              </w:rPr>
            </w:pPr>
          </w:p>
          <w:p w14:paraId="1DF5406E" w14:textId="77777777" w:rsidR="00112FAB" w:rsidRPr="00FE4FCC" w:rsidRDefault="00112FAB" w:rsidP="00D01B65">
            <w:pPr>
              <w:widowControl w:val="0"/>
              <w:autoSpaceDE w:val="0"/>
              <w:autoSpaceDN w:val="0"/>
              <w:adjustRightInd w:val="0"/>
              <w:jc w:val="both"/>
              <w:rPr>
                <w:szCs w:val="21"/>
              </w:rPr>
            </w:pPr>
          </w:p>
          <w:p w14:paraId="64B56E29" w14:textId="77777777" w:rsidR="00112FAB" w:rsidRPr="00FE4FCC" w:rsidRDefault="00112FAB" w:rsidP="00D01B65">
            <w:pPr>
              <w:widowControl w:val="0"/>
              <w:autoSpaceDE w:val="0"/>
              <w:autoSpaceDN w:val="0"/>
              <w:adjustRightInd w:val="0"/>
              <w:jc w:val="both"/>
              <w:rPr>
                <w:szCs w:val="21"/>
              </w:rPr>
            </w:pPr>
          </w:p>
          <w:p w14:paraId="1F500F8F" w14:textId="77777777" w:rsidR="00112FAB" w:rsidRPr="00FE4FCC" w:rsidRDefault="00112FAB" w:rsidP="00D01B65">
            <w:pPr>
              <w:widowControl w:val="0"/>
              <w:autoSpaceDE w:val="0"/>
              <w:autoSpaceDN w:val="0"/>
              <w:adjustRightInd w:val="0"/>
              <w:jc w:val="both"/>
              <w:rPr>
                <w:szCs w:val="21"/>
              </w:rPr>
            </w:pPr>
          </w:p>
          <w:p w14:paraId="5D71B3AB" w14:textId="77777777" w:rsidR="00112FAB" w:rsidRPr="00FE4FCC" w:rsidRDefault="00112FAB" w:rsidP="00D01B65">
            <w:pPr>
              <w:widowControl w:val="0"/>
              <w:autoSpaceDE w:val="0"/>
              <w:autoSpaceDN w:val="0"/>
              <w:adjustRightInd w:val="0"/>
              <w:jc w:val="center"/>
              <w:rPr>
                <w:b/>
                <w:szCs w:val="21"/>
              </w:rPr>
            </w:pPr>
            <w:r w:rsidRPr="00FE4FCC">
              <w:rPr>
                <w:b/>
                <w:szCs w:val="21"/>
              </w:rPr>
              <w:t>OU</w:t>
            </w:r>
          </w:p>
        </w:tc>
      </w:tr>
      <w:tr w:rsidR="00112FAB" w:rsidRPr="00FE4FCC" w14:paraId="64EAE74C" w14:textId="77777777" w:rsidTr="00D01B65">
        <w:tc>
          <w:tcPr>
            <w:tcW w:w="7763" w:type="dxa"/>
            <w:shd w:val="clear" w:color="auto" w:fill="auto"/>
          </w:tcPr>
          <w:p w14:paraId="0D9C0BDE" w14:textId="77777777" w:rsidR="00112FAB" w:rsidRPr="00E54236" w:rsidRDefault="00112FAB" w:rsidP="00D01B65">
            <w:pPr>
              <w:jc w:val="both"/>
              <w:rPr>
                <w:sz w:val="20"/>
                <w:szCs w:val="20"/>
              </w:rPr>
            </w:pPr>
            <w:r w:rsidRPr="00E54236">
              <w:rPr>
                <w:sz w:val="20"/>
                <w:szCs w:val="20"/>
              </w:rPr>
              <w:t>e) Appartenant à un groupe relevant du régime fiscal prévu à l'article 223 A du même code lorsque ce groupe comprend au moins une personne morale satisfaisant l'une des conditions mentionnées aux a, b ou c.</w:t>
            </w:r>
          </w:p>
        </w:tc>
        <w:tc>
          <w:tcPr>
            <w:tcW w:w="992" w:type="dxa"/>
            <w:vMerge/>
            <w:shd w:val="clear" w:color="auto" w:fill="auto"/>
          </w:tcPr>
          <w:p w14:paraId="367FEE6F" w14:textId="77777777" w:rsidR="00112FAB" w:rsidRPr="00FE4FCC" w:rsidRDefault="00112FAB" w:rsidP="00D01B65">
            <w:pPr>
              <w:widowControl w:val="0"/>
              <w:autoSpaceDE w:val="0"/>
              <w:autoSpaceDN w:val="0"/>
              <w:adjustRightInd w:val="0"/>
              <w:jc w:val="both"/>
              <w:rPr>
                <w:szCs w:val="21"/>
              </w:rPr>
            </w:pPr>
          </w:p>
        </w:tc>
      </w:tr>
    </w:tbl>
    <w:p w14:paraId="22B839AF" w14:textId="77777777" w:rsidR="00112FAB" w:rsidRDefault="00112FAB" w:rsidP="00112FAB">
      <w:pPr>
        <w:widowControl w:val="0"/>
        <w:autoSpaceDE w:val="0"/>
        <w:autoSpaceDN w:val="0"/>
        <w:adjustRightInd w:val="0"/>
        <w:jc w:val="both"/>
        <w:rPr>
          <w:szCs w:val="21"/>
        </w:rPr>
      </w:pPr>
    </w:p>
    <w:p w14:paraId="1089B7B5" w14:textId="77777777" w:rsidR="00112FAB" w:rsidRDefault="00112FAB" w:rsidP="00112FAB">
      <w:pPr>
        <w:widowControl w:val="0"/>
        <w:autoSpaceDE w:val="0"/>
        <w:autoSpaceDN w:val="0"/>
        <w:adjustRightInd w:val="0"/>
        <w:jc w:val="both"/>
        <w:rPr>
          <w:szCs w:val="21"/>
        </w:rPr>
      </w:pPr>
    </w:p>
    <w:p w14:paraId="0E595906"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La documentation comprend deux parties. La première partie constitue le fichier principal et comprend des informations sur le groupe d'entreprises associées et la seconde partie constitue le fichier local et comprend des informations sur l'entreprise vérifiée.</w:t>
      </w:r>
    </w:p>
    <w:p w14:paraId="14B8EC7C" w14:textId="77777777" w:rsidR="00112FAB" w:rsidRPr="00ED5D91" w:rsidRDefault="00112FAB" w:rsidP="00112FAB">
      <w:pPr>
        <w:widowControl w:val="0"/>
        <w:autoSpaceDE w:val="0"/>
        <w:autoSpaceDN w:val="0"/>
        <w:adjustRightInd w:val="0"/>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4"/>
      </w:tblGrid>
      <w:tr w:rsidR="00112FAB" w:rsidRPr="00ED5D91" w14:paraId="7C97F7F3" w14:textId="77777777" w:rsidTr="00D01B65">
        <w:tc>
          <w:tcPr>
            <w:tcW w:w="9204" w:type="dxa"/>
            <w:tcBorders>
              <w:top w:val="single" w:sz="4" w:space="0" w:color="auto"/>
              <w:left w:val="single" w:sz="4" w:space="0" w:color="auto"/>
            </w:tcBorders>
            <w:shd w:val="clear" w:color="auto" w:fill="auto"/>
          </w:tcPr>
          <w:p w14:paraId="15551875" w14:textId="77777777" w:rsidR="00112FAB" w:rsidRPr="00ED5D91" w:rsidRDefault="00112FAB" w:rsidP="00D01B65">
            <w:pPr>
              <w:jc w:val="center"/>
              <w:rPr>
                <w:rFonts w:ascii="Arial" w:hAnsi="Arial" w:cs="Arial"/>
                <w:b/>
                <w:sz w:val="22"/>
                <w:szCs w:val="22"/>
              </w:rPr>
            </w:pPr>
            <w:r w:rsidRPr="00ED5D91">
              <w:rPr>
                <w:rFonts w:ascii="Arial" w:hAnsi="Arial" w:cs="Arial"/>
                <w:b/>
                <w:sz w:val="22"/>
                <w:szCs w:val="22"/>
              </w:rPr>
              <w:t>1° Le fichier principal comprend</w:t>
            </w:r>
          </w:p>
        </w:tc>
      </w:tr>
      <w:tr w:rsidR="00112FAB" w:rsidRPr="00FD335F" w14:paraId="5C17A2B8" w14:textId="77777777" w:rsidTr="00D01B65">
        <w:tc>
          <w:tcPr>
            <w:tcW w:w="9204" w:type="dxa"/>
            <w:shd w:val="clear" w:color="auto" w:fill="auto"/>
          </w:tcPr>
          <w:p w14:paraId="6D100F00" w14:textId="77777777" w:rsidR="00112FAB" w:rsidRPr="00D40E3B" w:rsidRDefault="00112FAB" w:rsidP="00D01B65">
            <w:pPr>
              <w:jc w:val="both"/>
              <w:rPr>
                <w:i/>
                <w:sz w:val="20"/>
                <w:szCs w:val="20"/>
              </w:rPr>
            </w:pPr>
            <w:r w:rsidRPr="00D40E3B">
              <w:rPr>
                <w:i/>
                <w:sz w:val="20"/>
                <w:szCs w:val="20"/>
              </w:rPr>
              <w:t>a) Un schéma illustrant la structure juridique et capitalistique du groupe ainsi que la situation géographique des entités opérationnelles ;</w:t>
            </w:r>
          </w:p>
          <w:p w14:paraId="1C1C583B" w14:textId="77777777" w:rsidR="00112FAB" w:rsidRPr="00D40E3B" w:rsidRDefault="00112FAB" w:rsidP="00D01B65">
            <w:pPr>
              <w:jc w:val="both"/>
              <w:rPr>
                <w:i/>
                <w:sz w:val="20"/>
                <w:szCs w:val="20"/>
              </w:rPr>
            </w:pPr>
            <w:r w:rsidRPr="00D40E3B">
              <w:rPr>
                <w:i/>
                <w:sz w:val="20"/>
                <w:szCs w:val="20"/>
              </w:rPr>
              <w:t>b) Les sources importantes de bénéfices du groupe ;</w:t>
            </w:r>
          </w:p>
          <w:p w14:paraId="06719233" w14:textId="77777777" w:rsidR="00112FAB" w:rsidRPr="00D40E3B" w:rsidRDefault="00112FAB" w:rsidP="00D01B65">
            <w:pPr>
              <w:jc w:val="both"/>
              <w:rPr>
                <w:i/>
                <w:sz w:val="20"/>
                <w:szCs w:val="20"/>
              </w:rPr>
            </w:pPr>
            <w:r w:rsidRPr="00D40E3B">
              <w:rPr>
                <w:i/>
                <w:sz w:val="20"/>
                <w:szCs w:val="20"/>
              </w:rPr>
              <w:t>c) Une description de la chaîne d'approvisionnement des cinq principaux biens et services offerts par des entreprises du groupe ainsi que de tout autre bien et service représentant plus de 5 % du chiffre d'affaires du groupe ;</w:t>
            </w:r>
          </w:p>
          <w:p w14:paraId="4E025BEF" w14:textId="77777777" w:rsidR="00112FAB" w:rsidRPr="00D40E3B" w:rsidRDefault="00112FAB" w:rsidP="00D01B65">
            <w:pPr>
              <w:jc w:val="both"/>
              <w:rPr>
                <w:i/>
                <w:sz w:val="20"/>
                <w:szCs w:val="20"/>
              </w:rPr>
            </w:pPr>
            <w:r w:rsidRPr="00D40E3B">
              <w:rPr>
                <w:i/>
                <w:sz w:val="20"/>
                <w:szCs w:val="20"/>
              </w:rPr>
              <w:t xml:space="preserve">d) Une liste et une description des accords importants de prestations de services entre entreprises associées, à l'exclusion des accords afférents à des services de recherche et développement. Ces informations </w:t>
            </w:r>
            <w:r w:rsidRPr="006418D2">
              <w:rPr>
                <w:i/>
                <w:sz w:val="20"/>
                <w:szCs w:val="20"/>
              </w:rPr>
              <w:t>incluent</w:t>
            </w:r>
            <w:r w:rsidRPr="006418D2">
              <w:rPr>
                <w:b/>
                <w:bCs/>
                <w:i/>
                <w:sz w:val="20"/>
                <w:szCs w:val="20"/>
              </w:rPr>
              <w:t xml:space="preserve"> une description</w:t>
            </w:r>
            <w:r w:rsidRPr="00D40E3B">
              <w:rPr>
                <w:i/>
                <w:sz w:val="20"/>
                <w:szCs w:val="20"/>
              </w:rPr>
              <w:t xml:space="preserve"> des capacités des principaux sites fournissant les services importants </w:t>
            </w:r>
            <w:r w:rsidRPr="00975AAF">
              <w:rPr>
                <w:b/>
                <w:bCs/>
                <w:i/>
                <w:sz w:val="20"/>
                <w:szCs w:val="20"/>
                <w:u w:val="single"/>
              </w:rPr>
              <w:t>et des politiques appliquées en matière de prix de transfert</w:t>
            </w:r>
            <w:r w:rsidRPr="00D40E3B">
              <w:rPr>
                <w:i/>
                <w:sz w:val="20"/>
                <w:szCs w:val="20"/>
              </w:rPr>
              <w:t xml:space="preserve"> pour répartir les coûts des services et déterminer les prix facturés pour les services intra-groupe ;</w:t>
            </w:r>
          </w:p>
          <w:p w14:paraId="4B8DBC83" w14:textId="77777777" w:rsidR="00112FAB" w:rsidRPr="00D40E3B" w:rsidRDefault="00112FAB" w:rsidP="00D01B65">
            <w:pPr>
              <w:jc w:val="both"/>
              <w:rPr>
                <w:i/>
                <w:sz w:val="20"/>
                <w:szCs w:val="20"/>
              </w:rPr>
            </w:pPr>
            <w:r w:rsidRPr="00D40E3B">
              <w:rPr>
                <w:i/>
                <w:sz w:val="20"/>
                <w:szCs w:val="20"/>
              </w:rPr>
              <w:t>e) Une description des principaux marchés géographiques sur lesquels les biens et services du groupe sont vendus ;</w:t>
            </w:r>
          </w:p>
          <w:p w14:paraId="1785BB85" w14:textId="77777777" w:rsidR="00112FAB" w:rsidRPr="00D40E3B" w:rsidRDefault="00112FAB" w:rsidP="00D01B65">
            <w:pPr>
              <w:jc w:val="both"/>
              <w:rPr>
                <w:i/>
                <w:sz w:val="20"/>
                <w:szCs w:val="20"/>
              </w:rPr>
            </w:pPr>
            <w:r w:rsidRPr="00D40E3B">
              <w:rPr>
                <w:i/>
                <w:sz w:val="20"/>
                <w:szCs w:val="20"/>
              </w:rPr>
              <w:t>f) Une analyse fonctionnelle décrivant les principales contributions des différentes entités du groupe à la création de valeur, c'est-à-dire les fonctions-clés exercées, les risques importants assumés et les actifs importants utilisés ;</w:t>
            </w:r>
          </w:p>
          <w:p w14:paraId="00778D33" w14:textId="77777777" w:rsidR="00112FAB" w:rsidRPr="00D40E3B" w:rsidRDefault="00112FAB" w:rsidP="00D01B65">
            <w:pPr>
              <w:jc w:val="both"/>
              <w:rPr>
                <w:i/>
                <w:sz w:val="20"/>
                <w:szCs w:val="20"/>
              </w:rPr>
            </w:pPr>
            <w:r w:rsidRPr="00D40E3B">
              <w:rPr>
                <w:i/>
                <w:sz w:val="20"/>
                <w:szCs w:val="20"/>
              </w:rPr>
              <w:t>g) Une description des opérations importantes de réorganisations d'entreprises ainsi que d'acquisitions et de cessions d'éléments d'actif intervenues au cours de l'exercice ;</w:t>
            </w:r>
          </w:p>
          <w:p w14:paraId="057093A1" w14:textId="77777777" w:rsidR="00112FAB" w:rsidRPr="00D40E3B" w:rsidRDefault="00112FAB" w:rsidP="00D01B65">
            <w:pPr>
              <w:jc w:val="both"/>
              <w:rPr>
                <w:i/>
                <w:sz w:val="20"/>
                <w:szCs w:val="20"/>
              </w:rPr>
            </w:pPr>
            <w:r w:rsidRPr="00D40E3B">
              <w:rPr>
                <w:i/>
                <w:sz w:val="20"/>
                <w:szCs w:val="20"/>
              </w:rPr>
              <w:t>h) Une description générale de la stratégie du groupe en matière de mise au point, de propriété et d'exploitation des actifs incorporels. Cette description comporte notamment la localisation des principales installations de recherche et développement et celle de la direction des activités de recherche et développement ;</w:t>
            </w:r>
          </w:p>
          <w:p w14:paraId="4ADC4082" w14:textId="77777777" w:rsidR="00112FAB" w:rsidRPr="00D40E3B" w:rsidRDefault="00112FAB" w:rsidP="00D01B65">
            <w:pPr>
              <w:jc w:val="both"/>
              <w:rPr>
                <w:i/>
                <w:sz w:val="20"/>
                <w:szCs w:val="20"/>
              </w:rPr>
            </w:pPr>
            <w:r w:rsidRPr="00D40E3B">
              <w:rPr>
                <w:i/>
                <w:sz w:val="20"/>
                <w:szCs w:val="20"/>
              </w:rPr>
              <w:t>i) Une liste des actifs incorporels ou des catégories d'actifs incorporels qui sont importants pour l'établissement des prix de transfert ainsi que des entités qui en sont légalement propriétaires ;</w:t>
            </w:r>
          </w:p>
          <w:p w14:paraId="7EA3A953" w14:textId="77777777" w:rsidR="00112FAB" w:rsidRPr="00D40E3B" w:rsidRDefault="00112FAB" w:rsidP="00D01B65">
            <w:pPr>
              <w:jc w:val="both"/>
              <w:rPr>
                <w:i/>
                <w:sz w:val="20"/>
                <w:szCs w:val="20"/>
              </w:rPr>
            </w:pPr>
            <w:r w:rsidRPr="00D40E3B">
              <w:rPr>
                <w:i/>
                <w:sz w:val="20"/>
                <w:szCs w:val="20"/>
              </w:rPr>
              <w:t>j) Une liste des accords importants entre entreprises associées relatifs aux actifs incorporels, y compris les accords de répartition de coûts, les principaux accords de services de recherche et les accords de licence ;</w:t>
            </w:r>
          </w:p>
          <w:p w14:paraId="67A3DDE5" w14:textId="77777777" w:rsidR="00112FAB" w:rsidRPr="00D40E3B" w:rsidRDefault="00112FAB" w:rsidP="00D01B65">
            <w:pPr>
              <w:jc w:val="both"/>
              <w:rPr>
                <w:i/>
                <w:sz w:val="20"/>
                <w:szCs w:val="20"/>
              </w:rPr>
            </w:pPr>
            <w:r w:rsidRPr="00D40E3B">
              <w:rPr>
                <w:i/>
                <w:sz w:val="20"/>
                <w:szCs w:val="20"/>
              </w:rPr>
              <w:t>k) Une description générale des éventuels transferts importants de parts d'actifs incorporels entre entreprises associées, mentionnant les pays et les rémunérations correspondantes ;</w:t>
            </w:r>
          </w:p>
          <w:p w14:paraId="14848711" w14:textId="77777777" w:rsidR="00112FAB" w:rsidRPr="00D40E3B" w:rsidRDefault="00112FAB" w:rsidP="00D01B65">
            <w:pPr>
              <w:jc w:val="both"/>
              <w:rPr>
                <w:i/>
                <w:sz w:val="20"/>
                <w:szCs w:val="20"/>
              </w:rPr>
            </w:pPr>
            <w:r w:rsidRPr="00D40E3B">
              <w:rPr>
                <w:i/>
                <w:sz w:val="20"/>
                <w:szCs w:val="20"/>
              </w:rPr>
              <w:t>l) Une description générale de la façon dont le groupe est financé, y compris une description des accords de financement importants conclus avec des prêteurs indépendants du groupe ;</w:t>
            </w:r>
          </w:p>
          <w:p w14:paraId="3B3E47BB" w14:textId="77777777" w:rsidR="00112FAB" w:rsidRPr="00D40E3B" w:rsidRDefault="00112FAB" w:rsidP="00D01B65">
            <w:pPr>
              <w:jc w:val="both"/>
              <w:rPr>
                <w:i/>
                <w:sz w:val="20"/>
                <w:szCs w:val="20"/>
              </w:rPr>
            </w:pPr>
            <w:r w:rsidRPr="00D40E3B">
              <w:rPr>
                <w:i/>
                <w:sz w:val="20"/>
                <w:szCs w:val="20"/>
              </w:rPr>
              <w:lastRenderedPageBreak/>
              <w:t>m) L'identification de tous les membres du groupe multinational exerçant une fonction de centrale de financement pour le groupe, y compris du pays de constitution des entités considérées et de leur siège de direction effective ;</w:t>
            </w:r>
          </w:p>
          <w:p w14:paraId="5F529F62" w14:textId="77777777" w:rsidR="00112FAB" w:rsidRPr="00D40E3B" w:rsidRDefault="00112FAB" w:rsidP="00D01B65">
            <w:pPr>
              <w:jc w:val="both"/>
              <w:rPr>
                <w:i/>
                <w:sz w:val="20"/>
                <w:szCs w:val="20"/>
              </w:rPr>
            </w:pPr>
            <w:r w:rsidRPr="00D40E3B">
              <w:rPr>
                <w:i/>
                <w:sz w:val="20"/>
                <w:szCs w:val="20"/>
              </w:rPr>
              <w:t>n) Une description générale des politiques du groupe en matière de prix de transfert relatives aux accords de financement entre entreprises associées ;</w:t>
            </w:r>
          </w:p>
          <w:p w14:paraId="7FB95341" w14:textId="77777777" w:rsidR="00112FAB" w:rsidRPr="00D40E3B" w:rsidRDefault="00112FAB" w:rsidP="00D01B65">
            <w:pPr>
              <w:jc w:val="both"/>
              <w:rPr>
                <w:i/>
                <w:sz w:val="20"/>
                <w:szCs w:val="20"/>
              </w:rPr>
            </w:pPr>
            <w:r w:rsidRPr="00D40E3B">
              <w:rPr>
                <w:i/>
                <w:sz w:val="20"/>
                <w:szCs w:val="20"/>
              </w:rPr>
              <w:t>o) Les états financiers consolidés annuels du groupe pour l'exercice fiscal s'ils sont préparés par ailleurs à des fins d'information financière, réglementaires, de gestion interne, fiscales ou autres ;</w:t>
            </w:r>
          </w:p>
          <w:p w14:paraId="03BBF0F5" w14:textId="77777777" w:rsidR="00112FAB" w:rsidRPr="00D40E3B" w:rsidRDefault="00112FAB" w:rsidP="00D01B65">
            <w:pPr>
              <w:jc w:val="both"/>
              <w:rPr>
                <w:i/>
                <w:sz w:val="20"/>
                <w:szCs w:val="20"/>
              </w:rPr>
            </w:pPr>
            <w:r w:rsidRPr="00D40E3B">
              <w:rPr>
                <w:i/>
                <w:sz w:val="20"/>
                <w:szCs w:val="20"/>
              </w:rPr>
              <w:t>p) Une liste et une description des accords préalables en matière de prix de transfert unilatéraux conclus par le groupe et des autres décisions des autorités fiscales concernant la répartition des bénéfices entre pays.</w:t>
            </w:r>
          </w:p>
        </w:tc>
      </w:tr>
    </w:tbl>
    <w:p w14:paraId="11CA6422" w14:textId="77777777" w:rsidR="00112FAB" w:rsidRDefault="00112FAB" w:rsidP="00112FAB">
      <w:pPr>
        <w:widowControl w:val="0"/>
        <w:autoSpaceDE w:val="0"/>
        <w:autoSpaceDN w:val="0"/>
        <w:adjustRightInd w:val="0"/>
        <w:jc w:val="both"/>
        <w:rPr>
          <w:szCs w:val="21"/>
        </w:rPr>
      </w:pPr>
    </w:p>
    <w:p w14:paraId="1C70266C" w14:textId="77777777" w:rsidR="00112FAB" w:rsidRDefault="00112FAB" w:rsidP="00112FAB">
      <w:pPr>
        <w:widowControl w:val="0"/>
        <w:autoSpaceDE w:val="0"/>
        <w:autoSpaceDN w:val="0"/>
        <w:adjustRightInd w:val="0"/>
        <w:ind w:left="720"/>
        <w:jc w:val="both"/>
        <w:rPr>
          <w:szCs w:val="21"/>
        </w:rPr>
      </w:pPr>
    </w:p>
    <w:p w14:paraId="157ECE4F" w14:textId="77777777" w:rsidR="00112FAB" w:rsidRPr="00077F26" w:rsidRDefault="00112FAB" w:rsidP="00112FAB">
      <w:pPr>
        <w:widowControl w:val="0"/>
        <w:autoSpaceDE w:val="0"/>
        <w:autoSpaceDN w:val="0"/>
        <w:adjustRightInd w:val="0"/>
        <w:jc w:val="both"/>
        <w:rPr>
          <w:szCs w:val="21"/>
        </w:rPr>
      </w:pPr>
    </w:p>
    <w:p w14:paraId="3CBD74B5"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b/>
          <w:i/>
          <w:iCs/>
          <w:sz w:val="21"/>
          <w:szCs w:val="21"/>
        </w:rPr>
      </w:pPr>
      <w:r w:rsidRPr="002F6BB3">
        <w:rPr>
          <w:b/>
          <w:i/>
          <w:iCs/>
          <w:szCs w:val="21"/>
        </w:rPr>
        <w:t>2</w:t>
      </w:r>
      <w:r w:rsidRPr="007D70F7">
        <w:rPr>
          <w:b/>
          <w:i/>
          <w:iCs/>
          <w:sz w:val="21"/>
          <w:szCs w:val="21"/>
        </w:rPr>
        <w:t>° Le fichier local comprend des informations spécifiques concernant l'entreprise vérifiée</w:t>
      </w:r>
    </w:p>
    <w:p w14:paraId="4B330C95"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a) Une description de la structure de gestion et un organigramme de l'entreprise ;</w:t>
      </w:r>
    </w:p>
    <w:p w14:paraId="00769F40"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b) Une description des activités effectuées et de la stratégie d'entreprise mise en œuvre en indiquant notamment si l'entreprise a été impliquée dans ou affectée par des réorganisations d'entreprises ou des transferts d'actifs incorporels pendant l'exercice ou l'exercice précédent et en expliquant les aspects de ces transactions qui affectent l'entreprise ;</w:t>
      </w:r>
    </w:p>
    <w:p w14:paraId="61C81C09"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c) Une description des transactions importantes avec des entreprises associées et des conditions dans lesquelles elles sont réalisées. Cette description porte notamment sur les achats de services de fabrication, les acquisitions de biens, la fourniture de services, les prêts, les garanties financières et garanties de bonne exécution, la concession de licences portant des actifs incorporels ;</w:t>
      </w:r>
    </w:p>
    <w:p w14:paraId="54E8718B"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d) Les montants des paiements et recettes intra-groupes pour chaque catégorie de transactions impliquant l'entreprise vérifiée ventilés en fonction de la juridiction fiscale du payeur ou du bénéficiaire étranger ;</w:t>
      </w:r>
    </w:p>
    <w:p w14:paraId="7458B27E"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e) Une identification des entreprises associées impliquées dans chaque catégorie de transactions contrôlées et des relations qu'elles entretiennent avec l'entreprise vérifiée ;</w:t>
      </w:r>
    </w:p>
    <w:p w14:paraId="09C4732E"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f) Une copie de tous les accords intra-groupes importants conclus par l'entreprise vérifiée ;</w:t>
      </w:r>
    </w:p>
    <w:p w14:paraId="5083524C"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g) Une analyse de comparabilité et une analyse fonctionnelle détaillées de l'entreprise vérifiée et des entreprises associées pour chaque catégorie de transactions, y compris les éventuels changements par rapport aux exercices précédents ;</w:t>
      </w:r>
    </w:p>
    <w:p w14:paraId="58F91C5A"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h) Une indication de la méthode de détermination des prix de transfert la plus adaptée pour chaque catégorie de transactions et des raisons pour lesquelles cette méthode a été choisie ;</w:t>
      </w:r>
    </w:p>
    <w:p w14:paraId="67C1945D"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i) Une indication de l'entreprise associée qui a été choisie comme partie testée, le cas échéant, et une explication des raisons de cette sélection ;</w:t>
      </w:r>
    </w:p>
    <w:p w14:paraId="0865B4AA"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j) Une synthèse des hypothèses importantes qui ont été posées pour appliquer les méthodes de fixation des prix de transfert ;</w:t>
      </w:r>
    </w:p>
    <w:p w14:paraId="40D0A16B"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k) Le cas échéant, une explication des raisons pour lesquelles une analyse pluriannuelle des méthodes de prix de transfert a été appliquée ;</w:t>
      </w:r>
    </w:p>
    <w:p w14:paraId="1ECD6089"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l) Une liste et une description des transactions comparables sur le marché libre et des indicateurs financiers relatifs à des entreprises indépendantes utilisés dans le cadre de l'analyse des prix de transfert, y compris une description de la méthode de recherche de données comparables avec l'indication de la source de ces informations ;</w:t>
      </w:r>
    </w:p>
    <w:p w14:paraId="47FD395E"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m) Une description des éventuels ajustements effectués en indiquant si ces ajustements ont été apportés aux résultats de la partie testée, aux transactions comparables sur le marché libre ou aux deux ;</w:t>
      </w:r>
    </w:p>
    <w:p w14:paraId="588E9D92"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n) Une description des raisons pour lesquelles il a été conclu que les prix des transactions avaient été établis conformément au principe de pleine concurrence en application de la méthode de prix de transfert retenue ;</w:t>
      </w:r>
    </w:p>
    <w:p w14:paraId="723FBC62"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o) Une synthèse des informations financières utilisées pour appliquer la méthode de détermination des prix de transfert ;</w:t>
      </w:r>
    </w:p>
    <w:p w14:paraId="122AED59"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p) Une copie des accords de fixation préalable des prix de transfert unilatéraux, bilatéraux et multilatéraux existants ainsi que des décisions d'autres autorités fiscales et qui sont liés à des transactions contrôlées avec l'entreprise vérifiée ;</w:t>
      </w:r>
    </w:p>
    <w:p w14:paraId="13E0189F"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q) Les comptes financiers annuels de l'entreprise vérifiée ;</w:t>
      </w:r>
    </w:p>
    <w:p w14:paraId="171D4276"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r) Des informations et des tableaux de répartition indiquant comment les données financières utilisées pour appliquer la méthode de détermination des prix de transfert peuvent être reliées aux états financiers annuels ;</w:t>
      </w:r>
    </w:p>
    <w:p w14:paraId="588B7345"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s) Des tableaux synthétiques des données financières se rapportant aux transactions comparables utilisées avec l'indication des sources dont ces données sont tirées.</w:t>
      </w:r>
    </w:p>
    <w:p w14:paraId="78D20610" w14:textId="77777777" w:rsidR="00112FAB" w:rsidRDefault="00112FAB" w:rsidP="00112FAB">
      <w:pPr>
        <w:widowControl w:val="0"/>
        <w:autoSpaceDE w:val="0"/>
        <w:autoSpaceDN w:val="0"/>
        <w:adjustRightInd w:val="0"/>
        <w:jc w:val="both"/>
        <w:rPr>
          <w:szCs w:val="21"/>
        </w:rPr>
      </w:pPr>
    </w:p>
    <w:p w14:paraId="2C3F9883" w14:textId="77777777" w:rsidR="00112FAB" w:rsidRDefault="00112FAB" w:rsidP="00112FAB">
      <w:pPr>
        <w:widowControl w:val="0"/>
        <w:autoSpaceDE w:val="0"/>
        <w:autoSpaceDN w:val="0"/>
        <w:adjustRightInd w:val="0"/>
        <w:jc w:val="both"/>
        <w:rPr>
          <w:szCs w:val="21"/>
        </w:rPr>
      </w:pPr>
    </w:p>
    <w:p w14:paraId="1ECAA771"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Par ailleurs, les plus grands groupes sont tenus à une déclaration pays par pays :</w:t>
      </w:r>
    </w:p>
    <w:p w14:paraId="5F866953"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28375BC" w14:textId="77777777" w:rsidR="00112FAB" w:rsidRPr="00ED5D91" w:rsidRDefault="00112FAB" w:rsidP="00112FAB">
      <w:pPr>
        <w:widowControl w:val="0"/>
        <w:autoSpaceDE w:val="0"/>
        <w:autoSpaceDN w:val="0"/>
        <w:adjustRightInd w:val="0"/>
        <w:jc w:val="center"/>
        <w:rPr>
          <w:rFonts w:ascii="Arial" w:hAnsi="Arial" w:cs="Arial"/>
          <w:b/>
          <w:bCs/>
          <w:sz w:val="22"/>
          <w:szCs w:val="22"/>
        </w:rPr>
      </w:pPr>
      <w:r w:rsidRPr="00ED5D91">
        <w:rPr>
          <w:rFonts w:ascii="Arial" w:hAnsi="Arial" w:cs="Arial"/>
          <w:b/>
          <w:bCs/>
          <w:sz w:val="22"/>
          <w:szCs w:val="22"/>
        </w:rPr>
        <w:t>Article 223 quinquies C</w:t>
      </w:r>
    </w:p>
    <w:p w14:paraId="48488C4E"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 xml:space="preserve">I. – 1. Une déclaration comportant la </w:t>
      </w:r>
      <w:r w:rsidRPr="007D70F7">
        <w:rPr>
          <w:b/>
          <w:bCs/>
          <w:i/>
          <w:iCs/>
          <w:sz w:val="21"/>
          <w:szCs w:val="21"/>
        </w:rPr>
        <w:t>répartition pays par pays</w:t>
      </w:r>
      <w:r w:rsidRPr="007D70F7">
        <w:rPr>
          <w:i/>
          <w:iCs/>
          <w:sz w:val="21"/>
          <w:szCs w:val="21"/>
        </w:rPr>
        <w:t xml:space="preserve"> des bénéfices du groupe et des agrégats économiques, comptables et fiscaux, ainsi que des informations sur la localisation et l'activité des entités le constituant, dont le contenu est fixé par décret, est souscrite sous forme dématérialisée, dans les douze mois suivant la clôture de l'exercice, par les personnes morales établies en France qui répondent aux critères suivants :</w:t>
      </w:r>
    </w:p>
    <w:p w14:paraId="223B7277"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a)  Établir des comptes consolidés ;</w:t>
      </w:r>
    </w:p>
    <w:p w14:paraId="5DA308CF"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b) Détenir ou contrôler, directement ou indirectement, une ou plusieurs entités juridiques établies hors de France ou y disposer de succursales ;</w:t>
      </w:r>
    </w:p>
    <w:p w14:paraId="5295D546"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c) Réaliser un chiffre d'affaires annuel, hors taxes, consolidé supérieur ou égal à 750 millions d'euros ;</w:t>
      </w:r>
    </w:p>
    <w:p w14:paraId="5923C3BB" w14:textId="77777777" w:rsidR="00112FAB" w:rsidRPr="007D70F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 w:val="21"/>
          <w:szCs w:val="21"/>
        </w:rPr>
      </w:pPr>
      <w:r w:rsidRPr="007D70F7">
        <w:rPr>
          <w:i/>
          <w:iCs/>
          <w:sz w:val="21"/>
          <w:szCs w:val="21"/>
        </w:rPr>
        <w:t>d) Ne pas être détenues par une ou des entités juridiques situées en France et tenues au dépôt de cette déclaration, ou établies hors de France et tenues au dépôt d'une déclaration similaire en application d'une réglementation étrangère.</w:t>
      </w:r>
    </w:p>
    <w:p w14:paraId="4C18CCF3" w14:textId="77777777" w:rsidR="00112FAB" w:rsidRPr="007D70F7" w:rsidRDefault="00112FAB" w:rsidP="00112FAB">
      <w:pPr>
        <w:widowControl w:val="0"/>
        <w:autoSpaceDE w:val="0"/>
        <w:autoSpaceDN w:val="0"/>
        <w:adjustRightInd w:val="0"/>
        <w:jc w:val="both"/>
        <w:rPr>
          <w:i/>
          <w:iCs/>
          <w:sz w:val="21"/>
          <w:szCs w:val="21"/>
        </w:rPr>
      </w:pPr>
    </w:p>
    <w:p w14:paraId="6E7B7552" w14:textId="77777777" w:rsidR="00112FAB" w:rsidRDefault="00112FAB" w:rsidP="00112FAB">
      <w:pPr>
        <w:widowControl w:val="0"/>
        <w:autoSpaceDE w:val="0"/>
        <w:autoSpaceDN w:val="0"/>
        <w:adjustRightInd w:val="0"/>
        <w:jc w:val="both"/>
        <w:rPr>
          <w:szCs w:val="21"/>
        </w:rPr>
      </w:pPr>
    </w:p>
    <w:p w14:paraId="1150ABF9" w14:textId="77777777" w:rsidR="00112FAB" w:rsidRDefault="00112FAB" w:rsidP="00112FAB">
      <w:pPr>
        <w:widowControl w:val="0"/>
        <w:autoSpaceDE w:val="0"/>
        <w:autoSpaceDN w:val="0"/>
        <w:adjustRightInd w:val="0"/>
        <w:jc w:val="both"/>
        <w:rPr>
          <w:szCs w:val="21"/>
        </w:rPr>
      </w:pPr>
    </w:p>
    <w:p w14:paraId="5EE2398F" w14:textId="77777777" w:rsidR="00112FAB" w:rsidRPr="00623C83" w:rsidRDefault="00112FAB" w:rsidP="00112FAB">
      <w:pPr>
        <w:widowControl w:val="0"/>
        <w:autoSpaceDE w:val="0"/>
        <w:autoSpaceDN w:val="0"/>
        <w:adjustRightInd w:val="0"/>
        <w:jc w:val="both"/>
        <w:rPr>
          <w:rFonts w:ascii="Arial" w:hAnsi="Arial" w:cs="Arial"/>
          <w:sz w:val="22"/>
          <w:szCs w:val="22"/>
        </w:rPr>
      </w:pPr>
      <w:r w:rsidRPr="00623C83">
        <w:rPr>
          <w:rFonts w:ascii="Arial" w:hAnsi="Arial" w:cs="Arial"/>
          <w:sz w:val="22"/>
          <w:szCs w:val="22"/>
        </w:rPr>
        <w:t>Les règles se sont récemment enrichies par l’introduction de la déclaration de certains « dispositifs », tant par l’entreprise que par ses conseils qualifiés d’intermédiaires.</w:t>
      </w:r>
    </w:p>
    <w:p w14:paraId="27C71571" w14:textId="77777777" w:rsidR="00112FAB" w:rsidRPr="00623C83" w:rsidRDefault="00112FAB" w:rsidP="00112FAB">
      <w:pPr>
        <w:widowControl w:val="0"/>
        <w:autoSpaceDE w:val="0"/>
        <w:autoSpaceDN w:val="0"/>
        <w:adjustRightInd w:val="0"/>
        <w:jc w:val="both"/>
        <w:rPr>
          <w:rFonts w:ascii="Arial" w:hAnsi="Arial" w:cs="Arial"/>
          <w:sz w:val="22"/>
          <w:szCs w:val="22"/>
        </w:rPr>
      </w:pPr>
      <w:r w:rsidRPr="00623C83">
        <w:rPr>
          <w:rFonts w:ascii="Arial" w:hAnsi="Arial" w:cs="Arial"/>
          <w:sz w:val="22"/>
          <w:szCs w:val="22"/>
        </w:rPr>
        <w:t>L’obligation de déclaration, assortie d’une clause d’échange automatique d’informations entre États membres, précise que l’une de ses principales finalités consiste à accroître l’efficacité des contrôles fiscaux en matière internationale, formalisant par là même un lien explicite avec le volet répressif</w:t>
      </w:r>
      <w:r>
        <w:rPr>
          <w:rFonts w:ascii="Arial" w:hAnsi="Arial" w:cs="Arial"/>
          <w:sz w:val="22"/>
          <w:szCs w:val="22"/>
        </w:rPr>
        <w:t>.</w:t>
      </w:r>
    </w:p>
    <w:p w14:paraId="1B8E5882" w14:textId="77777777" w:rsidR="00112FAB" w:rsidRPr="00D513E6" w:rsidRDefault="00112FAB" w:rsidP="00112FAB">
      <w:pPr>
        <w:pStyle w:val="NormalWeb"/>
        <w:spacing w:before="0" w:beforeAutospacing="0" w:after="0" w:afterAutospacing="0"/>
        <w:jc w:val="both"/>
      </w:pPr>
      <w:r w:rsidRPr="00D513E6">
        <w:rPr>
          <w:rFonts w:ascii="Arial" w:hAnsi="Arial" w:cs="Arial"/>
          <w:sz w:val="22"/>
          <w:szCs w:val="22"/>
        </w:rPr>
        <w:t>Sur ce dernier point, la directive 2018/822 (DAC 6) permet aux administrations fiscales</w:t>
      </w:r>
      <w:r w:rsidRPr="00623C83">
        <w:rPr>
          <w:rFonts w:ascii="Arial" w:hAnsi="Arial" w:cs="Arial"/>
          <w:sz w:val="22"/>
          <w:szCs w:val="22"/>
        </w:rPr>
        <w:t xml:space="preserve"> européennes de conduire des contrôles fiscaux conjoints, type de dispositif coopératif ayant fait l’objet d’expérimentations assez timides jusqu’à assez récemment. </w:t>
      </w:r>
    </w:p>
    <w:p w14:paraId="3EE63F81" w14:textId="77777777" w:rsidR="00112FAB" w:rsidRDefault="00112FAB" w:rsidP="00112FAB">
      <w:pPr>
        <w:widowControl w:val="0"/>
        <w:autoSpaceDE w:val="0"/>
        <w:autoSpaceDN w:val="0"/>
        <w:adjustRightInd w:val="0"/>
        <w:jc w:val="both"/>
        <w:rPr>
          <w:szCs w:val="21"/>
        </w:rPr>
      </w:pPr>
    </w:p>
    <w:p w14:paraId="221F0E42" w14:textId="77777777" w:rsidR="00112FAB" w:rsidRDefault="00112FAB" w:rsidP="00112FAB">
      <w:pPr>
        <w:widowControl w:val="0"/>
        <w:autoSpaceDE w:val="0"/>
        <w:autoSpaceDN w:val="0"/>
        <w:adjustRightInd w:val="0"/>
        <w:jc w:val="both"/>
        <w:rPr>
          <w:szCs w:val="21"/>
        </w:rPr>
      </w:pPr>
    </w:p>
    <w:p w14:paraId="1C72BE04" w14:textId="77777777" w:rsidR="00112FAB" w:rsidRPr="00AC0958" w:rsidRDefault="00112FAB" w:rsidP="00112FAB">
      <w:pPr>
        <w:widowControl w:val="0"/>
        <w:autoSpaceDE w:val="0"/>
        <w:autoSpaceDN w:val="0"/>
        <w:adjustRightInd w:val="0"/>
        <w:jc w:val="center"/>
        <w:rPr>
          <w:rFonts w:cs="Arial"/>
          <w:b/>
          <w:bCs/>
          <w:szCs w:val="21"/>
        </w:rPr>
      </w:pPr>
      <w:r w:rsidRPr="00AC0958">
        <w:rPr>
          <w:rFonts w:cs="Arial"/>
          <w:b/>
          <w:bCs/>
          <w:szCs w:val="21"/>
        </w:rPr>
        <w:t>Article 1649 AD</w:t>
      </w:r>
    </w:p>
    <w:p w14:paraId="78F0503A"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cs="Arial"/>
          <w:i/>
          <w:iCs/>
          <w:sz w:val="21"/>
          <w:szCs w:val="21"/>
        </w:rPr>
      </w:pPr>
      <w:r w:rsidRPr="00764AEF">
        <w:rPr>
          <w:rFonts w:cs="Arial"/>
          <w:i/>
          <w:iCs/>
          <w:sz w:val="21"/>
          <w:szCs w:val="21"/>
        </w:rPr>
        <w:t xml:space="preserve">I - Déclaration d'un dispositif transfrontière est souscrite auprès de l'administration fiscale, sous forme dématérialisée, </w:t>
      </w:r>
      <w:r w:rsidRPr="00764AEF">
        <w:rPr>
          <w:rFonts w:cs="Arial"/>
          <w:b/>
          <w:bCs/>
          <w:i/>
          <w:iCs/>
          <w:sz w:val="21"/>
          <w:szCs w:val="21"/>
          <w:u w:val="single"/>
        </w:rPr>
        <w:t>par l'intermédiaire</w:t>
      </w:r>
      <w:r w:rsidRPr="00764AEF">
        <w:rPr>
          <w:rFonts w:cs="Arial"/>
          <w:i/>
          <w:iCs/>
          <w:sz w:val="21"/>
          <w:szCs w:val="21"/>
        </w:rPr>
        <w:t xml:space="preserve"> ayant participé à la mise en œuvre de ce dispositif ou par le contribuable concerné.</w:t>
      </w:r>
    </w:p>
    <w:p w14:paraId="3642CACA"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cs="Arial"/>
          <w:i/>
          <w:iCs/>
          <w:sz w:val="21"/>
          <w:szCs w:val="21"/>
        </w:rPr>
      </w:pPr>
      <w:r w:rsidRPr="00764AEF">
        <w:rPr>
          <w:rFonts w:cs="Arial"/>
          <w:i/>
          <w:iCs/>
          <w:sz w:val="21"/>
          <w:szCs w:val="21"/>
        </w:rPr>
        <w:t xml:space="preserve">II - Pour l'application des dispositions du I, est considéré comme transfrontière tout dispositif prenant la forme d'un accord, d'un montage ou d'un plan ayant ou non force exécutoire et concernant la France et un autre État, membre ou non de l'Union européenne, dès lors que l'une au moins des conditions suivantes est satisfaite : </w:t>
      </w:r>
    </w:p>
    <w:p w14:paraId="3B6A7BD4"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tabs>
          <w:tab w:val="left" w:pos="709"/>
        </w:tabs>
        <w:autoSpaceDE w:val="0"/>
        <w:autoSpaceDN w:val="0"/>
        <w:adjustRightInd w:val="0"/>
        <w:jc w:val="both"/>
        <w:rPr>
          <w:rFonts w:cs="Arial"/>
          <w:i/>
          <w:iCs/>
          <w:sz w:val="21"/>
          <w:szCs w:val="21"/>
        </w:rPr>
      </w:pPr>
      <w:r w:rsidRPr="00764AEF">
        <w:rPr>
          <w:rFonts w:cs="Arial"/>
          <w:i/>
          <w:iCs/>
          <w:sz w:val="21"/>
          <w:szCs w:val="21"/>
        </w:rPr>
        <w:tab/>
        <w:t xml:space="preserve">a) Au moins un des participants au dispositif n'est pas fiscalement domicilié ou résident en France ou n'y a pas son siège ; </w:t>
      </w:r>
    </w:p>
    <w:p w14:paraId="7F1D42B0"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tabs>
          <w:tab w:val="left" w:pos="709"/>
        </w:tabs>
        <w:autoSpaceDE w:val="0"/>
        <w:autoSpaceDN w:val="0"/>
        <w:adjustRightInd w:val="0"/>
        <w:jc w:val="both"/>
        <w:rPr>
          <w:rFonts w:cs="Arial"/>
          <w:i/>
          <w:iCs/>
          <w:sz w:val="21"/>
          <w:szCs w:val="21"/>
        </w:rPr>
      </w:pPr>
      <w:r w:rsidRPr="00764AEF">
        <w:rPr>
          <w:rFonts w:cs="Arial"/>
          <w:i/>
          <w:iCs/>
          <w:sz w:val="21"/>
          <w:szCs w:val="21"/>
        </w:rPr>
        <w:tab/>
        <w:t xml:space="preserve">b) Au moins un des participants au dispositif est fiscalement domicilié, résident ou a son siège dans plusieurs États ou territoires simultanément ; </w:t>
      </w:r>
    </w:p>
    <w:p w14:paraId="20944F81"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tabs>
          <w:tab w:val="left" w:pos="709"/>
        </w:tabs>
        <w:autoSpaceDE w:val="0"/>
        <w:autoSpaceDN w:val="0"/>
        <w:adjustRightInd w:val="0"/>
        <w:jc w:val="both"/>
        <w:rPr>
          <w:rFonts w:cs="Arial"/>
          <w:i/>
          <w:iCs/>
          <w:sz w:val="21"/>
          <w:szCs w:val="21"/>
        </w:rPr>
      </w:pPr>
      <w:r w:rsidRPr="00764AEF">
        <w:rPr>
          <w:rFonts w:cs="Arial"/>
          <w:i/>
          <w:iCs/>
          <w:sz w:val="21"/>
          <w:szCs w:val="21"/>
        </w:rPr>
        <w:tab/>
        <w:t xml:space="preserve">c) Au moins un des participants au dispositif exerce une activité dans un autre État ou territoire par l'intermédiaire d'un établissement stable situé dans cet État ou territoire, le dispositif constituant une partie ou la totalité de l'activité de cet établissement stable ; </w:t>
      </w:r>
    </w:p>
    <w:p w14:paraId="74BABB30"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tabs>
          <w:tab w:val="left" w:pos="709"/>
        </w:tabs>
        <w:autoSpaceDE w:val="0"/>
        <w:autoSpaceDN w:val="0"/>
        <w:adjustRightInd w:val="0"/>
        <w:jc w:val="both"/>
        <w:rPr>
          <w:rFonts w:cs="Arial"/>
          <w:i/>
          <w:iCs/>
          <w:sz w:val="21"/>
          <w:szCs w:val="21"/>
        </w:rPr>
      </w:pPr>
      <w:r w:rsidRPr="00764AEF">
        <w:rPr>
          <w:rFonts w:cs="Arial"/>
          <w:i/>
          <w:iCs/>
          <w:sz w:val="21"/>
          <w:szCs w:val="21"/>
        </w:rPr>
        <w:tab/>
        <w:t xml:space="preserve">d) Au moins un des participants au dispositif exerce une activité dans un autre État ou territoire sans y être fiscalement domicilié ou résident ni disposer d'établissement stable dans cet État ou territoire ; </w:t>
      </w:r>
    </w:p>
    <w:p w14:paraId="3AAC0A89"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tabs>
          <w:tab w:val="left" w:pos="709"/>
        </w:tabs>
        <w:autoSpaceDE w:val="0"/>
        <w:autoSpaceDN w:val="0"/>
        <w:adjustRightInd w:val="0"/>
        <w:jc w:val="both"/>
        <w:rPr>
          <w:rFonts w:cs="Arial"/>
          <w:i/>
          <w:iCs/>
          <w:sz w:val="21"/>
          <w:szCs w:val="21"/>
        </w:rPr>
      </w:pPr>
      <w:r w:rsidRPr="00764AEF">
        <w:rPr>
          <w:rFonts w:cs="Arial"/>
          <w:i/>
          <w:iCs/>
          <w:sz w:val="21"/>
          <w:szCs w:val="21"/>
        </w:rPr>
        <w:tab/>
        <w:t>e) Le dispositif peut avoir des conséquences sur l'échange automatique d'informations entre États ou territoires ou sur l'identification des bénéficiaires effectifs.</w:t>
      </w:r>
    </w:p>
    <w:p w14:paraId="751D0B66"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tabs>
          <w:tab w:val="left" w:pos="709"/>
        </w:tabs>
        <w:autoSpaceDE w:val="0"/>
        <w:autoSpaceDN w:val="0"/>
        <w:adjustRightInd w:val="0"/>
        <w:jc w:val="both"/>
        <w:rPr>
          <w:rFonts w:cs="Arial"/>
          <w:i/>
          <w:iCs/>
          <w:sz w:val="21"/>
          <w:szCs w:val="21"/>
        </w:rPr>
      </w:pPr>
    </w:p>
    <w:p w14:paraId="764B3BE4" w14:textId="77777777" w:rsidR="00112FAB" w:rsidRPr="00764AEF" w:rsidRDefault="00112FAB" w:rsidP="00112FAB">
      <w:pPr>
        <w:widowControl w:val="0"/>
        <w:pBdr>
          <w:top w:val="single" w:sz="4" w:space="1" w:color="auto"/>
          <w:left w:val="single" w:sz="4" w:space="4" w:color="auto"/>
          <w:bottom w:val="single" w:sz="4" w:space="1" w:color="auto"/>
          <w:right w:val="single" w:sz="4" w:space="4" w:color="auto"/>
        </w:pBdr>
        <w:tabs>
          <w:tab w:val="left" w:pos="709"/>
        </w:tabs>
        <w:autoSpaceDE w:val="0"/>
        <w:autoSpaceDN w:val="0"/>
        <w:adjustRightInd w:val="0"/>
        <w:jc w:val="both"/>
        <w:rPr>
          <w:rFonts w:cs="Arial"/>
          <w:i/>
          <w:iCs/>
          <w:sz w:val="21"/>
          <w:szCs w:val="21"/>
        </w:rPr>
      </w:pPr>
      <w:r w:rsidRPr="00764AEF">
        <w:rPr>
          <w:rFonts w:cs="Arial"/>
          <w:i/>
          <w:iCs/>
          <w:sz w:val="21"/>
          <w:szCs w:val="21"/>
        </w:rPr>
        <w:t xml:space="preserve">III - Pour l'application des dispositions du I, est considéré comme devant faire l'objet d'une déclaration tout dispositif transfrontière comportant au moins l'un des </w:t>
      </w:r>
      <w:r w:rsidRPr="00764AEF">
        <w:rPr>
          <w:rFonts w:cs="Arial"/>
          <w:b/>
          <w:bCs/>
          <w:i/>
          <w:iCs/>
          <w:sz w:val="21"/>
          <w:szCs w:val="21"/>
          <w:u w:val="single"/>
        </w:rPr>
        <w:t>marqueurs</w:t>
      </w:r>
      <w:r w:rsidRPr="00764AEF">
        <w:rPr>
          <w:rFonts w:cs="Arial"/>
          <w:i/>
          <w:iCs/>
          <w:sz w:val="21"/>
          <w:szCs w:val="21"/>
        </w:rPr>
        <w:t xml:space="preserve"> mentionnés au II de l'article 1649 AH.</w:t>
      </w:r>
    </w:p>
    <w:p w14:paraId="3F459323" w14:textId="77777777" w:rsidR="00112FAB" w:rsidRDefault="00112FAB" w:rsidP="00112FAB">
      <w:pPr>
        <w:widowControl w:val="0"/>
        <w:autoSpaceDE w:val="0"/>
        <w:autoSpaceDN w:val="0"/>
        <w:adjustRightInd w:val="0"/>
        <w:jc w:val="both"/>
        <w:rPr>
          <w:szCs w:val="21"/>
        </w:rPr>
      </w:pPr>
    </w:p>
    <w:p w14:paraId="6B2A828C" w14:textId="77777777" w:rsidR="00112FAB" w:rsidRDefault="00112FAB" w:rsidP="00112FAB">
      <w:pPr>
        <w:widowControl w:val="0"/>
        <w:autoSpaceDE w:val="0"/>
        <w:autoSpaceDN w:val="0"/>
        <w:adjustRightInd w:val="0"/>
        <w:jc w:val="both"/>
        <w:rPr>
          <w:szCs w:val="21"/>
        </w:rPr>
      </w:pPr>
    </w:p>
    <w:p w14:paraId="58DF3715" w14:textId="77777777" w:rsidR="00112FAB" w:rsidRDefault="00112FAB" w:rsidP="00112FAB">
      <w:pPr>
        <w:widowControl w:val="0"/>
        <w:autoSpaceDE w:val="0"/>
        <w:autoSpaceDN w:val="0"/>
        <w:adjustRightInd w:val="0"/>
        <w:jc w:val="both"/>
        <w:rPr>
          <w:szCs w:val="21"/>
        </w:rPr>
      </w:pPr>
    </w:p>
    <w:p w14:paraId="06511525" w14:textId="77777777" w:rsidR="00112FAB" w:rsidRDefault="00112FAB" w:rsidP="00112FAB">
      <w:pPr>
        <w:widowControl w:val="0"/>
        <w:autoSpaceDE w:val="0"/>
        <w:autoSpaceDN w:val="0"/>
        <w:adjustRightInd w:val="0"/>
        <w:jc w:val="both"/>
        <w:rPr>
          <w:rFonts w:ascii="Arial" w:hAnsi="Arial" w:cs="Arial"/>
          <w:sz w:val="22"/>
          <w:szCs w:val="22"/>
        </w:rPr>
      </w:pPr>
    </w:p>
    <w:p w14:paraId="6FA4F139" w14:textId="77777777" w:rsidR="00112FAB" w:rsidRDefault="00112FAB" w:rsidP="00112FAB">
      <w:pPr>
        <w:widowControl w:val="0"/>
        <w:autoSpaceDE w:val="0"/>
        <w:autoSpaceDN w:val="0"/>
        <w:adjustRightInd w:val="0"/>
        <w:jc w:val="both"/>
        <w:rPr>
          <w:rFonts w:ascii="Arial" w:hAnsi="Arial" w:cs="Arial"/>
          <w:sz w:val="22"/>
          <w:szCs w:val="22"/>
        </w:rPr>
      </w:pPr>
      <w:r w:rsidRPr="00A52AE8">
        <w:rPr>
          <w:rFonts w:ascii="Arial" w:hAnsi="Arial" w:cs="Arial"/>
          <w:noProof/>
          <w:sz w:val="22"/>
          <w:szCs w:val="22"/>
        </w:rPr>
        <w:drawing>
          <wp:inline distT="0" distB="0" distL="0" distR="0" wp14:anchorId="4D173DBF" wp14:editId="0FA8ADC5">
            <wp:extent cx="5750560" cy="2905760"/>
            <wp:effectExtent l="0" t="0" r="0" b="0"/>
            <wp:docPr id="2"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8"/>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0560" cy="2905760"/>
                    </a:xfrm>
                    <a:prstGeom prst="rect">
                      <a:avLst/>
                    </a:prstGeom>
                    <a:noFill/>
                    <a:ln>
                      <a:noFill/>
                    </a:ln>
                  </pic:spPr>
                </pic:pic>
              </a:graphicData>
            </a:graphic>
          </wp:inline>
        </w:drawing>
      </w:r>
    </w:p>
    <w:p w14:paraId="25C70E2C" w14:textId="77777777" w:rsidR="00112FAB" w:rsidRDefault="00112FAB" w:rsidP="00112FAB">
      <w:pPr>
        <w:widowControl w:val="0"/>
        <w:autoSpaceDE w:val="0"/>
        <w:autoSpaceDN w:val="0"/>
        <w:adjustRightInd w:val="0"/>
        <w:jc w:val="both"/>
        <w:rPr>
          <w:rFonts w:ascii="Arial" w:hAnsi="Arial" w:cs="Arial"/>
          <w:sz w:val="22"/>
          <w:szCs w:val="22"/>
        </w:rPr>
      </w:pPr>
    </w:p>
    <w:p w14:paraId="60776834" w14:textId="77777777" w:rsidR="00112FAB" w:rsidRDefault="00112FAB" w:rsidP="00112FAB">
      <w:pPr>
        <w:widowControl w:val="0"/>
        <w:autoSpaceDE w:val="0"/>
        <w:autoSpaceDN w:val="0"/>
        <w:adjustRightInd w:val="0"/>
        <w:jc w:val="both"/>
        <w:rPr>
          <w:rFonts w:ascii="Arial" w:hAnsi="Arial" w:cs="Arial"/>
          <w:sz w:val="22"/>
          <w:szCs w:val="22"/>
        </w:rPr>
      </w:pPr>
    </w:p>
    <w:p w14:paraId="5FE571E6" w14:textId="77777777" w:rsidR="00112FAB" w:rsidRDefault="00112FAB" w:rsidP="00112FAB">
      <w:pPr>
        <w:widowControl w:val="0"/>
        <w:autoSpaceDE w:val="0"/>
        <w:autoSpaceDN w:val="0"/>
        <w:adjustRightInd w:val="0"/>
        <w:jc w:val="both"/>
        <w:rPr>
          <w:rFonts w:ascii="Arial" w:hAnsi="Arial" w:cs="Arial"/>
          <w:sz w:val="22"/>
          <w:szCs w:val="22"/>
        </w:rPr>
      </w:pPr>
    </w:p>
    <w:p w14:paraId="004F6AB0" w14:textId="77777777" w:rsidR="00112FAB" w:rsidRDefault="00112FAB" w:rsidP="00112FAB">
      <w:pPr>
        <w:widowControl w:val="0"/>
        <w:autoSpaceDE w:val="0"/>
        <w:autoSpaceDN w:val="0"/>
        <w:adjustRightInd w:val="0"/>
        <w:jc w:val="both"/>
        <w:rPr>
          <w:rFonts w:ascii="Arial" w:hAnsi="Arial" w:cs="Arial"/>
          <w:sz w:val="22"/>
          <w:szCs w:val="22"/>
        </w:rPr>
      </w:pPr>
    </w:p>
    <w:p w14:paraId="01BC8528" w14:textId="77777777" w:rsidR="00112FAB"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Cette déclaration doit être déposée dans les 30 jours de la mise à disposition ou la mise en œuvre du dispositif.</w:t>
      </w:r>
    </w:p>
    <w:p w14:paraId="384D113F" w14:textId="77777777" w:rsidR="00112FAB" w:rsidRDefault="00112FAB" w:rsidP="00112FAB">
      <w:pPr>
        <w:widowControl w:val="0"/>
        <w:autoSpaceDE w:val="0"/>
        <w:autoSpaceDN w:val="0"/>
        <w:adjustRightInd w:val="0"/>
        <w:jc w:val="both"/>
        <w:rPr>
          <w:rFonts w:ascii="Arial" w:hAnsi="Arial" w:cs="Arial"/>
          <w:sz w:val="22"/>
          <w:szCs w:val="22"/>
        </w:rPr>
      </w:pPr>
    </w:p>
    <w:p w14:paraId="7F9B6B33" w14:textId="18630460" w:rsidR="00112FAB" w:rsidRDefault="00112FAB" w:rsidP="00112FAB">
      <w:pPr>
        <w:widowControl w:val="0"/>
        <w:autoSpaceDE w:val="0"/>
        <w:autoSpaceDN w:val="0"/>
        <w:adjustRightInd w:val="0"/>
        <w:jc w:val="both"/>
        <w:rPr>
          <w:rFonts w:ascii="Arial" w:hAnsi="Arial" w:cs="Arial"/>
          <w:sz w:val="22"/>
          <w:szCs w:val="22"/>
        </w:rPr>
      </w:pPr>
    </w:p>
    <w:p w14:paraId="40926765" w14:textId="77777777" w:rsidR="00112FAB" w:rsidRDefault="00112FAB" w:rsidP="00112FAB">
      <w:pPr>
        <w:widowControl w:val="0"/>
        <w:autoSpaceDE w:val="0"/>
        <w:autoSpaceDN w:val="0"/>
        <w:adjustRightInd w:val="0"/>
        <w:jc w:val="both"/>
        <w:rPr>
          <w:szCs w:val="21"/>
        </w:rPr>
      </w:pPr>
    </w:p>
    <w:p w14:paraId="3BA0B5E0" w14:textId="5E906CC5" w:rsidR="00112FAB" w:rsidRDefault="00112FAB" w:rsidP="00E21E0C">
      <w:pPr>
        <w:widowControl w:val="0"/>
        <w:tabs>
          <w:tab w:val="left" w:pos="3744"/>
        </w:tabs>
        <w:autoSpaceDE w:val="0"/>
        <w:autoSpaceDN w:val="0"/>
        <w:adjustRightInd w:val="0"/>
        <w:jc w:val="both"/>
        <w:rPr>
          <w:szCs w:val="21"/>
        </w:rPr>
      </w:pPr>
    </w:p>
    <w:p w14:paraId="1F6E22C6" w14:textId="77777777" w:rsidR="00112FAB" w:rsidRPr="00ED5D91" w:rsidRDefault="00112FAB" w:rsidP="00112FAB">
      <w:pPr>
        <w:pStyle w:val="Titre2"/>
        <w:pBdr>
          <w:top w:val="single" w:sz="4" w:space="1" w:color="auto"/>
          <w:left w:val="single" w:sz="4" w:space="4" w:color="auto"/>
          <w:bottom w:val="single" w:sz="4" w:space="1" w:color="auto"/>
          <w:right w:val="single" w:sz="4" w:space="4" w:color="auto"/>
        </w:pBdr>
        <w:spacing w:before="0" w:after="0"/>
        <w:rPr>
          <w:rFonts w:ascii="Arial" w:hAnsi="Arial" w:cs="Arial"/>
          <w:i w:val="0"/>
          <w:sz w:val="22"/>
          <w:szCs w:val="22"/>
        </w:rPr>
      </w:pPr>
      <w:r w:rsidRPr="00ED5D91">
        <w:rPr>
          <w:rFonts w:ascii="Arial" w:hAnsi="Arial" w:cs="Arial"/>
          <w:i w:val="0"/>
          <w:sz w:val="22"/>
          <w:szCs w:val="22"/>
        </w:rPr>
        <w:t>I - LE LIEN DE DÉPENDANCE</w:t>
      </w:r>
    </w:p>
    <w:p w14:paraId="5F38DBF2"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Les dispositions en vigueur visent des transactions entre sociétés liées. La dépendance peut être juridique ou de fait, l’entreprise pouvant exercer ou subir le contrôle d’une entreprise étrangère :</w:t>
      </w:r>
    </w:p>
    <w:p w14:paraId="235AC0D6"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6BA49720" w14:textId="77777777" w:rsidR="00112FAB" w:rsidRPr="00ED5D91" w:rsidRDefault="00112FAB" w:rsidP="00112FAB">
      <w:pPr>
        <w:widowControl w:val="0"/>
        <w:autoSpaceDE w:val="0"/>
        <w:autoSpaceDN w:val="0"/>
        <w:adjustRightInd w:val="0"/>
        <w:jc w:val="both"/>
        <w:rPr>
          <w:rFonts w:ascii="Arial" w:hAnsi="Arial" w:cs="Arial"/>
          <w:sz w:val="22"/>
          <w:szCs w:val="22"/>
        </w:rPr>
      </w:pPr>
      <w:r w:rsidRPr="004C62D4">
        <w:rPr>
          <w:noProof/>
        </w:rPr>
        <w:drawing>
          <wp:anchor distT="0" distB="0" distL="114300" distR="114300" simplePos="0" relativeHeight="251659264" behindDoc="0" locked="0" layoutInCell="1" allowOverlap="1" wp14:anchorId="551F1FD4" wp14:editId="2614E9E0">
            <wp:simplePos x="0" y="0"/>
            <wp:positionH relativeFrom="column">
              <wp:posOffset>0</wp:posOffset>
            </wp:positionH>
            <wp:positionV relativeFrom="paragraph">
              <wp:posOffset>0</wp:posOffset>
            </wp:positionV>
            <wp:extent cx="5749290" cy="1403350"/>
            <wp:effectExtent l="0" t="0" r="0" b="0"/>
            <wp:wrapTight wrapText="bothSides">
              <wp:wrapPolygon edited="0">
                <wp:start x="0" y="0"/>
                <wp:lineTo x="0" y="21502"/>
                <wp:lineTo x="21567" y="21502"/>
                <wp:lineTo x="21567" y="0"/>
                <wp:lineTo x="0" y="0"/>
              </wp:wrapPolygon>
            </wp:wrapTight>
            <wp:docPr id="6"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49290" cy="1403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46881C"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Il peut s’agir également d’une transaction entre deux entreprises contrôlées par une même troisième :</w:t>
      </w:r>
    </w:p>
    <w:p w14:paraId="40E059C9" w14:textId="77777777" w:rsidR="00112FAB" w:rsidRPr="00ED5D91" w:rsidRDefault="00112FAB" w:rsidP="00112FAB">
      <w:pPr>
        <w:widowControl w:val="0"/>
        <w:autoSpaceDE w:val="0"/>
        <w:autoSpaceDN w:val="0"/>
        <w:adjustRightInd w:val="0"/>
        <w:jc w:val="both"/>
        <w:rPr>
          <w:rFonts w:ascii="Arial" w:hAnsi="Arial" w:cs="Arial"/>
          <w:sz w:val="22"/>
          <w:szCs w:val="22"/>
        </w:rPr>
      </w:pPr>
      <w:r w:rsidRPr="002A1E0A">
        <w:rPr>
          <w:noProof/>
        </w:rPr>
        <w:lastRenderedPageBreak/>
        <w:drawing>
          <wp:anchor distT="0" distB="0" distL="114300" distR="114300" simplePos="0" relativeHeight="251660288" behindDoc="0" locked="0" layoutInCell="1" allowOverlap="1" wp14:anchorId="0B5CF265" wp14:editId="07CBD321">
            <wp:simplePos x="0" y="0"/>
            <wp:positionH relativeFrom="column">
              <wp:posOffset>1322705</wp:posOffset>
            </wp:positionH>
            <wp:positionV relativeFrom="paragraph">
              <wp:posOffset>142875</wp:posOffset>
            </wp:positionV>
            <wp:extent cx="3086100" cy="1130935"/>
            <wp:effectExtent l="0" t="0" r="0" b="0"/>
            <wp:wrapTight wrapText="bothSides">
              <wp:wrapPolygon edited="0">
                <wp:start x="0" y="0"/>
                <wp:lineTo x="0" y="21345"/>
                <wp:lineTo x="21511" y="21345"/>
                <wp:lineTo x="21511" y="0"/>
                <wp:lineTo x="0" y="0"/>
              </wp:wrapPolygon>
            </wp:wrapTight>
            <wp:docPr id="5"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86100" cy="11309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E15606"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54AE147F"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355530C4"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203CA6DF"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51DA806B"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67D66AE"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53D90AEF"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488557FA" w14:textId="77777777" w:rsidR="00112FAB" w:rsidRPr="00ED5D91" w:rsidRDefault="00112FAB" w:rsidP="00112FAB">
      <w:pPr>
        <w:widowControl w:val="0"/>
        <w:autoSpaceDE w:val="0"/>
        <w:autoSpaceDN w:val="0"/>
        <w:adjustRightInd w:val="0"/>
        <w:jc w:val="both"/>
        <w:rPr>
          <w:rFonts w:ascii="Arial" w:hAnsi="Arial" w:cs="Arial"/>
          <w:i/>
          <w:sz w:val="22"/>
          <w:szCs w:val="22"/>
        </w:rPr>
      </w:pPr>
    </w:p>
    <w:p w14:paraId="3E8CF3E7"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075B5D7" w14:textId="77777777" w:rsidR="00112FAB" w:rsidRPr="00ED5D91" w:rsidRDefault="00112FAB" w:rsidP="00112FAB">
      <w:pPr>
        <w:widowControl w:val="0"/>
        <w:autoSpaceDE w:val="0"/>
        <w:autoSpaceDN w:val="0"/>
        <w:adjustRightInd w:val="0"/>
        <w:jc w:val="both"/>
        <w:rPr>
          <w:rFonts w:ascii="Arial" w:hAnsi="Arial" w:cs="Arial"/>
          <w:b/>
          <w:sz w:val="22"/>
          <w:szCs w:val="22"/>
        </w:rPr>
      </w:pPr>
      <w:r w:rsidRPr="00ED5D91">
        <w:rPr>
          <w:rFonts w:ascii="Arial" w:hAnsi="Arial" w:cs="Arial"/>
          <w:b/>
          <w:sz w:val="22"/>
          <w:szCs w:val="22"/>
        </w:rPr>
        <w:t>La notion de groupe</w:t>
      </w:r>
    </w:p>
    <w:p w14:paraId="7ECDD989" w14:textId="74E6CEDF" w:rsidR="00112FAB" w:rsidRPr="00ED5D91" w:rsidRDefault="00CD13F6" w:rsidP="00112FAB">
      <w:pPr>
        <w:widowControl w:val="0"/>
        <w:autoSpaceDE w:val="0"/>
        <w:autoSpaceDN w:val="0"/>
        <w:adjustRightInd w:val="0"/>
        <w:jc w:val="both"/>
        <w:rPr>
          <w:rFonts w:ascii="Arial" w:hAnsi="Arial" w:cs="Arial"/>
          <w:sz w:val="22"/>
          <w:szCs w:val="22"/>
        </w:rPr>
      </w:pPr>
      <w:r>
        <w:rPr>
          <w:rFonts w:ascii="Arial" w:hAnsi="Arial" w:cs="Arial"/>
          <w:sz w:val="22"/>
          <w:szCs w:val="22"/>
        </w:rPr>
        <w:t>Le groupe n’est pas exp</w:t>
      </w:r>
      <w:r w:rsidR="009F5F00">
        <w:rPr>
          <w:rFonts w:ascii="Arial" w:hAnsi="Arial" w:cs="Arial"/>
          <w:sz w:val="22"/>
          <w:szCs w:val="22"/>
        </w:rPr>
        <w:t>licitement présent dans la rédaction de l’article qui évoque des relations de dépendance : l</w:t>
      </w:r>
      <w:r w:rsidR="00112FAB" w:rsidRPr="00ED5D91">
        <w:rPr>
          <w:rFonts w:ascii="Arial" w:hAnsi="Arial" w:cs="Arial"/>
          <w:sz w:val="22"/>
          <w:szCs w:val="22"/>
        </w:rPr>
        <w:t>a notion de groupe suppose l'existence de liens de dépendance entre les différentes entreprises qui le composent.</w:t>
      </w:r>
    </w:p>
    <w:p w14:paraId="3A1F5435"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Deux entreprises sont dépendantes - et donc appartiennent à un même groupe - si l'une d'elle participe directement ou indirectement à la direction, au contrôle ou au capital de l'autre ou si les deux entreprises sont détenues ou sont sous l'influence d'une même entreprise ou d'un même groupe. Le lien de dépendance peut être juridique (de droit) ou de fait.</w:t>
      </w:r>
    </w:p>
    <w:p w14:paraId="5EEE3D69"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74B6BBE9" w14:textId="77777777" w:rsidR="00112FAB" w:rsidRPr="00ED5D91" w:rsidRDefault="00112FAB" w:rsidP="00112FAB">
      <w:pPr>
        <w:widowControl w:val="0"/>
        <w:autoSpaceDE w:val="0"/>
        <w:autoSpaceDN w:val="0"/>
        <w:adjustRightInd w:val="0"/>
        <w:jc w:val="both"/>
        <w:rPr>
          <w:rFonts w:ascii="Arial" w:hAnsi="Arial" w:cs="Arial"/>
          <w:b/>
          <w:sz w:val="22"/>
          <w:szCs w:val="22"/>
        </w:rPr>
      </w:pPr>
      <w:r w:rsidRPr="00ED5D91">
        <w:rPr>
          <w:rFonts w:ascii="Arial" w:hAnsi="Arial" w:cs="Arial"/>
          <w:b/>
          <w:sz w:val="22"/>
          <w:szCs w:val="22"/>
        </w:rPr>
        <w:t>La dépendance juridique (ou de droit)</w:t>
      </w:r>
    </w:p>
    <w:p w14:paraId="2153C086"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Une entreprise est placée sous la dépendance d'une entreprise étrangère lorsque cette dernière possède directement ou indirectement une part prépondérante dans son capital ou la majorité absolue des droits de vote dans les assemblées d'actionnaires ou d'associés. En pratique, la détention de la majorité du capital (plus de 50%) suffit à caractériser la dépendance. La dépendance juridique peut être directe (mère et filiale par exemple) ou indirecte, vis des sous-filiales.</w:t>
      </w:r>
    </w:p>
    <w:p w14:paraId="250D974B"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1571DE15"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r w:rsidRPr="00ED5D91">
        <w:rPr>
          <w:rFonts w:ascii="Arial" w:hAnsi="Arial" w:cs="Arial"/>
          <w:b/>
          <w:sz w:val="22"/>
          <w:szCs w:val="22"/>
        </w:rPr>
        <w:t>La dépendance de fait</w:t>
      </w:r>
    </w:p>
    <w:p w14:paraId="4C618A32"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Il y a dépendance de fait si l'entreprise étrangère exerce dans l'entreprise, directement ou indirectement, un véritable pouvoir de décision (ou inversement). La dépendance de fait se caractérise donc par la capacité d'une entreprise à imposer des conditions économiques à une autre entreprise.</w:t>
      </w:r>
    </w:p>
    <w:p w14:paraId="33B834FC" w14:textId="422DF137" w:rsidR="00112FAB" w:rsidRPr="00000496"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3CD57EFD" w14:textId="77777777" w:rsidR="00112FAB" w:rsidRPr="00ED5D91" w:rsidRDefault="00112FAB" w:rsidP="00112FAB">
      <w:pPr>
        <w:widowControl w:val="0"/>
        <w:autoSpaceDE w:val="0"/>
        <w:autoSpaceDN w:val="0"/>
        <w:adjustRightInd w:val="0"/>
        <w:jc w:val="both"/>
        <w:rPr>
          <w:rFonts w:ascii="Arial" w:hAnsi="Arial" w:cs="Arial"/>
          <w:b/>
          <w:sz w:val="22"/>
          <w:szCs w:val="22"/>
        </w:rPr>
      </w:pPr>
    </w:p>
    <w:p w14:paraId="657588C6" w14:textId="77777777" w:rsidR="00112FAB" w:rsidRPr="00ED5D91" w:rsidRDefault="00112FAB" w:rsidP="00112FAB">
      <w:pPr>
        <w:widowControl w:val="0"/>
        <w:autoSpaceDE w:val="0"/>
        <w:autoSpaceDN w:val="0"/>
        <w:adjustRightInd w:val="0"/>
        <w:jc w:val="both"/>
        <w:rPr>
          <w:rFonts w:ascii="Arial" w:hAnsi="Arial" w:cs="Arial"/>
          <w:b/>
          <w:sz w:val="22"/>
          <w:szCs w:val="22"/>
        </w:rPr>
      </w:pPr>
    </w:p>
    <w:p w14:paraId="690CFE1A" w14:textId="778B93E2" w:rsidR="00112FAB" w:rsidRPr="00ED5D91"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Arial" w:hAnsi="Arial" w:cs="Arial"/>
          <w:b/>
          <w:sz w:val="22"/>
          <w:szCs w:val="22"/>
        </w:rPr>
      </w:pPr>
      <w:r w:rsidRPr="00ED5D91">
        <w:rPr>
          <w:rFonts w:ascii="Arial" w:hAnsi="Arial" w:cs="Arial"/>
          <w:b/>
          <w:sz w:val="22"/>
          <w:szCs w:val="22"/>
        </w:rPr>
        <w:t>II - LE TRANSFERT DE BÉNÉFICE</w:t>
      </w:r>
    </w:p>
    <w:p w14:paraId="327D140C" w14:textId="77777777" w:rsidR="00112FAB" w:rsidRPr="00ED5D91" w:rsidRDefault="00112FAB" w:rsidP="00112FAB">
      <w:pPr>
        <w:widowControl w:val="0"/>
        <w:autoSpaceDE w:val="0"/>
        <w:autoSpaceDN w:val="0"/>
        <w:adjustRightInd w:val="0"/>
        <w:jc w:val="both"/>
        <w:rPr>
          <w:rFonts w:ascii="Arial" w:hAnsi="Arial" w:cs="Arial"/>
          <w:b/>
          <w:sz w:val="22"/>
          <w:szCs w:val="22"/>
        </w:rPr>
      </w:pPr>
      <w:r w:rsidRPr="00ED5D91">
        <w:rPr>
          <w:rFonts w:ascii="Arial" w:hAnsi="Arial" w:cs="Arial"/>
          <w:b/>
          <w:sz w:val="22"/>
          <w:szCs w:val="22"/>
        </w:rPr>
        <w:t>Le lien entre les prix de transfert et la fiscalité</w:t>
      </w:r>
    </w:p>
    <w:p w14:paraId="0376D9B8"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En fixant leurs prix de transfert, les groupes opèrent des choix qui affectent de façon immédiate et directe l'assiette fiscale des États concernés par les transactions.</w:t>
      </w:r>
    </w:p>
    <w:p w14:paraId="018B14A8"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Par conséquent, les États vérifient que les entreprises implantées sur leur territoire et qui commercent avec d'autres entreprises liées et implantées à l'étranger sont correctement rémunérées pour les opérations réalisées et déclarent la juste part du résultat devant leur revenir eu égard aux activités déployées.</w:t>
      </w:r>
    </w:p>
    <w:p w14:paraId="4FA415F8"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64EBB9FD" w14:textId="77777777" w:rsidR="00112FAB" w:rsidRPr="00ED5D91" w:rsidRDefault="00112FAB" w:rsidP="00112FAB">
      <w:pPr>
        <w:widowControl w:val="0"/>
        <w:autoSpaceDE w:val="0"/>
        <w:autoSpaceDN w:val="0"/>
        <w:adjustRightInd w:val="0"/>
        <w:jc w:val="both"/>
        <w:rPr>
          <w:rFonts w:ascii="Arial" w:hAnsi="Arial" w:cs="Arial"/>
          <w:b/>
          <w:sz w:val="22"/>
          <w:szCs w:val="22"/>
        </w:rPr>
      </w:pPr>
      <w:r w:rsidRPr="00ED5D91">
        <w:rPr>
          <w:rFonts w:ascii="Arial" w:hAnsi="Arial" w:cs="Arial"/>
          <w:sz w:val="22"/>
          <w:szCs w:val="22"/>
        </w:rPr>
        <w:t>L</w:t>
      </w:r>
      <w:r w:rsidRPr="00ED5D91">
        <w:rPr>
          <w:rFonts w:ascii="Arial" w:hAnsi="Arial" w:cs="Arial"/>
          <w:b/>
          <w:sz w:val="22"/>
          <w:szCs w:val="22"/>
        </w:rPr>
        <w:t>e prix de pleine concurrence</w:t>
      </w:r>
    </w:p>
    <w:p w14:paraId="424AFD9F"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Afin de pouvoir s'assurer que les bases d'imposition de chaque pays sont les plus justes possibles, d'éviter les conflits entre les différentes administrations fiscales et les distorsions de concurrence entre les entreprises, les pays membres de l'OCDE ont adopté le principe du "prix de pleine concurrence" pour les opérations intragroupes.</w:t>
      </w:r>
    </w:p>
    <w:p w14:paraId="51F08704"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Il signifie que le prix pratiqué entre des entreprises dépendantes doit être le même que celui qui aurait été pratiqué sur le marché entre deux entreprises indépendantes.</w:t>
      </w:r>
    </w:p>
    <w:p w14:paraId="13787E85"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xml:space="preserve">L'article 57 du code général des impôts reprend ce même principe en exigeant que, aux fins de l'impôt, les conditions convenues par des parties ayant un lien de dépendance dans le cadre de leurs relations financières ou commerciales soient celles auxquelles on pourrait s'attendre si les parties n'avaient aucun lien de dépendance. Dès lors, afin d'éviter tout risque </w:t>
      </w:r>
      <w:r w:rsidRPr="00ED5D91">
        <w:rPr>
          <w:rFonts w:ascii="Arial" w:hAnsi="Arial" w:cs="Arial"/>
          <w:sz w:val="22"/>
          <w:szCs w:val="22"/>
        </w:rPr>
        <w:lastRenderedPageBreak/>
        <w:t>fiscal, l'entreprise doit s'assurer que ses prix de transfert ne s'écartent pas de ce prix de pleine concurrence.</w:t>
      </w:r>
    </w:p>
    <w:p w14:paraId="109A7488"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MS Gothic" w:eastAsia="MS Gothic" w:hAnsi="MS Gothic" w:cs="MS Gothic" w:hint="eastAsia"/>
          <w:sz w:val="22"/>
          <w:szCs w:val="22"/>
        </w:rPr>
        <w:t> </w:t>
      </w:r>
      <w:r w:rsidRPr="00ED5D91">
        <w:rPr>
          <w:rFonts w:ascii="Arial" w:hAnsi="Arial" w:cs="Arial"/>
          <w:sz w:val="22"/>
          <w:szCs w:val="22"/>
        </w:rPr>
        <w:t>Ce concept de prix de pleine concurrence est critiqué, sur la base du fait que 60% du commerce mondial serait entre sociétés liées, donc hors concurrence !</w:t>
      </w:r>
    </w:p>
    <w:p w14:paraId="0F5D0B4D" w14:textId="4A5F13A9" w:rsidR="00112FAB" w:rsidRPr="00ED5D91" w:rsidRDefault="00112FAB" w:rsidP="00112FAB">
      <w:pPr>
        <w:widowControl w:val="0"/>
        <w:autoSpaceDE w:val="0"/>
        <w:autoSpaceDN w:val="0"/>
        <w:adjustRightInd w:val="0"/>
        <w:jc w:val="both"/>
        <w:rPr>
          <w:rFonts w:ascii="Arial" w:hAnsi="Arial" w:cs="Arial"/>
          <w:sz w:val="22"/>
          <w:szCs w:val="22"/>
        </w:rPr>
      </w:pPr>
    </w:p>
    <w:p w14:paraId="4A9FE253"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Pour ne pas courir de risque fiscal, l'entreprise doit s'assurer que ce prix est conforme au prix de pleine concurrence. Elle doit donc le comparer à celui qui serait conclu pour une transaction identique réalisée entre des entreprises indépendantes (les comparables).</w:t>
      </w:r>
    </w:p>
    <w:p w14:paraId="72BA74EC"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Cette approche est critiquée : selon l’OCDE, plus de 60% du commerce mondial est réalisé entre sociétés liées ; par ailleurs, il y a de nombreuses transactions pour lesquelles on ne dispose pas de « comparable ».</w:t>
      </w:r>
    </w:p>
    <w:p w14:paraId="76247BB7"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L'entreprise doit enfin être en mesure de retracer la démarche de détermination de ses prix de transfert qu'elle mettra à la disposition de l'administration en cas de contrôle (analyse fonctionnelle, choix de la méthode, tarification, justification de la normalité de la rémunération par l'analyse de comparabilité).</w:t>
      </w:r>
    </w:p>
    <w:p w14:paraId="70AB1097"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6DA86D75" w14:textId="77777777" w:rsidR="00112FAB" w:rsidRPr="00ED5D91" w:rsidRDefault="00112FAB" w:rsidP="00112FAB">
      <w:pPr>
        <w:widowControl w:val="0"/>
        <w:autoSpaceDE w:val="0"/>
        <w:autoSpaceDN w:val="0"/>
        <w:adjustRightInd w:val="0"/>
        <w:jc w:val="both"/>
        <w:rPr>
          <w:rFonts w:ascii="Arial" w:hAnsi="Arial" w:cs="Arial"/>
          <w:b/>
          <w:sz w:val="22"/>
          <w:szCs w:val="22"/>
        </w:rPr>
      </w:pPr>
      <w:r w:rsidRPr="00ED5D91">
        <w:rPr>
          <w:rFonts w:ascii="Arial" w:hAnsi="Arial" w:cs="Arial"/>
          <w:b/>
          <w:sz w:val="22"/>
          <w:szCs w:val="22"/>
        </w:rPr>
        <w:t>A) Les méthodes de rémunération</w:t>
      </w:r>
    </w:p>
    <w:p w14:paraId="717C2467" w14:textId="33BE94B3" w:rsidR="00112FAB"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L'entreprise a le choix de la méthode de rémunération. Les méthodes les plus fréquemment rencontrées s'inspirent des cinq méthodes préconisées par OCDE :</w:t>
      </w:r>
    </w:p>
    <w:p w14:paraId="315B5538" w14:textId="17E1160B" w:rsidR="0009692A" w:rsidRDefault="0009692A" w:rsidP="00112FAB">
      <w:pPr>
        <w:widowControl w:val="0"/>
        <w:autoSpaceDE w:val="0"/>
        <w:autoSpaceDN w:val="0"/>
        <w:adjustRightInd w:val="0"/>
        <w:jc w:val="both"/>
        <w:rPr>
          <w:rFonts w:ascii="Arial" w:hAnsi="Arial" w:cs="Arial"/>
          <w:sz w:val="22"/>
          <w:szCs w:val="22"/>
        </w:rPr>
      </w:pPr>
    </w:p>
    <w:tbl>
      <w:tblPr>
        <w:tblStyle w:val="Grilledutableau"/>
        <w:tblW w:w="0" w:type="auto"/>
        <w:tblLook w:val="04A0" w:firstRow="1" w:lastRow="0" w:firstColumn="1" w:lastColumn="0" w:noHBand="0" w:noVBand="1"/>
      </w:tblPr>
      <w:tblGrid>
        <w:gridCol w:w="4527"/>
        <w:gridCol w:w="4527"/>
      </w:tblGrid>
      <w:tr w:rsidR="0009692A" w14:paraId="46399BDA" w14:textId="77777777" w:rsidTr="0009692A">
        <w:tc>
          <w:tcPr>
            <w:tcW w:w="4527" w:type="dxa"/>
            <w:vMerge w:val="restart"/>
          </w:tcPr>
          <w:p w14:paraId="45316A9D" w14:textId="77777777" w:rsidR="0009692A" w:rsidRDefault="0009692A" w:rsidP="0009692A">
            <w:pPr>
              <w:widowControl w:val="0"/>
              <w:autoSpaceDE w:val="0"/>
              <w:autoSpaceDN w:val="0"/>
              <w:adjustRightInd w:val="0"/>
              <w:jc w:val="center"/>
              <w:rPr>
                <w:rFonts w:ascii="Arial" w:hAnsi="Arial" w:cs="Arial"/>
                <w:sz w:val="22"/>
                <w:szCs w:val="22"/>
              </w:rPr>
            </w:pPr>
          </w:p>
          <w:p w14:paraId="6F640A33" w14:textId="572BC500" w:rsidR="0009692A" w:rsidRDefault="0009692A" w:rsidP="0009692A">
            <w:pPr>
              <w:widowControl w:val="0"/>
              <w:autoSpaceDE w:val="0"/>
              <w:autoSpaceDN w:val="0"/>
              <w:adjustRightInd w:val="0"/>
              <w:jc w:val="center"/>
              <w:rPr>
                <w:rFonts w:ascii="Arial" w:hAnsi="Arial" w:cs="Arial"/>
                <w:sz w:val="22"/>
                <w:szCs w:val="22"/>
              </w:rPr>
            </w:pPr>
            <w:r>
              <w:rPr>
                <w:rFonts w:ascii="Arial" w:hAnsi="Arial" w:cs="Arial"/>
                <w:sz w:val="22"/>
                <w:szCs w:val="22"/>
              </w:rPr>
              <w:t>3 méthodes traditionnelles</w:t>
            </w:r>
          </w:p>
        </w:tc>
        <w:tc>
          <w:tcPr>
            <w:tcW w:w="4527" w:type="dxa"/>
          </w:tcPr>
          <w:p w14:paraId="6BE834AC" w14:textId="4417ED03" w:rsidR="0009692A" w:rsidRPr="0009692A" w:rsidRDefault="0009692A" w:rsidP="0009692A">
            <w:pPr>
              <w:widowControl w:val="0"/>
              <w:autoSpaceDE w:val="0"/>
              <w:autoSpaceDN w:val="0"/>
              <w:adjustRightInd w:val="0"/>
              <w:jc w:val="both"/>
              <w:rPr>
                <w:rFonts w:ascii="Arial" w:hAnsi="Arial" w:cs="Arial"/>
                <w:color w:val="000000" w:themeColor="text1"/>
                <w:sz w:val="22"/>
                <w:szCs w:val="22"/>
              </w:rPr>
            </w:pPr>
            <w:r w:rsidRPr="0009692A">
              <w:rPr>
                <w:rFonts w:ascii="Arial" w:eastAsia="MS PGothic" w:hAnsi="Arial" w:cs="Arial"/>
                <w:color w:val="000000" w:themeColor="text1"/>
                <w:kern w:val="24"/>
                <w:sz w:val="22"/>
                <w:szCs w:val="22"/>
              </w:rPr>
              <w:t>Prix comparable sur le marché libre</w:t>
            </w:r>
          </w:p>
        </w:tc>
      </w:tr>
      <w:tr w:rsidR="0009692A" w14:paraId="12F772C9" w14:textId="77777777" w:rsidTr="0009692A">
        <w:tc>
          <w:tcPr>
            <w:tcW w:w="4527" w:type="dxa"/>
            <w:vMerge/>
          </w:tcPr>
          <w:p w14:paraId="2B1CCD4B" w14:textId="77777777" w:rsidR="0009692A" w:rsidRDefault="0009692A" w:rsidP="0009692A">
            <w:pPr>
              <w:widowControl w:val="0"/>
              <w:autoSpaceDE w:val="0"/>
              <w:autoSpaceDN w:val="0"/>
              <w:adjustRightInd w:val="0"/>
              <w:jc w:val="center"/>
              <w:rPr>
                <w:rFonts w:ascii="Arial" w:hAnsi="Arial" w:cs="Arial"/>
                <w:sz w:val="22"/>
                <w:szCs w:val="22"/>
              </w:rPr>
            </w:pPr>
          </w:p>
        </w:tc>
        <w:tc>
          <w:tcPr>
            <w:tcW w:w="4527" w:type="dxa"/>
          </w:tcPr>
          <w:p w14:paraId="0AFC7A96" w14:textId="5A26831E" w:rsidR="0009692A" w:rsidRPr="0009692A" w:rsidRDefault="0009692A" w:rsidP="0009692A">
            <w:pPr>
              <w:widowControl w:val="0"/>
              <w:autoSpaceDE w:val="0"/>
              <w:autoSpaceDN w:val="0"/>
              <w:adjustRightInd w:val="0"/>
              <w:jc w:val="both"/>
              <w:rPr>
                <w:rFonts w:ascii="Arial" w:hAnsi="Arial" w:cs="Arial"/>
                <w:color w:val="000000" w:themeColor="text1"/>
                <w:sz w:val="22"/>
                <w:szCs w:val="22"/>
              </w:rPr>
            </w:pPr>
            <w:r w:rsidRPr="0009692A">
              <w:rPr>
                <w:rFonts w:ascii="Arial" w:eastAsia="MS PGothic" w:hAnsi="Arial" w:cs="Arial"/>
                <w:color w:val="000000" w:themeColor="text1"/>
                <w:kern w:val="24"/>
                <w:sz w:val="22"/>
                <w:szCs w:val="22"/>
              </w:rPr>
              <w:t>Prix de revente moins</w:t>
            </w:r>
          </w:p>
        </w:tc>
      </w:tr>
      <w:tr w:rsidR="0009692A" w14:paraId="65ED57C1" w14:textId="77777777" w:rsidTr="0009692A">
        <w:tc>
          <w:tcPr>
            <w:tcW w:w="4527" w:type="dxa"/>
            <w:vMerge/>
          </w:tcPr>
          <w:p w14:paraId="39FB3587" w14:textId="77777777" w:rsidR="0009692A" w:rsidRDefault="0009692A" w:rsidP="0009692A">
            <w:pPr>
              <w:widowControl w:val="0"/>
              <w:autoSpaceDE w:val="0"/>
              <w:autoSpaceDN w:val="0"/>
              <w:adjustRightInd w:val="0"/>
              <w:jc w:val="center"/>
              <w:rPr>
                <w:rFonts w:ascii="Arial" w:hAnsi="Arial" w:cs="Arial"/>
                <w:sz w:val="22"/>
                <w:szCs w:val="22"/>
              </w:rPr>
            </w:pPr>
          </w:p>
        </w:tc>
        <w:tc>
          <w:tcPr>
            <w:tcW w:w="4527" w:type="dxa"/>
          </w:tcPr>
          <w:p w14:paraId="754151D5" w14:textId="78E9E6C6" w:rsidR="0009692A" w:rsidRPr="0009692A" w:rsidRDefault="0009692A" w:rsidP="0009692A">
            <w:pPr>
              <w:widowControl w:val="0"/>
              <w:autoSpaceDE w:val="0"/>
              <w:autoSpaceDN w:val="0"/>
              <w:adjustRightInd w:val="0"/>
              <w:jc w:val="both"/>
              <w:rPr>
                <w:rFonts w:ascii="Arial" w:hAnsi="Arial" w:cs="Arial"/>
                <w:color w:val="000000" w:themeColor="text1"/>
                <w:sz w:val="22"/>
                <w:szCs w:val="22"/>
              </w:rPr>
            </w:pPr>
            <w:r w:rsidRPr="0009692A">
              <w:rPr>
                <w:rFonts w:ascii="Arial" w:eastAsia="MS PGothic" w:hAnsi="Arial" w:cs="Arial"/>
                <w:color w:val="000000" w:themeColor="text1"/>
                <w:kern w:val="24"/>
                <w:sz w:val="22"/>
                <w:szCs w:val="22"/>
              </w:rPr>
              <w:t xml:space="preserve">Prix de revient plus </w:t>
            </w:r>
          </w:p>
        </w:tc>
      </w:tr>
      <w:tr w:rsidR="0009692A" w14:paraId="1B8BEC48" w14:textId="77777777" w:rsidTr="0009692A">
        <w:tc>
          <w:tcPr>
            <w:tcW w:w="4527" w:type="dxa"/>
            <w:vMerge w:val="restart"/>
          </w:tcPr>
          <w:p w14:paraId="5D4C7F39" w14:textId="44003631" w:rsidR="0009692A" w:rsidRPr="0009692A" w:rsidRDefault="0009692A" w:rsidP="0009692A">
            <w:pPr>
              <w:widowControl w:val="0"/>
              <w:autoSpaceDE w:val="0"/>
              <w:autoSpaceDN w:val="0"/>
              <w:adjustRightInd w:val="0"/>
              <w:jc w:val="center"/>
              <w:rPr>
                <w:rFonts w:ascii="Arial" w:hAnsi="Arial" w:cs="Arial"/>
                <w:i/>
                <w:iCs/>
                <w:sz w:val="22"/>
                <w:szCs w:val="22"/>
              </w:rPr>
            </w:pPr>
            <w:r w:rsidRPr="0009692A">
              <w:rPr>
                <w:rFonts w:ascii="Arial" w:hAnsi="Arial" w:cs="Arial"/>
                <w:i/>
                <w:iCs/>
                <w:sz w:val="22"/>
                <w:szCs w:val="22"/>
              </w:rPr>
              <w:t>2 méthodes transactionnelles</w:t>
            </w:r>
          </w:p>
        </w:tc>
        <w:tc>
          <w:tcPr>
            <w:tcW w:w="4527" w:type="dxa"/>
          </w:tcPr>
          <w:p w14:paraId="5AB98E10" w14:textId="51BBD806" w:rsidR="0009692A" w:rsidRPr="0009692A" w:rsidRDefault="0009692A" w:rsidP="0009692A">
            <w:pPr>
              <w:widowControl w:val="0"/>
              <w:autoSpaceDE w:val="0"/>
              <w:autoSpaceDN w:val="0"/>
              <w:adjustRightInd w:val="0"/>
              <w:jc w:val="both"/>
              <w:rPr>
                <w:rFonts w:ascii="Arial" w:hAnsi="Arial" w:cs="Arial"/>
                <w:i/>
                <w:iCs/>
                <w:color w:val="000000" w:themeColor="text1"/>
                <w:sz w:val="22"/>
                <w:szCs w:val="22"/>
              </w:rPr>
            </w:pPr>
            <w:r w:rsidRPr="0009692A">
              <w:rPr>
                <w:rFonts w:ascii="Arial" w:eastAsia="MS PGothic" w:hAnsi="Arial" w:cs="Arial"/>
                <w:i/>
                <w:iCs/>
                <w:color w:val="000000" w:themeColor="text1"/>
                <w:kern w:val="24"/>
                <w:sz w:val="22"/>
                <w:szCs w:val="22"/>
              </w:rPr>
              <w:t>Partage des bénéfices</w:t>
            </w:r>
          </w:p>
        </w:tc>
      </w:tr>
      <w:tr w:rsidR="0009692A" w14:paraId="6F7E7D18" w14:textId="77777777" w:rsidTr="0009692A">
        <w:tc>
          <w:tcPr>
            <w:tcW w:w="4527" w:type="dxa"/>
            <w:vMerge/>
          </w:tcPr>
          <w:p w14:paraId="61F45248" w14:textId="77777777" w:rsidR="0009692A" w:rsidRPr="0009692A" w:rsidRDefault="0009692A" w:rsidP="0009692A">
            <w:pPr>
              <w:widowControl w:val="0"/>
              <w:autoSpaceDE w:val="0"/>
              <w:autoSpaceDN w:val="0"/>
              <w:adjustRightInd w:val="0"/>
              <w:jc w:val="both"/>
              <w:rPr>
                <w:rFonts w:ascii="Arial" w:hAnsi="Arial" w:cs="Arial"/>
                <w:i/>
                <w:iCs/>
                <w:sz w:val="22"/>
                <w:szCs w:val="22"/>
              </w:rPr>
            </w:pPr>
          </w:p>
        </w:tc>
        <w:tc>
          <w:tcPr>
            <w:tcW w:w="4527" w:type="dxa"/>
          </w:tcPr>
          <w:p w14:paraId="750582F9" w14:textId="2E5B3ED7" w:rsidR="0009692A" w:rsidRPr="0009692A" w:rsidRDefault="0009692A" w:rsidP="0009692A">
            <w:pPr>
              <w:widowControl w:val="0"/>
              <w:autoSpaceDE w:val="0"/>
              <w:autoSpaceDN w:val="0"/>
              <w:adjustRightInd w:val="0"/>
              <w:jc w:val="both"/>
              <w:rPr>
                <w:rFonts w:ascii="Arial" w:hAnsi="Arial" w:cs="Arial"/>
                <w:i/>
                <w:iCs/>
                <w:color w:val="000000" w:themeColor="text1"/>
                <w:sz w:val="22"/>
                <w:szCs w:val="22"/>
              </w:rPr>
            </w:pPr>
            <w:r w:rsidRPr="0009692A">
              <w:rPr>
                <w:rFonts w:ascii="Arial" w:eastAsia="MS PGothic" w:hAnsi="Arial" w:cs="Arial"/>
                <w:i/>
                <w:iCs/>
                <w:color w:val="000000" w:themeColor="text1"/>
                <w:kern w:val="24"/>
                <w:sz w:val="22"/>
                <w:szCs w:val="22"/>
              </w:rPr>
              <w:t>Méthode transactionnelle de la marge nette</w:t>
            </w:r>
          </w:p>
        </w:tc>
      </w:tr>
    </w:tbl>
    <w:p w14:paraId="31176F86" w14:textId="77777777" w:rsidR="0009692A" w:rsidRPr="00ED5D91" w:rsidRDefault="0009692A" w:rsidP="00112FAB">
      <w:pPr>
        <w:widowControl w:val="0"/>
        <w:autoSpaceDE w:val="0"/>
        <w:autoSpaceDN w:val="0"/>
        <w:adjustRightInd w:val="0"/>
        <w:jc w:val="both"/>
        <w:rPr>
          <w:rFonts w:ascii="Arial" w:hAnsi="Arial" w:cs="Arial"/>
          <w:sz w:val="22"/>
          <w:szCs w:val="22"/>
        </w:rPr>
      </w:pPr>
    </w:p>
    <w:p w14:paraId="218CA9D9" w14:textId="19064521" w:rsidR="00112FAB" w:rsidRPr="0009692A" w:rsidRDefault="00112FAB" w:rsidP="00112FAB">
      <w:pPr>
        <w:widowControl w:val="0"/>
        <w:autoSpaceDE w:val="0"/>
        <w:autoSpaceDN w:val="0"/>
        <w:adjustRightInd w:val="0"/>
        <w:jc w:val="both"/>
        <w:rPr>
          <w:rFonts w:ascii="Arial" w:hAnsi="Arial" w:cs="Arial"/>
          <w:sz w:val="22"/>
          <w:szCs w:val="22"/>
        </w:rPr>
      </w:pPr>
    </w:p>
    <w:p w14:paraId="2C5CA5C7" w14:textId="77777777" w:rsidR="00112FAB" w:rsidRPr="00ED5D91" w:rsidRDefault="00112FAB" w:rsidP="00112FAB">
      <w:pPr>
        <w:widowControl w:val="0"/>
        <w:autoSpaceDE w:val="0"/>
        <w:autoSpaceDN w:val="0"/>
        <w:adjustRightInd w:val="0"/>
        <w:jc w:val="both"/>
        <w:rPr>
          <w:rFonts w:ascii="Arial" w:hAnsi="Arial" w:cs="Arial"/>
          <w:b/>
          <w:sz w:val="22"/>
          <w:szCs w:val="22"/>
        </w:rPr>
      </w:pPr>
    </w:p>
    <w:p w14:paraId="795082C1"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b/>
          <w:sz w:val="22"/>
          <w:szCs w:val="22"/>
        </w:rPr>
        <w:t>B) Les particularités des services intragroupes et des mises à disposition d'actifs incorporels</w:t>
      </w:r>
    </w:p>
    <w:p w14:paraId="20B5208C"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Les sociétés d'un même groupe se rendent fréquemment des services d'ordre administratif, financier, commercial ou technique (avec éventuellement le recours à l'assistance de prestataires extérieurs). C'est généralement la société mère qui centralise les services communs et qui les refacture à ses filiales.</w:t>
      </w:r>
    </w:p>
    <w:p w14:paraId="5FAE6D34"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Ces services doivent être rémunérés au même prix que s'ils étaient réalisés pour une entreprise indépendante. L'entreprise prestataire doit donc identifier les services communs rendus, les bénéficiaires et définir une méthode appropriée pour facturer les prestations. Les prestations individualisables doivent faire l'objet d'une facturation directe, et pour les autres prestations les méthodes d'évaluation doivent être suffisamment précises pour que les prix soient conformes au prix du marché.</w:t>
      </w:r>
    </w:p>
    <w:p w14:paraId="41A055A2"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3F01F75A"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En outre, pour être facturable et ne pas constituer un acte anormal de gestion, le service rendu doit répondre à un besoin réel de la société bénéficiaire et la prestation rendue ne doit pas faire double emploi avec les services qui existent déjà dans la filiale.</w:t>
      </w:r>
    </w:p>
    <w:p w14:paraId="497B06D2"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0FC178F0"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Les modalités de rémunération de ces services intragroupes dépendent de leur nature :</w:t>
      </w:r>
    </w:p>
    <w:p w14:paraId="0C495014" w14:textId="2227BA5E" w:rsidR="00112FAB" w:rsidRPr="00ED5D91" w:rsidRDefault="00CD356C" w:rsidP="00112FAB">
      <w:pPr>
        <w:widowControl w:val="0"/>
        <w:numPr>
          <w:ilvl w:val="0"/>
          <w:numId w:val="1"/>
        </w:numPr>
        <w:autoSpaceDE w:val="0"/>
        <w:autoSpaceDN w:val="0"/>
        <w:adjustRightInd w:val="0"/>
        <w:jc w:val="both"/>
        <w:rPr>
          <w:rFonts w:ascii="Arial" w:hAnsi="Arial" w:cs="Arial"/>
          <w:sz w:val="22"/>
          <w:szCs w:val="22"/>
        </w:rPr>
      </w:pPr>
      <w:r w:rsidRPr="00ED5D91">
        <w:rPr>
          <w:rFonts w:ascii="Arial" w:hAnsi="Arial" w:cs="Arial"/>
          <w:sz w:val="22"/>
          <w:szCs w:val="22"/>
        </w:rPr>
        <w:t>La</w:t>
      </w:r>
      <w:r w:rsidR="00112FAB" w:rsidRPr="00ED5D91">
        <w:rPr>
          <w:rFonts w:ascii="Arial" w:hAnsi="Arial" w:cs="Arial"/>
          <w:sz w:val="22"/>
          <w:szCs w:val="22"/>
        </w:rPr>
        <w:t xml:space="preserve"> mise à disposition d'un actif incorporel (ex : un savoir-faire) est généralement rémunérée soit par une redevance fixée en pourcentage du chiffre d'affaires, soit par un accord de répartition de coûts ;</w:t>
      </w:r>
    </w:p>
    <w:p w14:paraId="7391CE47" w14:textId="063854FD" w:rsidR="00112FAB" w:rsidRPr="00ED5D91" w:rsidRDefault="00CD356C" w:rsidP="00112FAB">
      <w:pPr>
        <w:widowControl w:val="0"/>
        <w:numPr>
          <w:ilvl w:val="0"/>
          <w:numId w:val="1"/>
        </w:numPr>
        <w:autoSpaceDE w:val="0"/>
        <w:autoSpaceDN w:val="0"/>
        <w:adjustRightInd w:val="0"/>
        <w:jc w:val="both"/>
        <w:rPr>
          <w:rFonts w:ascii="Arial" w:hAnsi="Arial" w:cs="Arial"/>
          <w:sz w:val="22"/>
          <w:szCs w:val="22"/>
        </w:rPr>
      </w:pPr>
      <w:r w:rsidRPr="00ED5D91">
        <w:rPr>
          <w:rFonts w:ascii="Arial" w:hAnsi="Arial" w:cs="Arial"/>
          <w:sz w:val="22"/>
          <w:szCs w:val="22"/>
        </w:rPr>
        <w:t>Les</w:t>
      </w:r>
      <w:r w:rsidR="00112FAB" w:rsidRPr="00ED5D91">
        <w:rPr>
          <w:rFonts w:ascii="Arial" w:hAnsi="Arial" w:cs="Arial"/>
          <w:sz w:val="22"/>
          <w:szCs w:val="22"/>
        </w:rPr>
        <w:t xml:space="preserve"> services d'assistance technique ou administrative, fournis sans qu'il y ait transmission ou mise à disposition d'un savoir-faire, peuvent être facturés lorsqu'ils sont affectables à telle ou telle entreprise du groupe sur la base d'un coût de revient majoré, et lorsqu'ils sont communs à plusieurs entreprises du groupe en appliquant une clé de répartition pertinente (exemple, en fonction du chiffre d'affaires). La </w:t>
      </w:r>
      <w:r w:rsidR="00112FAB" w:rsidRPr="00ED5D91">
        <w:rPr>
          <w:rFonts w:ascii="Arial" w:hAnsi="Arial" w:cs="Arial"/>
          <w:sz w:val="22"/>
          <w:szCs w:val="22"/>
        </w:rPr>
        <w:lastRenderedPageBreak/>
        <w:t>méthode retenue doit être représentative de la valeur des services rendus, ce qui exclut toute méthode de répartition forfaitaire.</w:t>
      </w:r>
    </w:p>
    <w:p w14:paraId="3BA370C8"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082A6D38"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L'utilisation d'une clé de répartition individualisée est recommandée à condition :</w:t>
      </w:r>
    </w:p>
    <w:p w14:paraId="5EACB889" w14:textId="280E19B0" w:rsidR="00112FAB" w:rsidRPr="00ED5D91" w:rsidRDefault="002D1BFE" w:rsidP="00112FAB">
      <w:pPr>
        <w:widowControl w:val="0"/>
        <w:numPr>
          <w:ilvl w:val="0"/>
          <w:numId w:val="1"/>
        </w:numPr>
        <w:autoSpaceDE w:val="0"/>
        <w:autoSpaceDN w:val="0"/>
        <w:adjustRightInd w:val="0"/>
        <w:jc w:val="both"/>
        <w:rPr>
          <w:rFonts w:ascii="Arial" w:hAnsi="Arial" w:cs="Arial"/>
          <w:sz w:val="22"/>
          <w:szCs w:val="22"/>
        </w:rPr>
      </w:pPr>
      <w:r w:rsidRPr="00ED5D91">
        <w:rPr>
          <w:rFonts w:ascii="Arial" w:hAnsi="Arial" w:cs="Arial"/>
          <w:sz w:val="22"/>
          <w:szCs w:val="22"/>
        </w:rPr>
        <w:t>Qu’elle</w:t>
      </w:r>
      <w:r w:rsidR="00112FAB" w:rsidRPr="00ED5D91">
        <w:rPr>
          <w:rFonts w:ascii="Arial" w:hAnsi="Arial" w:cs="Arial"/>
          <w:sz w:val="22"/>
          <w:szCs w:val="22"/>
        </w:rPr>
        <w:t xml:space="preserve"> traduise le plus précisément possible la quote-part d'utilisation par chaque entreprise de ces services intragroupes ;</w:t>
      </w:r>
    </w:p>
    <w:p w14:paraId="23304CA4" w14:textId="118756F5" w:rsidR="00112FAB" w:rsidRPr="00ED5D91" w:rsidRDefault="002D1BFE" w:rsidP="00112FAB">
      <w:pPr>
        <w:widowControl w:val="0"/>
        <w:numPr>
          <w:ilvl w:val="0"/>
          <w:numId w:val="1"/>
        </w:numPr>
        <w:autoSpaceDE w:val="0"/>
        <w:autoSpaceDN w:val="0"/>
        <w:adjustRightInd w:val="0"/>
        <w:jc w:val="both"/>
        <w:rPr>
          <w:rFonts w:ascii="Arial" w:hAnsi="Arial" w:cs="Arial"/>
          <w:sz w:val="22"/>
          <w:szCs w:val="22"/>
        </w:rPr>
      </w:pPr>
      <w:r w:rsidRPr="00ED5D91">
        <w:rPr>
          <w:rFonts w:ascii="Arial" w:hAnsi="Arial" w:cs="Arial"/>
          <w:sz w:val="22"/>
          <w:szCs w:val="22"/>
        </w:rPr>
        <w:t>Qu’elle</w:t>
      </w:r>
      <w:r w:rsidR="00112FAB" w:rsidRPr="00ED5D91">
        <w:rPr>
          <w:rFonts w:ascii="Arial" w:hAnsi="Arial" w:cs="Arial"/>
          <w:sz w:val="22"/>
          <w:szCs w:val="22"/>
        </w:rPr>
        <w:t xml:space="preserve"> soit pertinente, c'est-à-dire qu'elle tienne compte des spécificités du secteur d'activité, des besoins effectifs de chaque entreprise, de la nature du service rendu (ex : pour le service commun des achats, la clé peut être la proportion des achats de l'entreprise par rapport au total des achats des entreprises du groupe bénéficiant du service) ;</w:t>
      </w:r>
    </w:p>
    <w:p w14:paraId="0EF90680" w14:textId="49DAA2D5" w:rsidR="00112FAB" w:rsidRPr="00ED5D91" w:rsidRDefault="002D1BFE" w:rsidP="00112FAB">
      <w:pPr>
        <w:widowControl w:val="0"/>
        <w:numPr>
          <w:ilvl w:val="0"/>
          <w:numId w:val="1"/>
        </w:numPr>
        <w:autoSpaceDE w:val="0"/>
        <w:autoSpaceDN w:val="0"/>
        <w:adjustRightInd w:val="0"/>
        <w:jc w:val="both"/>
        <w:rPr>
          <w:rFonts w:ascii="Arial" w:hAnsi="Arial" w:cs="Arial"/>
          <w:sz w:val="22"/>
          <w:szCs w:val="22"/>
        </w:rPr>
      </w:pPr>
      <w:r w:rsidRPr="00ED5D91">
        <w:rPr>
          <w:rFonts w:ascii="Arial" w:hAnsi="Arial" w:cs="Arial"/>
          <w:sz w:val="22"/>
          <w:szCs w:val="22"/>
        </w:rPr>
        <w:t>Qu’elle</w:t>
      </w:r>
      <w:r w:rsidR="00112FAB" w:rsidRPr="00ED5D91">
        <w:rPr>
          <w:rFonts w:ascii="Arial" w:hAnsi="Arial" w:cs="Arial"/>
          <w:sz w:val="22"/>
          <w:szCs w:val="22"/>
        </w:rPr>
        <w:t xml:space="preserve"> puisse être justifiée en cas de vérification de comptabilité.</w:t>
      </w:r>
    </w:p>
    <w:p w14:paraId="027B0497"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46BCF26"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76F6CAC8"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74CE53AA" w14:textId="45E336CE" w:rsidR="00112FAB" w:rsidRPr="00ED5D91" w:rsidRDefault="000A44CB" w:rsidP="00112FAB">
      <w:pPr>
        <w:widowControl w:val="0"/>
        <w:autoSpaceDE w:val="0"/>
        <w:autoSpaceDN w:val="0"/>
        <w:adjustRightInd w:val="0"/>
        <w:jc w:val="both"/>
        <w:rPr>
          <w:rFonts w:ascii="Arial" w:hAnsi="Arial" w:cs="Arial"/>
          <w:b/>
          <w:sz w:val="22"/>
          <w:szCs w:val="22"/>
        </w:rPr>
      </w:pPr>
      <w:r>
        <w:rPr>
          <w:rFonts w:ascii="Arial" w:hAnsi="Arial" w:cs="Arial"/>
          <w:b/>
          <w:sz w:val="22"/>
          <w:szCs w:val="22"/>
        </w:rPr>
        <w:t xml:space="preserve">C) </w:t>
      </w:r>
      <w:r w:rsidR="00112FAB" w:rsidRPr="00ED5D91">
        <w:rPr>
          <w:rFonts w:ascii="Arial" w:hAnsi="Arial" w:cs="Arial"/>
          <w:b/>
          <w:sz w:val="22"/>
          <w:szCs w:val="22"/>
        </w:rPr>
        <w:t xml:space="preserve"> Conformité de la tarification retenue au prix de pleine concurrence</w:t>
      </w:r>
    </w:p>
    <w:p w14:paraId="2A6C8816"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Quelle que soit la méthode retenue, sa validation suppose une comparaison avec une transaction ou un résultat réalisé par une entreprise indépendante.</w:t>
      </w:r>
    </w:p>
    <w:p w14:paraId="20AD7A0D"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3A301832"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La comparabilité est une notion délicate dans la mesure où elle implique de comparer des biens, des services ou des fonctions similaires (ex : on ne peut pas comparer la fonction de vente dans le secteur pharmaceutique à la fonction de vente dans le secteur automobile car les deux activités économiques sont trop différentes).</w:t>
      </w:r>
    </w:p>
    <w:p w14:paraId="621CF6FA"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0C3BB33C"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Il existe deux possibilités d'obtention de comparables afin d'apprécier la juste rémunération des transactions entre entreprises liées :</w:t>
      </w:r>
    </w:p>
    <w:p w14:paraId="6957B32D" w14:textId="77777777" w:rsidR="00112FAB" w:rsidRPr="00ED5D91" w:rsidRDefault="00112FAB" w:rsidP="00112FAB">
      <w:pPr>
        <w:widowControl w:val="0"/>
        <w:numPr>
          <w:ilvl w:val="0"/>
          <w:numId w:val="1"/>
        </w:numPr>
        <w:autoSpaceDE w:val="0"/>
        <w:autoSpaceDN w:val="0"/>
        <w:adjustRightInd w:val="0"/>
        <w:jc w:val="both"/>
        <w:rPr>
          <w:rFonts w:ascii="Arial" w:hAnsi="Arial" w:cs="Arial"/>
          <w:sz w:val="22"/>
          <w:szCs w:val="22"/>
        </w:rPr>
      </w:pPr>
      <w:proofErr w:type="gramStart"/>
      <w:r w:rsidRPr="00ED5D91">
        <w:rPr>
          <w:rFonts w:ascii="Arial" w:hAnsi="Arial" w:cs="Arial"/>
          <w:sz w:val="22"/>
          <w:szCs w:val="22"/>
        </w:rPr>
        <w:t>interne</w:t>
      </w:r>
      <w:proofErr w:type="gramEnd"/>
      <w:r w:rsidRPr="00ED5D91">
        <w:rPr>
          <w:rFonts w:ascii="Arial" w:hAnsi="Arial" w:cs="Arial"/>
          <w:sz w:val="22"/>
          <w:szCs w:val="22"/>
        </w:rPr>
        <w:t xml:space="preserve"> : l'entreprise concernée ou une autre entreprise du même groupe réalise une transaction identique ou similaire avec une entreprise indépendante. Le comparable interne est souvent le comparable le plus adéquat ;</w:t>
      </w:r>
    </w:p>
    <w:p w14:paraId="6481AFE5" w14:textId="77777777" w:rsidR="00112FAB" w:rsidRPr="00ED5D91" w:rsidRDefault="00112FAB" w:rsidP="00112FAB">
      <w:pPr>
        <w:widowControl w:val="0"/>
        <w:numPr>
          <w:ilvl w:val="0"/>
          <w:numId w:val="1"/>
        </w:numPr>
        <w:autoSpaceDE w:val="0"/>
        <w:autoSpaceDN w:val="0"/>
        <w:adjustRightInd w:val="0"/>
        <w:jc w:val="both"/>
        <w:rPr>
          <w:rFonts w:ascii="Arial" w:hAnsi="Arial" w:cs="Arial"/>
          <w:sz w:val="22"/>
          <w:szCs w:val="22"/>
        </w:rPr>
      </w:pPr>
      <w:proofErr w:type="gramStart"/>
      <w:r w:rsidRPr="00ED5D91">
        <w:rPr>
          <w:rFonts w:ascii="Arial" w:hAnsi="Arial" w:cs="Arial"/>
          <w:sz w:val="22"/>
          <w:szCs w:val="22"/>
        </w:rPr>
        <w:t>externe</w:t>
      </w:r>
      <w:proofErr w:type="gramEnd"/>
      <w:r w:rsidRPr="00ED5D91">
        <w:rPr>
          <w:rFonts w:ascii="Arial" w:hAnsi="Arial" w:cs="Arial"/>
          <w:sz w:val="22"/>
          <w:szCs w:val="22"/>
        </w:rPr>
        <w:t xml:space="preserve"> : une entreprise indépendante réalise une transaction identique ou similaire avec une autre entreprise indépendante.</w:t>
      </w:r>
    </w:p>
    <w:p w14:paraId="5E45C945"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3647372E"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xml:space="preserve">Il s’agit là d’un </w:t>
      </w:r>
      <w:r w:rsidRPr="00ED5D91">
        <w:rPr>
          <w:rFonts w:ascii="Arial" w:hAnsi="Arial" w:cs="Arial"/>
          <w:b/>
          <w:sz w:val="22"/>
          <w:szCs w:val="22"/>
        </w:rPr>
        <w:t>BENCHMARKING</w:t>
      </w:r>
      <w:r w:rsidRPr="00ED5D91">
        <w:rPr>
          <w:rFonts w:ascii="Arial" w:hAnsi="Arial" w:cs="Arial"/>
          <w:sz w:val="22"/>
          <w:szCs w:val="22"/>
        </w:rPr>
        <w:t>. </w:t>
      </w:r>
    </w:p>
    <w:p w14:paraId="651CB4C1"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194F302D"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Remarque : il est important de veiller à ne pas sélectionner soit un trop grand nombre soit un nombre très limité d'entreprises au risque de diminuer la fiabilité de l'étude. De même, la pertinence de l'étude de comparabilité repose sur un choix judicieux du ratio de référence.</w:t>
      </w:r>
    </w:p>
    <w:p w14:paraId="0DF7DC95"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 </w:t>
      </w:r>
    </w:p>
    <w:p w14:paraId="4359AE32" w14:textId="77777777" w:rsidR="00112FAB" w:rsidRPr="00ED5D91" w:rsidRDefault="00112FAB" w:rsidP="00112FAB">
      <w:pPr>
        <w:widowControl w:val="0"/>
        <w:autoSpaceDE w:val="0"/>
        <w:autoSpaceDN w:val="0"/>
        <w:adjustRightInd w:val="0"/>
        <w:jc w:val="both"/>
        <w:rPr>
          <w:rFonts w:ascii="Arial" w:hAnsi="Arial" w:cs="Arial"/>
          <w:b/>
          <w:sz w:val="22"/>
          <w:szCs w:val="22"/>
        </w:rPr>
      </w:pPr>
    </w:p>
    <w:p w14:paraId="627C8E9A" w14:textId="77777777" w:rsidR="00112FAB" w:rsidRPr="00ED5D91" w:rsidRDefault="00112FAB" w:rsidP="00112FAB">
      <w:pPr>
        <w:widowControl w:val="0"/>
        <w:autoSpaceDE w:val="0"/>
        <w:autoSpaceDN w:val="0"/>
        <w:adjustRightInd w:val="0"/>
        <w:jc w:val="both"/>
        <w:rPr>
          <w:rFonts w:ascii="Arial" w:hAnsi="Arial" w:cs="Arial"/>
          <w:b/>
          <w:sz w:val="22"/>
          <w:szCs w:val="22"/>
        </w:rPr>
      </w:pPr>
    </w:p>
    <w:p w14:paraId="5F778D00" w14:textId="264A81AB" w:rsidR="00112FAB" w:rsidRPr="00ED5D91"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Arial" w:hAnsi="Arial" w:cs="Arial"/>
          <w:b/>
          <w:bCs/>
          <w:caps/>
          <w:sz w:val="22"/>
          <w:szCs w:val="22"/>
        </w:rPr>
      </w:pPr>
      <w:r w:rsidRPr="00ED5D91">
        <w:rPr>
          <w:rFonts w:ascii="Arial" w:hAnsi="Arial" w:cs="Arial"/>
          <w:b/>
          <w:bCs/>
          <w:caps/>
          <w:sz w:val="22"/>
          <w:szCs w:val="22"/>
        </w:rPr>
        <w:t>I</w:t>
      </w:r>
      <w:r w:rsidR="00CA625F">
        <w:rPr>
          <w:rFonts w:ascii="Arial" w:hAnsi="Arial" w:cs="Arial"/>
          <w:b/>
          <w:bCs/>
          <w:caps/>
          <w:sz w:val="22"/>
          <w:szCs w:val="22"/>
        </w:rPr>
        <w:t>II</w:t>
      </w:r>
      <w:r w:rsidRPr="00ED5D91">
        <w:rPr>
          <w:rFonts w:ascii="Arial" w:hAnsi="Arial" w:cs="Arial"/>
          <w:b/>
          <w:bCs/>
          <w:caps/>
          <w:sz w:val="22"/>
          <w:szCs w:val="22"/>
        </w:rPr>
        <w:t xml:space="preserve"> - Sanctions fiscales DE CERTAINS MONTAGES</w:t>
      </w:r>
    </w:p>
    <w:p w14:paraId="086917CA"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Il convient de noter que la sanction est double :</w:t>
      </w:r>
    </w:p>
    <w:p w14:paraId="42C24B3E" w14:textId="2EA985E2" w:rsidR="00112FAB" w:rsidRPr="00ED5D91" w:rsidRDefault="004E3607" w:rsidP="00112FAB">
      <w:pPr>
        <w:widowControl w:val="0"/>
        <w:numPr>
          <w:ilvl w:val="0"/>
          <w:numId w:val="1"/>
        </w:numPr>
        <w:autoSpaceDE w:val="0"/>
        <w:autoSpaceDN w:val="0"/>
        <w:adjustRightInd w:val="0"/>
        <w:jc w:val="both"/>
        <w:rPr>
          <w:rFonts w:ascii="Arial" w:hAnsi="Arial" w:cs="Arial"/>
          <w:sz w:val="22"/>
          <w:szCs w:val="22"/>
        </w:rPr>
      </w:pPr>
      <w:r w:rsidRPr="00ED5D91">
        <w:rPr>
          <w:rFonts w:ascii="Arial" w:hAnsi="Arial" w:cs="Arial"/>
          <w:sz w:val="22"/>
          <w:szCs w:val="22"/>
        </w:rPr>
        <w:t>Réintégration</w:t>
      </w:r>
      <w:r w:rsidR="00112FAB" w:rsidRPr="00ED5D91">
        <w:rPr>
          <w:rFonts w:ascii="Arial" w:hAnsi="Arial" w:cs="Arial"/>
          <w:sz w:val="22"/>
          <w:szCs w:val="22"/>
        </w:rPr>
        <w:t xml:space="preserve"> dans le bénéfice</w:t>
      </w:r>
    </w:p>
    <w:p w14:paraId="5FF789DF" w14:textId="39AEAEC5" w:rsidR="00112FAB" w:rsidRDefault="004E3607" w:rsidP="00112FAB">
      <w:pPr>
        <w:widowControl w:val="0"/>
        <w:numPr>
          <w:ilvl w:val="0"/>
          <w:numId w:val="1"/>
        </w:numPr>
        <w:autoSpaceDE w:val="0"/>
        <w:autoSpaceDN w:val="0"/>
        <w:adjustRightInd w:val="0"/>
        <w:jc w:val="both"/>
        <w:rPr>
          <w:rFonts w:ascii="Arial" w:hAnsi="Arial" w:cs="Arial"/>
          <w:sz w:val="22"/>
          <w:szCs w:val="22"/>
        </w:rPr>
      </w:pPr>
      <w:r w:rsidRPr="00ED5D91">
        <w:rPr>
          <w:rFonts w:ascii="Arial" w:hAnsi="Arial" w:cs="Arial"/>
          <w:sz w:val="22"/>
          <w:szCs w:val="22"/>
        </w:rPr>
        <w:t>Retenue</w:t>
      </w:r>
      <w:r w:rsidR="00112FAB" w:rsidRPr="00ED5D91">
        <w:rPr>
          <w:rFonts w:ascii="Arial" w:hAnsi="Arial" w:cs="Arial"/>
          <w:sz w:val="22"/>
          <w:szCs w:val="22"/>
        </w:rPr>
        <w:t xml:space="preserve"> à la source en raison de la distribution à un bénéficiaire étranger</w:t>
      </w:r>
    </w:p>
    <w:p w14:paraId="37B69D47" w14:textId="77777777" w:rsidR="00C6044A" w:rsidRPr="00C6044A" w:rsidRDefault="00C6044A" w:rsidP="00112FAB">
      <w:pPr>
        <w:widowControl w:val="0"/>
        <w:numPr>
          <w:ilvl w:val="0"/>
          <w:numId w:val="1"/>
        </w:numPr>
        <w:autoSpaceDE w:val="0"/>
        <w:autoSpaceDN w:val="0"/>
        <w:adjustRightInd w:val="0"/>
        <w:jc w:val="both"/>
        <w:rPr>
          <w:rFonts w:ascii="Arial" w:hAnsi="Arial" w:cs="Arial"/>
          <w:sz w:val="22"/>
          <w:szCs w:val="22"/>
        </w:rPr>
      </w:pPr>
    </w:p>
    <w:p w14:paraId="36711970" w14:textId="77777777" w:rsidR="00112FAB" w:rsidRDefault="00112FAB" w:rsidP="00112FAB">
      <w:pPr>
        <w:widowControl w:val="0"/>
        <w:autoSpaceDE w:val="0"/>
        <w:autoSpaceDN w:val="0"/>
        <w:adjustRightInd w:val="0"/>
        <w:jc w:val="both"/>
        <w:rPr>
          <w:szCs w:val="21"/>
        </w:rPr>
      </w:pPr>
      <w:r w:rsidRPr="00212D47">
        <w:rPr>
          <w:noProof/>
        </w:rPr>
        <w:drawing>
          <wp:inline distT="0" distB="0" distL="0" distR="0" wp14:anchorId="316F4293" wp14:editId="280BB016">
            <wp:extent cx="5750560" cy="1534160"/>
            <wp:effectExtent l="0" t="0" r="2540" b="254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50560" cy="1534160"/>
                    </a:xfrm>
                    <a:prstGeom prst="rect">
                      <a:avLst/>
                    </a:prstGeom>
                    <a:noFill/>
                    <a:ln>
                      <a:noFill/>
                    </a:ln>
                  </pic:spPr>
                </pic:pic>
              </a:graphicData>
            </a:graphic>
          </wp:inline>
        </w:drawing>
      </w:r>
    </w:p>
    <w:p w14:paraId="3AC3E709" w14:textId="77777777" w:rsidR="00112FAB" w:rsidRDefault="00112FAB" w:rsidP="00112FAB">
      <w:pPr>
        <w:widowControl w:val="0"/>
        <w:autoSpaceDE w:val="0"/>
        <w:autoSpaceDN w:val="0"/>
        <w:adjustRightInd w:val="0"/>
        <w:rPr>
          <w:szCs w:val="22"/>
        </w:rPr>
      </w:pPr>
    </w:p>
    <w:p w14:paraId="08830C6E" w14:textId="135D4E46" w:rsidR="00112FAB" w:rsidRPr="00ED5D91" w:rsidRDefault="00CA625F"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b/>
          <w:sz w:val="22"/>
          <w:szCs w:val="22"/>
        </w:rPr>
      </w:pPr>
      <w:r>
        <w:rPr>
          <w:rFonts w:ascii="Arial" w:hAnsi="Arial" w:cs="Arial"/>
          <w:b/>
          <w:sz w:val="22"/>
          <w:szCs w:val="22"/>
        </w:rPr>
        <w:t>I</w:t>
      </w:r>
      <w:r w:rsidR="00112FAB" w:rsidRPr="00ED5D91">
        <w:rPr>
          <w:rFonts w:ascii="Arial" w:hAnsi="Arial" w:cs="Arial"/>
          <w:b/>
          <w:sz w:val="22"/>
          <w:szCs w:val="22"/>
        </w:rPr>
        <w:t>V - L’ACTION DE L’OCDE</w:t>
      </w:r>
    </w:p>
    <w:p w14:paraId="2680885E" w14:textId="77777777" w:rsidR="00112FAB" w:rsidRPr="00ED5D91" w:rsidRDefault="00112FAB" w:rsidP="00112FAB">
      <w:pPr>
        <w:widowControl w:val="0"/>
        <w:autoSpaceDE w:val="0"/>
        <w:autoSpaceDN w:val="0"/>
        <w:adjustRightInd w:val="0"/>
        <w:rPr>
          <w:rFonts w:ascii="Arial" w:hAnsi="Arial" w:cs="Arial"/>
          <w:sz w:val="22"/>
          <w:szCs w:val="22"/>
        </w:rPr>
      </w:pPr>
    </w:p>
    <w:p w14:paraId="2BFC3EAA" w14:textId="5EBF459B" w:rsidR="00112FAB" w:rsidRPr="00ED5D91" w:rsidRDefault="00112FAB" w:rsidP="00112FAB">
      <w:pPr>
        <w:jc w:val="both"/>
        <w:rPr>
          <w:rFonts w:ascii="Arial" w:hAnsi="Arial" w:cs="Arial"/>
          <w:sz w:val="22"/>
          <w:szCs w:val="22"/>
        </w:rPr>
      </w:pPr>
      <w:r w:rsidRPr="00ED5D91">
        <w:rPr>
          <w:rFonts w:ascii="Arial" w:hAnsi="Arial" w:cs="Arial"/>
          <w:sz w:val="22"/>
          <w:szCs w:val="22"/>
        </w:rPr>
        <w:t xml:space="preserve">La maitrise subtile des droits internes des divers pays et des conventions fiscales, dites de « non double imposition », par les entreprises et leurs conseils, ont eu souvent pour effet la « double </w:t>
      </w:r>
      <w:r w:rsidR="00677CC8" w:rsidRPr="00ED5D91">
        <w:rPr>
          <w:rFonts w:ascii="Arial" w:hAnsi="Arial" w:cs="Arial"/>
          <w:sz w:val="22"/>
          <w:szCs w:val="22"/>
        </w:rPr>
        <w:t>non-imposition</w:t>
      </w:r>
      <w:r w:rsidRPr="00ED5D91">
        <w:rPr>
          <w:rFonts w:ascii="Arial" w:hAnsi="Arial" w:cs="Arial"/>
          <w:sz w:val="22"/>
          <w:szCs w:val="22"/>
        </w:rPr>
        <w:t> ».</w:t>
      </w:r>
    </w:p>
    <w:p w14:paraId="06FCC24C"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Une réaction politique est donc intervenue ces dernières années : lors de la réunion du G20 de Saint-Pétersbourg des 5 et 6 septembre 2013, les chefs d'</w:t>
      </w:r>
      <w:proofErr w:type="spellStart"/>
      <w:r w:rsidRPr="00ED5D91">
        <w:rPr>
          <w:rFonts w:ascii="Arial" w:hAnsi="Arial" w:cs="Arial"/>
          <w:sz w:val="22"/>
          <w:szCs w:val="22"/>
        </w:rPr>
        <w:t>Etat</w:t>
      </w:r>
      <w:proofErr w:type="spellEnd"/>
      <w:r w:rsidRPr="00ED5D91">
        <w:rPr>
          <w:rFonts w:ascii="Arial" w:hAnsi="Arial" w:cs="Arial"/>
          <w:sz w:val="22"/>
          <w:szCs w:val="22"/>
        </w:rPr>
        <w:t xml:space="preserve"> des grands pays de la planète y ont engagé de nouvelles politiques pour endiguer l’évasion fiscale des entreprises multinationales.</w:t>
      </w:r>
    </w:p>
    <w:p w14:paraId="29B69C7A"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A la même époque, le montant de l'argent public perdu chaque année dans l'Union européenne à cause de l'évasion fiscale, était évalué à 1.000 milliards d'euros, d'après le Parlement européen.</w:t>
      </w:r>
    </w:p>
    <w:p w14:paraId="5D9DB701" w14:textId="77777777" w:rsidR="00112FAB" w:rsidRDefault="00112FAB" w:rsidP="00112FAB">
      <w:pPr>
        <w:jc w:val="both"/>
        <w:rPr>
          <w:szCs w:val="22"/>
        </w:rPr>
      </w:pPr>
    </w:p>
    <w:p w14:paraId="06829488" w14:textId="478EB1B0" w:rsidR="00112FAB" w:rsidRPr="00375A88" w:rsidRDefault="00112FAB" w:rsidP="00112FAB">
      <w:pPr>
        <w:pBdr>
          <w:top w:val="single" w:sz="4" w:space="1" w:color="auto"/>
          <w:left w:val="single" w:sz="4" w:space="4" w:color="auto"/>
          <w:bottom w:val="single" w:sz="4" w:space="1" w:color="auto"/>
          <w:right w:val="single" w:sz="4" w:space="4" w:color="auto"/>
        </w:pBdr>
        <w:jc w:val="both"/>
        <w:rPr>
          <w:szCs w:val="22"/>
          <w:lang w:val="en-GB"/>
        </w:rPr>
      </w:pPr>
      <w:r w:rsidRPr="00375A88">
        <w:rPr>
          <w:i/>
          <w:szCs w:val="22"/>
          <w:lang w:val="en-GB"/>
        </w:rPr>
        <w:t>Base Erosion and Profit Shifting (BEPS) refers to tax planning strategies that exploit these gaps and mismatches in tax rules to artificially shift profits to low or no-tax locations where there is little or no economic activity, resulting in little or no overall corporate tax being paid. BEPS is of major significance for developing countries due to their heavy reliance on corporate income tax, particularly from multinational enterprises (MNEs)</w:t>
      </w:r>
      <w:r w:rsidR="00127496">
        <w:rPr>
          <w:rStyle w:val="Appelnotedebasdep"/>
          <w:i/>
          <w:szCs w:val="22"/>
          <w:lang w:val="en-GB"/>
        </w:rPr>
        <w:footnoteReference w:id="5"/>
      </w:r>
    </w:p>
    <w:p w14:paraId="5A88DFD9" w14:textId="77777777" w:rsidR="00112FAB" w:rsidRDefault="00112FAB" w:rsidP="00112FAB">
      <w:pPr>
        <w:jc w:val="both"/>
        <w:rPr>
          <w:szCs w:val="22"/>
          <w:lang w:val="en-GB"/>
        </w:rPr>
      </w:pPr>
    </w:p>
    <w:p w14:paraId="50007BBF" w14:textId="77777777" w:rsidR="00112FAB" w:rsidRDefault="00112FAB" w:rsidP="00112FAB">
      <w:pPr>
        <w:jc w:val="both"/>
        <w:rPr>
          <w:szCs w:val="22"/>
          <w:lang w:val="en-GB"/>
        </w:rPr>
      </w:pPr>
    </w:p>
    <w:p w14:paraId="3D982827"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 xml:space="preserve">Enrayer l’érosion de la base d’imposition et le transfert de bénéfices (BEPS selon l’acronyme anglais) est une priorité absolue pour les pouvoirs publics partout dans le monde. </w:t>
      </w:r>
    </w:p>
    <w:p w14:paraId="11492AE0"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Au-delà de la sécurisation des recettes fiscales en réalignant l’impôt sur les activités économiques et la création de valeur, le Projet BEPS mené par l’OCDE et par le G20 vise à créer un ensemble unique de règles fiscales internationales fondées sur le consensus, afin de protéger les bases d’imposition tout en augmentant la sécurité et la prévisibilité pour les contribuables</w:t>
      </w:r>
    </w:p>
    <w:p w14:paraId="3EFE8A86"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 xml:space="preserve"> </w:t>
      </w:r>
    </w:p>
    <w:p w14:paraId="46150488"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 xml:space="preserve">Le plan d'action BEPS approuvé par le G20 en </w:t>
      </w:r>
      <w:proofErr w:type="gramStart"/>
      <w:r w:rsidRPr="00ED5D91">
        <w:rPr>
          <w:rFonts w:ascii="Arial" w:hAnsi="Arial" w:cs="Arial"/>
          <w:sz w:val="22"/>
          <w:szCs w:val="22"/>
        </w:rPr>
        <w:t>Juillet</w:t>
      </w:r>
      <w:proofErr w:type="gramEnd"/>
      <w:r w:rsidRPr="00ED5D91">
        <w:rPr>
          <w:rFonts w:ascii="Arial" w:hAnsi="Arial" w:cs="Arial"/>
          <w:sz w:val="22"/>
          <w:szCs w:val="22"/>
        </w:rPr>
        <w:t xml:space="preserve"> 2013 a identifié 15 domaines clés à traiter.</w:t>
      </w:r>
    </w:p>
    <w:p w14:paraId="2F5BA4AF"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 xml:space="preserve"> Le paquet BEPS final, qui comprend et consolide les rapports intérimaires de 2014 a été élaboré et approuvé en deux ans seulement et a été publié en 2015. </w:t>
      </w:r>
    </w:p>
    <w:p w14:paraId="69C987CB" w14:textId="77777777" w:rsidR="00112FAB" w:rsidRPr="00ED5D91" w:rsidRDefault="00112FAB" w:rsidP="00112FAB">
      <w:pPr>
        <w:jc w:val="both"/>
        <w:rPr>
          <w:rFonts w:ascii="Arial" w:hAnsi="Arial" w:cs="Arial"/>
          <w:sz w:val="22"/>
          <w:szCs w:val="22"/>
        </w:rPr>
      </w:pPr>
    </w:p>
    <w:p w14:paraId="736B55C1"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Les groupes de travail comprenaient, outre les pays membres de l’OCDE et du G20 :</w:t>
      </w:r>
    </w:p>
    <w:p w14:paraId="77C5B33D" w14:textId="77777777" w:rsidR="00112FAB" w:rsidRPr="00ED5D91" w:rsidRDefault="00112FAB" w:rsidP="00112FAB">
      <w:pPr>
        <w:numPr>
          <w:ilvl w:val="0"/>
          <w:numId w:val="10"/>
        </w:numPr>
        <w:contextualSpacing/>
        <w:jc w:val="both"/>
        <w:rPr>
          <w:rFonts w:ascii="Arial" w:hAnsi="Arial" w:cs="Arial"/>
          <w:i/>
          <w:sz w:val="22"/>
          <w:szCs w:val="22"/>
          <w:lang w:val="en-US"/>
        </w:rPr>
      </w:pPr>
      <w:r w:rsidRPr="00ED5D91">
        <w:rPr>
          <w:rFonts w:ascii="Arial" w:hAnsi="Arial" w:cs="Arial"/>
          <w:i/>
          <w:sz w:val="22"/>
          <w:szCs w:val="22"/>
          <w:lang w:val="en-GB"/>
        </w:rPr>
        <w:t>14 developing countries, ATAF (African Tax Administration Forum), CREDAF (</w:t>
      </w:r>
      <w:r w:rsidRPr="00ED5D91">
        <w:rPr>
          <w:rFonts w:ascii="Arial" w:hAnsi="Arial" w:cs="Arial"/>
          <w:i/>
          <w:sz w:val="22"/>
          <w:szCs w:val="22"/>
          <w:lang w:val="en-US"/>
        </w:rPr>
        <w:t>Center of Tax Administration Directors), CIAT (Inter American Center of Tax Administrations)</w:t>
      </w:r>
    </w:p>
    <w:p w14:paraId="767A1B2D" w14:textId="77777777" w:rsidR="00112FAB" w:rsidRPr="00ED5D91" w:rsidRDefault="00112FAB" w:rsidP="00112FAB">
      <w:pPr>
        <w:numPr>
          <w:ilvl w:val="0"/>
          <w:numId w:val="10"/>
        </w:numPr>
        <w:contextualSpacing/>
        <w:jc w:val="both"/>
        <w:rPr>
          <w:rFonts w:ascii="Arial" w:hAnsi="Arial" w:cs="Arial"/>
          <w:i/>
          <w:sz w:val="22"/>
          <w:szCs w:val="22"/>
          <w:lang w:val="en-GB"/>
        </w:rPr>
      </w:pPr>
      <w:r w:rsidRPr="00ED5D91">
        <w:rPr>
          <w:rFonts w:ascii="Arial" w:hAnsi="Arial" w:cs="Arial"/>
          <w:i/>
          <w:sz w:val="22"/>
          <w:szCs w:val="22"/>
          <w:lang w:val="en-GB"/>
        </w:rPr>
        <w:t>60 developing countries via regional networks</w:t>
      </w:r>
    </w:p>
    <w:p w14:paraId="45717C77" w14:textId="77777777" w:rsidR="00112FAB" w:rsidRPr="00ED5D91" w:rsidRDefault="00112FAB" w:rsidP="00112FAB">
      <w:pPr>
        <w:jc w:val="both"/>
        <w:rPr>
          <w:rFonts w:ascii="Arial" w:hAnsi="Arial" w:cs="Arial"/>
          <w:sz w:val="22"/>
          <w:szCs w:val="22"/>
          <w:lang w:val="en-GB"/>
        </w:rPr>
      </w:pPr>
    </w:p>
    <w:p w14:paraId="6C1EB044" w14:textId="77777777" w:rsidR="0073628A" w:rsidRPr="00ED5D91" w:rsidRDefault="0073628A" w:rsidP="00112FAB">
      <w:pPr>
        <w:jc w:val="both"/>
        <w:rPr>
          <w:rFonts w:ascii="Arial" w:hAnsi="Arial" w:cs="Arial"/>
          <w:sz w:val="22"/>
          <w:szCs w:val="22"/>
          <w:lang w:val="en-GB"/>
        </w:rPr>
      </w:pPr>
    </w:p>
    <w:p w14:paraId="57FD5A61" w14:textId="77777777" w:rsidR="00112FAB" w:rsidRPr="00ED5D91" w:rsidRDefault="00112FAB" w:rsidP="00112FAB">
      <w:pPr>
        <w:jc w:val="both"/>
        <w:rPr>
          <w:rFonts w:ascii="Arial" w:hAnsi="Arial" w:cs="Arial"/>
          <w:b/>
          <w:sz w:val="22"/>
          <w:szCs w:val="22"/>
        </w:rPr>
      </w:pPr>
      <w:r w:rsidRPr="00ED5D91">
        <w:rPr>
          <w:rFonts w:ascii="Arial" w:hAnsi="Arial" w:cs="Arial"/>
          <w:b/>
          <w:sz w:val="22"/>
          <w:szCs w:val="22"/>
        </w:rPr>
        <w:t>Que trouve-t-on dans le « BEPS Package » ?</w:t>
      </w:r>
    </w:p>
    <w:p w14:paraId="2D812304" w14:textId="77777777" w:rsidR="00112FAB" w:rsidRPr="00ED5D91" w:rsidRDefault="00112FAB" w:rsidP="00112FAB">
      <w:pPr>
        <w:numPr>
          <w:ilvl w:val="0"/>
          <w:numId w:val="10"/>
        </w:numPr>
        <w:contextualSpacing/>
        <w:jc w:val="both"/>
        <w:rPr>
          <w:rFonts w:ascii="Arial" w:hAnsi="Arial" w:cs="Arial"/>
          <w:sz w:val="22"/>
          <w:szCs w:val="22"/>
        </w:rPr>
      </w:pPr>
      <w:r w:rsidRPr="00ED5D91">
        <w:rPr>
          <w:rFonts w:ascii="Arial" w:hAnsi="Arial" w:cs="Arial"/>
          <w:sz w:val="22"/>
          <w:szCs w:val="22"/>
        </w:rPr>
        <w:t>Des standards de base,</w:t>
      </w:r>
    </w:p>
    <w:p w14:paraId="4E2919E2" w14:textId="77777777" w:rsidR="00112FAB" w:rsidRPr="00ED5D91" w:rsidRDefault="00112FAB" w:rsidP="00112FAB">
      <w:pPr>
        <w:numPr>
          <w:ilvl w:val="0"/>
          <w:numId w:val="10"/>
        </w:numPr>
        <w:contextualSpacing/>
        <w:jc w:val="both"/>
        <w:rPr>
          <w:rFonts w:ascii="Arial" w:hAnsi="Arial" w:cs="Arial"/>
          <w:sz w:val="22"/>
          <w:szCs w:val="22"/>
        </w:rPr>
      </w:pPr>
      <w:r w:rsidRPr="00ED5D91">
        <w:rPr>
          <w:rFonts w:ascii="Arial" w:hAnsi="Arial" w:cs="Arial"/>
          <w:sz w:val="22"/>
          <w:szCs w:val="22"/>
        </w:rPr>
        <w:t>Un renforcement des normes internationales concernant les conventions fiscales et les prix de transfert,</w:t>
      </w:r>
    </w:p>
    <w:p w14:paraId="19D2CD3E" w14:textId="77777777" w:rsidR="00112FAB" w:rsidRPr="00ED5D91" w:rsidRDefault="00112FAB" w:rsidP="00112FAB">
      <w:pPr>
        <w:numPr>
          <w:ilvl w:val="0"/>
          <w:numId w:val="10"/>
        </w:numPr>
        <w:contextualSpacing/>
        <w:jc w:val="both"/>
        <w:rPr>
          <w:rFonts w:ascii="Arial" w:hAnsi="Arial" w:cs="Arial"/>
          <w:sz w:val="22"/>
          <w:szCs w:val="22"/>
        </w:rPr>
      </w:pPr>
      <w:r w:rsidRPr="00ED5D91">
        <w:rPr>
          <w:rFonts w:ascii="Arial" w:hAnsi="Arial" w:cs="Arial"/>
          <w:sz w:val="22"/>
          <w:szCs w:val="22"/>
        </w:rPr>
        <w:t>Une approche commune de « best practices » en matière de droit interne,</w:t>
      </w:r>
    </w:p>
    <w:p w14:paraId="47188AB5" w14:textId="77777777" w:rsidR="00112FAB" w:rsidRPr="00ED5D91" w:rsidRDefault="00112FAB" w:rsidP="00112FAB">
      <w:pPr>
        <w:numPr>
          <w:ilvl w:val="0"/>
          <w:numId w:val="10"/>
        </w:numPr>
        <w:contextualSpacing/>
        <w:jc w:val="both"/>
        <w:rPr>
          <w:rFonts w:ascii="Arial" w:hAnsi="Arial" w:cs="Arial"/>
          <w:sz w:val="22"/>
          <w:szCs w:val="22"/>
        </w:rPr>
      </w:pPr>
      <w:r w:rsidRPr="00ED5D91">
        <w:rPr>
          <w:rFonts w:ascii="Arial" w:hAnsi="Arial" w:cs="Arial"/>
          <w:sz w:val="22"/>
          <w:szCs w:val="22"/>
        </w:rPr>
        <w:t>Des rapports analytiques avec des recommandations (économie numérique et instruments multilatéraux</w:t>
      </w:r>
    </w:p>
    <w:p w14:paraId="138E0AAA" w14:textId="77777777" w:rsidR="00112FAB" w:rsidRPr="00ED5D91" w:rsidRDefault="00112FAB" w:rsidP="00112FAB">
      <w:pPr>
        <w:numPr>
          <w:ilvl w:val="0"/>
          <w:numId w:val="10"/>
        </w:numPr>
        <w:contextualSpacing/>
        <w:jc w:val="both"/>
        <w:rPr>
          <w:rFonts w:ascii="Arial" w:hAnsi="Arial" w:cs="Arial"/>
          <w:sz w:val="22"/>
          <w:szCs w:val="22"/>
        </w:rPr>
      </w:pPr>
      <w:r w:rsidRPr="00ED5D91">
        <w:rPr>
          <w:rFonts w:ascii="Arial" w:hAnsi="Arial" w:cs="Arial"/>
          <w:sz w:val="22"/>
          <w:szCs w:val="22"/>
        </w:rPr>
        <w:t>Des rapports détaillés sur la mesure du « BEPS »,</w:t>
      </w:r>
    </w:p>
    <w:p w14:paraId="4B3BC51E" w14:textId="77777777" w:rsidR="00112FAB" w:rsidRPr="00ED5D91" w:rsidRDefault="00112FAB" w:rsidP="00112FAB">
      <w:pPr>
        <w:jc w:val="both"/>
        <w:rPr>
          <w:rFonts w:ascii="Arial" w:hAnsi="Arial" w:cs="Arial"/>
          <w:sz w:val="22"/>
          <w:szCs w:val="22"/>
        </w:rPr>
      </w:pPr>
    </w:p>
    <w:p w14:paraId="4F05F3ED" w14:textId="77777777" w:rsidR="00112FAB" w:rsidRPr="00ED5D91" w:rsidRDefault="00112FAB" w:rsidP="00112FAB">
      <w:pPr>
        <w:jc w:val="both"/>
        <w:rPr>
          <w:rFonts w:ascii="Arial" w:hAnsi="Arial" w:cs="Arial"/>
          <w:sz w:val="22"/>
          <w:szCs w:val="22"/>
        </w:rPr>
      </w:pPr>
      <w:r w:rsidRPr="00ED5D91">
        <w:rPr>
          <w:rFonts w:ascii="Arial" w:hAnsi="Arial" w:cs="Arial"/>
          <w:sz w:val="22"/>
          <w:szCs w:val="22"/>
        </w:rPr>
        <w:t>Les rapports, initialement publiés en anglais, sont progressivement présentés en version française.</w:t>
      </w:r>
    </w:p>
    <w:p w14:paraId="326BB7BF" w14:textId="77777777" w:rsidR="00112FAB" w:rsidRDefault="00112FAB" w:rsidP="00112FAB">
      <w:pPr>
        <w:jc w:val="both"/>
        <w:rPr>
          <w:rFonts w:ascii="Arial" w:hAnsi="Arial" w:cs="Arial"/>
          <w:sz w:val="22"/>
          <w:szCs w:val="22"/>
        </w:rPr>
      </w:pPr>
      <w:r w:rsidRPr="00ED5D91">
        <w:rPr>
          <w:rFonts w:ascii="Arial" w:hAnsi="Arial" w:cs="Arial"/>
          <w:sz w:val="22"/>
          <w:szCs w:val="22"/>
        </w:rPr>
        <w:t>La structure de l’ensemble des 15 rapports présentés en octobre 2015 est la suivante :</w:t>
      </w:r>
    </w:p>
    <w:p w14:paraId="2D939395" w14:textId="77777777" w:rsidR="005F00A2" w:rsidRPr="00ED5D91" w:rsidRDefault="005F00A2" w:rsidP="00112FAB">
      <w:pPr>
        <w:jc w:val="both"/>
        <w:rPr>
          <w:rFonts w:ascii="Arial" w:hAnsi="Arial" w:cs="Arial"/>
          <w:sz w:val="22"/>
          <w:szCs w:val="22"/>
        </w:rPr>
      </w:pPr>
    </w:p>
    <w:p w14:paraId="26C5E6EC" w14:textId="77777777" w:rsidR="00975AAF" w:rsidRPr="00B8728F" w:rsidRDefault="00975AAF" w:rsidP="005538C0">
      <w:pPr>
        <w:rPr>
          <w:rFonts w:ascii="Arial" w:hAnsi="Arial" w:cs="Arial"/>
          <w:b/>
          <w:bCs/>
          <w:caps/>
          <w:sz w:val="22"/>
          <w:szCs w:val="22"/>
        </w:rPr>
      </w:pPr>
    </w:p>
    <w:p w14:paraId="48205FAC" w14:textId="77777777" w:rsidR="00975AAF" w:rsidRPr="00B8728F" w:rsidRDefault="00975AAF" w:rsidP="00112FAB">
      <w:pPr>
        <w:jc w:val="center"/>
        <w:rPr>
          <w:rFonts w:ascii="Arial" w:hAnsi="Arial" w:cs="Arial"/>
          <w:b/>
          <w:bCs/>
          <w:caps/>
          <w:sz w:val="22"/>
          <w:szCs w:val="22"/>
        </w:rPr>
      </w:pPr>
    </w:p>
    <w:p w14:paraId="43380FDE" w14:textId="1138B910" w:rsidR="00112FAB" w:rsidRPr="00ED5D91" w:rsidRDefault="00112FAB" w:rsidP="00112FAB">
      <w:pPr>
        <w:jc w:val="center"/>
        <w:rPr>
          <w:rFonts w:ascii="Arial" w:hAnsi="Arial" w:cs="Arial"/>
          <w:b/>
          <w:bCs/>
          <w:caps/>
          <w:sz w:val="22"/>
          <w:szCs w:val="22"/>
          <w:lang w:val="en-GB"/>
        </w:rPr>
      </w:pPr>
      <w:r w:rsidRPr="00ED5D91">
        <w:rPr>
          <w:rFonts w:ascii="Arial" w:hAnsi="Arial" w:cs="Arial"/>
          <w:b/>
          <w:bCs/>
          <w:caps/>
          <w:sz w:val="22"/>
          <w:szCs w:val="22"/>
          <w:lang w:val="en-GB"/>
        </w:rPr>
        <w:t>15 actions AROUND 3 MAIN PILLARS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3"/>
        <w:gridCol w:w="3014"/>
        <w:gridCol w:w="3027"/>
      </w:tblGrid>
      <w:tr w:rsidR="00112FAB" w:rsidRPr="003E7770" w14:paraId="2C618A74" w14:textId="77777777" w:rsidTr="00D01B65">
        <w:tc>
          <w:tcPr>
            <w:tcW w:w="3068" w:type="dxa"/>
            <w:shd w:val="clear" w:color="auto" w:fill="000000"/>
          </w:tcPr>
          <w:p w14:paraId="58C5972E" w14:textId="77777777" w:rsidR="00112FAB" w:rsidRPr="00ED5D91" w:rsidRDefault="00112FAB" w:rsidP="00D01B65">
            <w:pPr>
              <w:jc w:val="center"/>
              <w:rPr>
                <w:rFonts w:ascii="Arial" w:eastAsia="Times" w:hAnsi="Arial" w:cs="Arial"/>
                <w:b/>
                <w:color w:val="FFFFFF"/>
                <w:sz w:val="21"/>
                <w:szCs w:val="21"/>
                <w:lang w:val="en-GB"/>
              </w:rPr>
            </w:pPr>
            <w:r w:rsidRPr="00ED5D91">
              <w:rPr>
                <w:rFonts w:ascii="Arial" w:eastAsia="Times" w:hAnsi="Arial" w:cs="Arial"/>
                <w:b/>
                <w:color w:val="FFFFFF"/>
                <w:sz w:val="21"/>
                <w:szCs w:val="21"/>
                <w:lang w:val="en-GB"/>
              </w:rPr>
              <w:t>COHERENCE</w:t>
            </w:r>
          </w:p>
        </w:tc>
        <w:tc>
          <w:tcPr>
            <w:tcW w:w="3068" w:type="dxa"/>
            <w:shd w:val="clear" w:color="auto" w:fill="000000"/>
          </w:tcPr>
          <w:p w14:paraId="2F45B041" w14:textId="77777777" w:rsidR="00112FAB" w:rsidRPr="00ED5D91" w:rsidRDefault="00112FAB" w:rsidP="00D01B65">
            <w:pPr>
              <w:jc w:val="center"/>
              <w:rPr>
                <w:rFonts w:ascii="Arial" w:eastAsia="Times" w:hAnsi="Arial" w:cs="Arial"/>
                <w:b/>
                <w:color w:val="FFFFFF"/>
                <w:sz w:val="21"/>
                <w:szCs w:val="21"/>
                <w:lang w:val="en-GB"/>
              </w:rPr>
            </w:pPr>
            <w:r w:rsidRPr="00ED5D91">
              <w:rPr>
                <w:rFonts w:ascii="Arial" w:eastAsia="Times" w:hAnsi="Arial" w:cs="Arial"/>
                <w:b/>
                <w:color w:val="FFFFFF"/>
                <w:sz w:val="21"/>
                <w:szCs w:val="21"/>
                <w:lang w:val="en-GB"/>
              </w:rPr>
              <w:t>SUBSTANCE</w:t>
            </w:r>
          </w:p>
        </w:tc>
        <w:tc>
          <w:tcPr>
            <w:tcW w:w="3068" w:type="dxa"/>
            <w:shd w:val="clear" w:color="auto" w:fill="000000"/>
          </w:tcPr>
          <w:p w14:paraId="1F8780B6" w14:textId="77777777" w:rsidR="00112FAB" w:rsidRPr="00ED5D91" w:rsidRDefault="00112FAB" w:rsidP="00D01B65">
            <w:pPr>
              <w:jc w:val="center"/>
              <w:rPr>
                <w:rFonts w:ascii="Arial" w:eastAsia="Times" w:hAnsi="Arial" w:cs="Arial"/>
                <w:b/>
                <w:color w:val="FFFFFF"/>
                <w:sz w:val="21"/>
                <w:szCs w:val="21"/>
                <w:lang w:val="en-GB"/>
              </w:rPr>
            </w:pPr>
            <w:r w:rsidRPr="00ED5D91">
              <w:rPr>
                <w:rFonts w:ascii="Arial" w:eastAsia="Times" w:hAnsi="Arial" w:cs="Arial"/>
                <w:b/>
                <w:color w:val="FFFFFF"/>
                <w:sz w:val="21"/>
                <w:szCs w:val="21"/>
                <w:lang w:val="en-GB"/>
              </w:rPr>
              <w:t>TRANSPARENCY &amp; CERTAINTY</w:t>
            </w:r>
          </w:p>
        </w:tc>
      </w:tr>
      <w:tr w:rsidR="00112FAB" w:rsidRPr="003E7770" w14:paraId="263205D1" w14:textId="77777777" w:rsidTr="00D01B65">
        <w:tc>
          <w:tcPr>
            <w:tcW w:w="3068" w:type="dxa"/>
            <w:shd w:val="clear" w:color="auto" w:fill="auto"/>
          </w:tcPr>
          <w:p w14:paraId="350950CB"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Neutralising the Effects of Hybrid Mismatch Arrangements (2)</w:t>
            </w:r>
          </w:p>
        </w:tc>
        <w:tc>
          <w:tcPr>
            <w:tcW w:w="3068" w:type="dxa"/>
            <w:shd w:val="clear" w:color="auto" w:fill="auto"/>
          </w:tcPr>
          <w:p w14:paraId="416D4E9E"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Preventing the Granting of Treaty Benefits in Inappropriate Circumstances (6)</w:t>
            </w:r>
          </w:p>
        </w:tc>
        <w:tc>
          <w:tcPr>
            <w:tcW w:w="3068" w:type="dxa"/>
            <w:shd w:val="clear" w:color="auto" w:fill="auto"/>
          </w:tcPr>
          <w:p w14:paraId="196DD932"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Measuring and Monitoring BEPS (11)</w:t>
            </w:r>
          </w:p>
        </w:tc>
      </w:tr>
      <w:tr w:rsidR="00112FAB" w:rsidRPr="003E7770" w14:paraId="2D6E7588" w14:textId="77777777" w:rsidTr="00D01B65">
        <w:tc>
          <w:tcPr>
            <w:tcW w:w="3068" w:type="dxa"/>
            <w:shd w:val="clear" w:color="auto" w:fill="auto"/>
          </w:tcPr>
          <w:p w14:paraId="6815F4AC"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Designing Effective Controlled Foreign Company Rules (3)</w:t>
            </w:r>
          </w:p>
        </w:tc>
        <w:tc>
          <w:tcPr>
            <w:tcW w:w="3068" w:type="dxa"/>
            <w:shd w:val="clear" w:color="auto" w:fill="auto"/>
          </w:tcPr>
          <w:p w14:paraId="2D584AD8"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Preventing the Artificial Avoidance of Permanent Establishment Status (7)</w:t>
            </w:r>
          </w:p>
        </w:tc>
        <w:tc>
          <w:tcPr>
            <w:tcW w:w="3068" w:type="dxa"/>
            <w:shd w:val="clear" w:color="auto" w:fill="auto"/>
          </w:tcPr>
          <w:p w14:paraId="2F3C0A93"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Mandatory Disclosure Rules (12)</w:t>
            </w:r>
          </w:p>
        </w:tc>
      </w:tr>
      <w:tr w:rsidR="00112FAB" w:rsidRPr="00536241" w14:paraId="48217D41" w14:textId="77777777" w:rsidTr="00D01B65">
        <w:tc>
          <w:tcPr>
            <w:tcW w:w="3068" w:type="dxa"/>
            <w:shd w:val="clear" w:color="auto" w:fill="auto"/>
          </w:tcPr>
          <w:p w14:paraId="019FAADE"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Limiting Base Erosion Involving Interest Deductions and Other Financial Payments (4)</w:t>
            </w:r>
          </w:p>
        </w:tc>
        <w:tc>
          <w:tcPr>
            <w:tcW w:w="3068" w:type="dxa"/>
            <w:shd w:val="clear" w:color="auto" w:fill="auto"/>
          </w:tcPr>
          <w:p w14:paraId="656AAC8F" w14:textId="77777777" w:rsidR="00112FAB" w:rsidRPr="009446B2" w:rsidRDefault="00112FAB" w:rsidP="00D01B65">
            <w:pPr>
              <w:jc w:val="center"/>
              <w:rPr>
                <w:rFonts w:ascii="Arial" w:eastAsia="Times" w:hAnsi="Arial" w:cs="Arial"/>
                <w:b/>
                <w:color w:val="FF0000"/>
                <w:sz w:val="21"/>
                <w:szCs w:val="21"/>
                <w:lang w:val="en-GB"/>
              </w:rPr>
            </w:pPr>
            <w:r w:rsidRPr="009446B2">
              <w:rPr>
                <w:rFonts w:ascii="Arial" w:eastAsia="Times" w:hAnsi="Arial" w:cs="Arial"/>
                <w:b/>
                <w:color w:val="FF0000"/>
                <w:sz w:val="21"/>
                <w:szCs w:val="21"/>
                <w:lang w:val="en-GB"/>
              </w:rPr>
              <w:t>Transfer pricing aspects of intangibles (8)</w:t>
            </w:r>
          </w:p>
        </w:tc>
        <w:tc>
          <w:tcPr>
            <w:tcW w:w="3068" w:type="dxa"/>
            <w:shd w:val="clear" w:color="auto" w:fill="auto"/>
          </w:tcPr>
          <w:p w14:paraId="486AE6B5" w14:textId="77777777" w:rsidR="00112FAB" w:rsidRPr="009446B2" w:rsidRDefault="00112FAB" w:rsidP="00D01B65">
            <w:pPr>
              <w:jc w:val="center"/>
              <w:rPr>
                <w:rFonts w:ascii="Arial" w:eastAsia="Times" w:hAnsi="Arial" w:cs="Arial"/>
                <w:b/>
                <w:color w:val="FF0000"/>
                <w:sz w:val="21"/>
                <w:szCs w:val="21"/>
                <w:lang w:val="en-GB"/>
              </w:rPr>
            </w:pPr>
            <w:r w:rsidRPr="009446B2">
              <w:rPr>
                <w:rFonts w:ascii="Arial" w:eastAsia="Times" w:hAnsi="Arial" w:cs="Arial"/>
                <w:b/>
                <w:color w:val="FF0000"/>
                <w:sz w:val="21"/>
                <w:szCs w:val="21"/>
                <w:lang w:val="en-GB"/>
              </w:rPr>
              <w:t>Transfer Pricing Documentation and Country-by-Country Reporting (13)</w:t>
            </w:r>
          </w:p>
        </w:tc>
      </w:tr>
      <w:tr w:rsidR="00112FAB" w:rsidRPr="00536241" w14:paraId="6D8E10DE" w14:textId="77777777" w:rsidTr="00D01B65">
        <w:tc>
          <w:tcPr>
            <w:tcW w:w="3068" w:type="dxa"/>
            <w:vMerge w:val="restart"/>
            <w:shd w:val="clear" w:color="auto" w:fill="auto"/>
          </w:tcPr>
          <w:p w14:paraId="47CEF5BD"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shd w:val="clear" w:color="auto" w:fill="FFFFFF"/>
                <w:lang w:val="en-GB"/>
              </w:rPr>
              <w:t xml:space="preserve">Countering Harmful Tax Practices More Effectively, </w:t>
            </w:r>
            <w:proofErr w:type="gramStart"/>
            <w:r w:rsidRPr="00ED5D91">
              <w:rPr>
                <w:rFonts w:ascii="Arial" w:eastAsia="Times" w:hAnsi="Arial" w:cs="Arial"/>
                <w:sz w:val="21"/>
                <w:szCs w:val="21"/>
                <w:shd w:val="clear" w:color="auto" w:fill="FFFFFF"/>
                <w:lang w:val="en-GB"/>
              </w:rPr>
              <w:t>Taking into Account</w:t>
            </w:r>
            <w:proofErr w:type="gramEnd"/>
            <w:r w:rsidRPr="00ED5D91">
              <w:rPr>
                <w:rFonts w:ascii="Arial" w:eastAsia="Times" w:hAnsi="Arial" w:cs="Arial"/>
                <w:sz w:val="21"/>
                <w:szCs w:val="21"/>
                <w:shd w:val="clear" w:color="auto" w:fill="FFFFFF"/>
                <w:lang w:val="en-GB"/>
              </w:rPr>
              <w:t xml:space="preserve"> Transparency and Substance</w:t>
            </w:r>
            <w:r w:rsidRPr="00ED5D91">
              <w:rPr>
                <w:rFonts w:ascii="Arial" w:eastAsia="Times" w:hAnsi="Arial" w:cs="Arial"/>
                <w:sz w:val="21"/>
                <w:szCs w:val="21"/>
                <w:lang w:val="en-GB"/>
              </w:rPr>
              <w:t xml:space="preserve"> (5)</w:t>
            </w:r>
          </w:p>
        </w:tc>
        <w:tc>
          <w:tcPr>
            <w:tcW w:w="3068" w:type="dxa"/>
            <w:shd w:val="clear" w:color="auto" w:fill="auto"/>
          </w:tcPr>
          <w:p w14:paraId="69B6264E" w14:textId="77777777" w:rsidR="00112FAB" w:rsidRPr="009446B2" w:rsidRDefault="00112FAB" w:rsidP="00D01B65">
            <w:pPr>
              <w:jc w:val="center"/>
              <w:rPr>
                <w:rFonts w:ascii="Arial" w:eastAsia="Times" w:hAnsi="Arial" w:cs="Arial"/>
                <w:b/>
                <w:color w:val="FF0000"/>
                <w:sz w:val="21"/>
                <w:szCs w:val="21"/>
                <w:lang w:val="en-GB"/>
              </w:rPr>
            </w:pPr>
            <w:r w:rsidRPr="009446B2">
              <w:rPr>
                <w:rFonts w:ascii="Arial" w:eastAsia="Times" w:hAnsi="Arial" w:cs="Arial"/>
                <w:b/>
                <w:color w:val="FF0000"/>
                <w:sz w:val="21"/>
                <w:szCs w:val="21"/>
                <w:lang w:val="en-GB"/>
              </w:rPr>
              <w:t>Transfer pricing, risk &amp; capital (9)</w:t>
            </w:r>
          </w:p>
        </w:tc>
        <w:tc>
          <w:tcPr>
            <w:tcW w:w="3068" w:type="dxa"/>
            <w:vMerge w:val="restart"/>
            <w:shd w:val="clear" w:color="auto" w:fill="auto"/>
          </w:tcPr>
          <w:p w14:paraId="0BE86597"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Making Dispute Resolution Mechanisms More Effective (14)</w:t>
            </w:r>
          </w:p>
        </w:tc>
      </w:tr>
      <w:tr w:rsidR="00112FAB" w:rsidRPr="00536241" w14:paraId="7F504AC9" w14:textId="77777777" w:rsidTr="00D01B65">
        <w:tc>
          <w:tcPr>
            <w:tcW w:w="3068" w:type="dxa"/>
            <w:vMerge/>
            <w:shd w:val="clear" w:color="auto" w:fill="auto"/>
          </w:tcPr>
          <w:p w14:paraId="7E2A0BA2" w14:textId="77777777" w:rsidR="00112FAB" w:rsidRPr="00ED5D91" w:rsidRDefault="00112FAB" w:rsidP="00D01B65">
            <w:pPr>
              <w:jc w:val="center"/>
              <w:rPr>
                <w:rFonts w:ascii="Arial" w:eastAsia="Times" w:hAnsi="Arial" w:cs="Arial"/>
                <w:sz w:val="21"/>
                <w:szCs w:val="21"/>
                <w:lang w:val="en-GB"/>
              </w:rPr>
            </w:pPr>
          </w:p>
        </w:tc>
        <w:tc>
          <w:tcPr>
            <w:tcW w:w="3068" w:type="dxa"/>
            <w:shd w:val="clear" w:color="auto" w:fill="auto"/>
          </w:tcPr>
          <w:p w14:paraId="2E0D30C7" w14:textId="77777777" w:rsidR="00112FAB" w:rsidRPr="009446B2" w:rsidRDefault="00112FAB" w:rsidP="00D01B65">
            <w:pPr>
              <w:jc w:val="center"/>
              <w:rPr>
                <w:rFonts w:ascii="Arial" w:eastAsia="Times" w:hAnsi="Arial" w:cs="Arial"/>
                <w:b/>
                <w:color w:val="FF0000"/>
                <w:sz w:val="21"/>
                <w:szCs w:val="21"/>
                <w:lang w:val="en-GB"/>
              </w:rPr>
            </w:pPr>
            <w:r w:rsidRPr="009446B2">
              <w:rPr>
                <w:rFonts w:ascii="Arial" w:eastAsia="Times" w:hAnsi="Arial" w:cs="Arial"/>
                <w:b/>
                <w:color w:val="FF0000"/>
                <w:sz w:val="21"/>
                <w:szCs w:val="21"/>
                <w:lang w:val="en-GB"/>
              </w:rPr>
              <w:t>Transfer pricing high risk transactions (10)</w:t>
            </w:r>
          </w:p>
        </w:tc>
        <w:tc>
          <w:tcPr>
            <w:tcW w:w="3068" w:type="dxa"/>
            <w:vMerge/>
            <w:shd w:val="clear" w:color="auto" w:fill="auto"/>
          </w:tcPr>
          <w:p w14:paraId="4B14FD90" w14:textId="77777777" w:rsidR="00112FAB" w:rsidRPr="00ED5D91" w:rsidRDefault="00112FAB" w:rsidP="00D01B65">
            <w:pPr>
              <w:jc w:val="center"/>
              <w:rPr>
                <w:rFonts w:ascii="Arial" w:eastAsia="Times" w:hAnsi="Arial" w:cs="Arial"/>
                <w:sz w:val="21"/>
                <w:szCs w:val="21"/>
                <w:lang w:val="en-GB"/>
              </w:rPr>
            </w:pPr>
          </w:p>
        </w:tc>
      </w:tr>
      <w:tr w:rsidR="00112FAB" w:rsidRPr="00536241" w14:paraId="51F7859C" w14:textId="77777777" w:rsidTr="00D01B65">
        <w:trPr>
          <w:trHeight w:val="208"/>
        </w:trPr>
        <w:tc>
          <w:tcPr>
            <w:tcW w:w="9204" w:type="dxa"/>
            <w:gridSpan w:val="3"/>
            <w:shd w:val="clear" w:color="auto" w:fill="auto"/>
          </w:tcPr>
          <w:p w14:paraId="4651FA2E"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Addressing the Tax Challenges of the Digital Economy (1)</w:t>
            </w:r>
          </w:p>
        </w:tc>
      </w:tr>
      <w:tr w:rsidR="00112FAB" w:rsidRPr="00536241" w14:paraId="2CF7C08C" w14:textId="77777777" w:rsidTr="00D01B65">
        <w:trPr>
          <w:trHeight w:val="208"/>
        </w:trPr>
        <w:tc>
          <w:tcPr>
            <w:tcW w:w="9204" w:type="dxa"/>
            <w:gridSpan w:val="3"/>
            <w:shd w:val="clear" w:color="auto" w:fill="auto"/>
          </w:tcPr>
          <w:p w14:paraId="1FCD95C7" w14:textId="77777777" w:rsidR="00112FAB" w:rsidRPr="00ED5D91" w:rsidRDefault="00112FAB" w:rsidP="00D01B65">
            <w:pPr>
              <w:jc w:val="center"/>
              <w:rPr>
                <w:rFonts w:ascii="Arial" w:eastAsia="Times" w:hAnsi="Arial" w:cs="Arial"/>
                <w:sz w:val="21"/>
                <w:szCs w:val="21"/>
                <w:lang w:val="en-GB"/>
              </w:rPr>
            </w:pPr>
            <w:r w:rsidRPr="00ED5D91">
              <w:rPr>
                <w:rFonts w:ascii="Arial" w:eastAsia="Times" w:hAnsi="Arial" w:cs="Arial"/>
                <w:sz w:val="21"/>
                <w:szCs w:val="21"/>
                <w:lang w:val="en-GB"/>
              </w:rPr>
              <w:t>Developing a Multilateral Instrument to Modify Bilateral Tax Treaties (15)</w:t>
            </w:r>
          </w:p>
        </w:tc>
      </w:tr>
    </w:tbl>
    <w:p w14:paraId="37A278C0" w14:textId="77777777" w:rsidR="00112FAB" w:rsidRPr="00F23AB7" w:rsidRDefault="00112FAB" w:rsidP="00112FAB">
      <w:pPr>
        <w:jc w:val="both"/>
        <w:rPr>
          <w:szCs w:val="22"/>
          <w:lang w:val="en-US"/>
        </w:rPr>
      </w:pPr>
    </w:p>
    <w:p w14:paraId="6EFF38EF" w14:textId="77777777" w:rsidR="00112FAB" w:rsidRPr="00112FAB" w:rsidRDefault="00112FAB" w:rsidP="00112FAB">
      <w:pPr>
        <w:widowControl w:val="0"/>
        <w:autoSpaceDE w:val="0"/>
        <w:autoSpaceDN w:val="0"/>
        <w:adjustRightInd w:val="0"/>
        <w:jc w:val="both"/>
        <w:rPr>
          <w:szCs w:val="22"/>
          <w:lang w:val="en-US"/>
        </w:rPr>
      </w:pPr>
    </w:p>
    <w:p w14:paraId="50382B33"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Les points 8, 9 et 10 traitent particulièrement des prix de transfert et précisent les points traités en III.</w:t>
      </w:r>
    </w:p>
    <w:p w14:paraId="15DE1F78" w14:textId="1D115652" w:rsidR="00112FAB" w:rsidRPr="00ED5D91" w:rsidRDefault="00112FAB" w:rsidP="00112FAB">
      <w:pPr>
        <w:rPr>
          <w:rFonts w:ascii="Arial" w:hAnsi="Arial" w:cs="Arial"/>
          <w:sz w:val="22"/>
          <w:szCs w:val="22"/>
        </w:rPr>
      </w:pPr>
      <w:r w:rsidRPr="00ED5D91">
        <w:rPr>
          <w:rFonts w:ascii="Arial" w:hAnsi="Arial" w:cs="Arial"/>
          <w:sz w:val="22"/>
          <w:szCs w:val="22"/>
        </w:rPr>
        <w:t xml:space="preserve">En mars 2019, le Forum conjoint de l’Union européenne sur les prix de transfert (FCPT) EU JOINT TRANSFER PRICING FORUM (JTPF) a publié </w:t>
      </w:r>
      <w:proofErr w:type="gramStart"/>
      <w:r w:rsidRPr="00ED5D91">
        <w:rPr>
          <w:rFonts w:ascii="Arial" w:hAnsi="Arial" w:cs="Arial"/>
          <w:sz w:val="22"/>
          <w:szCs w:val="22"/>
        </w:rPr>
        <w:t>une étude sur</w:t>
      </w:r>
      <w:proofErr w:type="gramEnd"/>
      <w:r w:rsidRPr="00ED5D91">
        <w:rPr>
          <w:rFonts w:ascii="Arial" w:hAnsi="Arial" w:cs="Arial"/>
          <w:sz w:val="22"/>
          <w:szCs w:val="22"/>
        </w:rPr>
        <w:t xml:space="preserve"> : THE APPLICATION OF THE PROFIT SPLIT METHOD WITHIN THE EU </w:t>
      </w:r>
      <w:r w:rsidR="002C4DC2">
        <w:rPr>
          <w:rStyle w:val="Appelnotedebasdep"/>
          <w:rFonts w:ascii="Arial" w:hAnsi="Arial" w:cs="Arial"/>
          <w:sz w:val="22"/>
          <w:szCs w:val="22"/>
        </w:rPr>
        <w:footnoteReference w:id="6"/>
      </w:r>
    </w:p>
    <w:p w14:paraId="0569ED34"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BBD969E" w14:textId="77777777" w:rsidR="00112FAB" w:rsidRPr="00ED5D91" w:rsidRDefault="00112FAB" w:rsidP="00112FAB">
      <w:pPr>
        <w:widowControl w:val="0"/>
        <w:autoSpaceDE w:val="0"/>
        <w:autoSpaceDN w:val="0"/>
        <w:adjustRightInd w:val="0"/>
        <w:jc w:val="both"/>
        <w:rPr>
          <w:rFonts w:ascii="Arial" w:hAnsi="Arial" w:cs="Arial"/>
          <w:sz w:val="22"/>
          <w:szCs w:val="22"/>
        </w:rPr>
      </w:pPr>
    </w:p>
    <w:p w14:paraId="4348041D" w14:textId="77777777" w:rsidR="00112FAB" w:rsidRPr="00ED5D91" w:rsidRDefault="00112FAB" w:rsidP="00112FAB">
      <w:pPr>
        <w:widowControl w:val="0"/>
        <w:autoSpaceDE w:val="0"/>
        <w:autoSpaceDN w:val="0"/>
        <w:adjustRightInd w:val="0"/>
        <w:jc w:val="both"/>
        <w:rPr>
          <w:rFonts w:ascii="Arial" w:hAnsi="Arial" w:cs="Arial"/>
          <w:sz w:val="22"/>
          <w:szCs w:val="22"/>
        </w:rPr>
      </w:pPr>
      <w:r w:rsidRPr="00ED5D91">
        <w:rPr>
          <w:rFonts w:ascii="Arial" w:hAnsi="Arial" w:cs="Arial"/>
          <w:sz w:val="22"/>
          <w:szCs w:val="22"/>
        </w:rPr>
        <w:t>Une nouvelle obligation de documentation est introduite dans l’action 13, qui complète, pour la France, les obligations résultant de l’article L 13 AA du LPF et 223 quinquies A du CGI.</w:t>
      </w:r>
    </w:p>
    <w:p w14:paraId="3CD2A8C6" w14:textId="77777777" w:rsidR="00112FAB" w:rsidRDefault="00112FAB" w:rsidP="00112FAB">
      <w:pPr>
        <w:widowControl w:val="0"/>
        <w:autoSpaceDE w:val="0"/>
        <w:autoSpaceDN w:val="0"/>
        <w:adjustRightInd w:val="0"/>
        <w:jc w:val="both"/>
        <w:rPr>
          <w:szCs w:val="22"/>
        </w:rPr>
      </w:pPr>
    </w:p>
    <w:p w14:paraId="78A17E68" w14:textId="77777777" w:rsidR="00112FAB" w:rsidRPr="00F52417" w:rsidRDefault="00112FAB" w:rsidP="00112FAB">
      <w:pPr>
        <w:widowControl w:val="0"/>
        <w:autoSpaceDE w:val="0"/>
        <w:autoSpaceDN w:val="0"/>
        <w:adjustRightInd w:val="0"/>
        <w:jc w:val="center"/>
        <w:rPr>
          <w:b/>
          <w:bCs/>
          <w:i/>
          <w:iCs/>
          <w:szCs w:val="22"/>
        </w:rPr>
      </w:pPr>
      <w:r w:rsidRPr="00F52417">
        <w:rPr>
          <w:b/>
          <w:bCs/>
          <w:i/>
          <w:iCs/>
          <w:szCs w:val="22"/>
        </w:rPr>
        <w:t>Article 223 quinquies C</w:t>
      </w:r>
    </w:p>
    <w:p w14:paraId="667B4ABF" w14:textId="77777777" w:rsidR="00112FAB" w:rsidRPr="00F52417" w:rsidRDefault="00112FAB" w:rsidP="00112FAB">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i/>
          <w:iCs/>
          <w:szCs w:val="22"/>
        </w:rPr>
      </w:pPr>
      <w:r w:rsidRPr="00F52417">
        <w:rPr>
          <w:i/>
          <w:iCs/>
          <w:szCs w:val="22"/>
        </w:rPr>
        <w:t xml:space="preserve">I. – 1. Une déclaration comportant la </w:t>
      </w:r>
      <w:r w:rsidRPr="006A7AE1">
        <w:rPr>
          <w:b/>
          <w:bCs/>
          <w:i/>
          <w:iCs/>
          <w:szCs w:val="22"/>
        </w:rPr>
        <w:t>répartition pays par pays</w:t>
      </w:r>
      <w:r w:rsidRPr="00F52417">
        <w:rPr>
          <w:i/>
          <w:iCs/>
          <w:szCs w:val="22"/>
        </w:rPr>
        <w:t xml:space="preserve"> des bénéfices du groupe et des agrégats économiques, comptables et fiscaux, ainsi que des informations sur la localisation et l'activité des entités le constituant, dont le contenu est fixé par décret, est souscrite sous forme dématérialisée, dans les douze mois suivant la clôture de l'exercice, par les personnes morales établies en France qui répondent aux critères suivants :</w:t>
      </w:r>
    </w:p>
    <w:p w14:paraId="22EF820A" w14:textId="77777777" w:rsidR="00112FAB" w:rsidRDefault="00112FAB" w:rsidP="00112FAB">
      <w:pPr>
        <w:widowControl w:val="0"/>
        <w:autoSpaceDE w:val="0"/>
        <w:autoSpaceDN w:val="0"/>
        <w:adjustRightInd w:val="0"/>
        <w:jc w:val="both"/>
        <w:rPr>
          <w:szCs w:val="22"/>
        </w:rPr>
      </w:pPr>
    </w:p>
    <w:p w14:paraId="595C8EC0" w14:textId="77777777" w:rsidR="00112FAB" w:rsidRPr="00974056" w:rsidRDefault="00112FAB" w:rsidP="00112FAB">
      <w:pPr>
        <w:widowControl w:val="0"/>
        <w:autoSpaceDE w:val="0"/>
        <w:autoSpaceDN w:val="0"/>
        <w:adjustRightInd w:val="0"/>
        <w:jc w:val="both"/>
        <w:rPr>
          <w:rFonts w:ascii="Arial" w:hAnsi="Arial" w:cs="Arial"/>
          <w:sz w:val="22"/>
          <w:szCs w:val="22"/>
        </w:rPr>
      </w:pPr>
      <w:r w:rsidRPr="00974056">
        <w:rPr>
          <w:rFonts w:ascii="Arial" w:hAnsi="Arial" w:cs="Arial"/>
          <w:sz w:val="22"/>
          <w:szCs w:val="22"/>
        </w:rPr>
        <w:t xml:space="preserve">-  les groupes établis en France qui réalisent un chiffre d'affaires annuel hors taxes consolidé supérieur ou égal </w:t>
      </w:r>
      <w:proofErr w:type="spellStart"/>
      <w:r w:rsidRPr="00974056">
        <w:rPr>
          <w:rFonts w:ascii="Arial" w:hAnsi="Arial" w:cs="Arial"/>
          <w:sz w:val="22"/>
          <w:szCs w:val="22"/>
        </w:rPr>
        <w:t>a</w:t>
      </w:r>
      <w:proofErr w:type="spellEnd"/>
      <w:r w:rsidRPr="00974056">
        <w:rPr>
          <w:rFonts w:ascii="Arial" w:hAnsi="Arial" w:cs="Arial"/>
          <w:sz w:val="22"/>
          <w:szCs w:val="22"/>
        </w:rPr>
        <w:t>̀ 750 millions d'euros et qui établissent des comptes consolides, détiennent ou contrôlent des sociétés ou des succursales hors de France et ne sont pas détenues par des sociétés françaises ou étrangères déjà̀ soumises à̀ cette déclaration ;</w:t>
      </w:r>
    </w:p>
    <w:p w14:paraId="19579CC5" w14:textId="74898FB1" w:rsidR="00112FAB" w:rsidRDefault="00112FAB" w:rsidP="00112FAB">
      <w:pPr>
        <w:widowControl w:val="0"/>
        <w:autoSpaceDE w:val="0"/>
        <w:autoSpaceDN w:val="0"/>
        <w:adjustRightInd w:val="0"/>
        <w:jc w:val="both"/>
        <w:rPr>
          <w:rFonts w:ascii="Arial" w:hAnsi="Arial" w:cs="Arial"/>
          <w:sz w:val="22"/>
          <w:szCs w:val="22"/>
        </w:rPr>
      </w:pPr>
      <w:r w:rsidRPr="00974056">
        <w:rPr>
          <w:rFonts w:ascii="Arial" w:hAnsi="Arial" w:cs="Arial"/>
          <w:sz w:val="22"/>
          <w:szCs w:val="22"/>
        </w:rPr>
        <w:t>- les sociétés établies en France et appartenant à̀ un groupe étranger répondant à ces critères lorsqu'elles ont été́ désignées par le groupe à cette fin, ou qu'elles ne peuvent démontrer qu'une autre entité́ française ou étrangère a été́ désignée à cette fin. Cela vise notamment les filiales françaises de groupes établis dans un État qui n'aurait pas mis en place le "reporting" pays par pays.</w:t>
      </w:r>
    </w:p>
    <w:p w14:paraId="5125E830" w14:textId="0E62DDF1" w:rsidR="00112FAB" w:rsidRPr="00974056" w:rsidRDefault="00BE656B" w:rsidP="005F00A2">
      <w:pPr>
        <w:widowControl w:val="0"/>
        <w:tabs>
          <w:tab w:val="left" w:pos="3686"/>
        </w:tabs>
        <w:autoSpaceDE w:val="0"/>
        <w:autoSpaceDN w:val="0"/>
        <w:adjustRightInd w:val="0"/>
        <w:jc w:val="both"/>
        <w:rPr>
          <w:rFonts w:ascii="Arial" w:hAnsi="Arial" w:cs="Arial"/>
          <w:sz w:val="22"/>
          <w:szCs w:val="22"/>
        </w:rPr>
      </w:pPr>
      <w:r w:rsidRPr="00BE656B">
        <w:rPr>
          <w:rFonts w:ascii="Arial" w:hAnsi="Arial" w:cs="Arial"/>
          <w:noProof/>
          <w:sz w:val="22"/>
          <w:szCs w:val="22"/>
        </w:rPr>
        <w:lastRenderedPageBreak/>
        <w:drawing>
          <wp:inline distT="0" distB="0" distL="0" distR="0" wp14:anchorId="01E90EA4" wp14:editId="49D650E9">
            <wp:extent cx="5755640" cy="873760"/>
            <wp:effectExtent l="0" t="0" r="0" b="2540"/>
            <wp:docPr id="750746560" name="Image 1" descr="Une image contenant texte, Police, nombre, lign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746560" name="Image 1" descr="Une image contenant texte, Police, nombre, ligne&#10;&#10;Le contenu généré par l’IA peut être incorrect."/>
                    <pic:cNvPicPr/>
                  </pic:nvPicPr>
                  <pic:blipFill>
                    <a:blip r:embed="rId12"/>
                    <a:stretch>
                      <a:fillRect/>
                    </a:stretch>
                  </pic:blipFill>
                  <pic:spPr>
                    <a:xfrm>
                      <a:off x="0" y="0"/>
                      <a:ext cx="5755640" cy="873760"/>
                    </a:xfrm>
                    <a:prstGeom prst="rect">
                      <a:avLst/>
                    </a:prstGeom>
                  </pic:spPr>
                </pic:pic>
              </a:graphicData>
            </a:graphic>
          </wp:inline>
        </w:drawing>
      </w:r>
    </w:p>
    <w:p w14:paraId="3649633D" w14:textId="77777777" w:rsidR="00112FAB" w:rsidRDefault="00112FAB" w:rsidP="00112FAB">
      <w:pPr>
        <w:widowControl w:val="0"/>
        <w:autoSpaceDE w:val="0"/>
        <w:autoSpaceDN w:val="0"/>
        <w:adjustRightInd w:val="0"/>
        <w:jc w:val="both"/>
        <w:rPr>
          <w:szCs w:val="22"/>
        </w:rPr>
      </w:pPr>
    </w:p>
    <w:p w14:paraId="2AE60E43" w14:textId="77777777" w:rsidR="00112FAB" w:rsidRDefault="00112FAB" w:rsidP="00112FAB">
      <w:pPr>
        <w:widowControl w:val="0"/>
        <w:autoSpaceDE w:val="0"/>
        <w:autoSpaceDN w:val="0"/>
        <w:adjustRightInd w:val="0"/>
        <w:jc w:val="both"/>
        <w:rPr>
          <w:rFonts w:ascii="Arial" w:hAnsi="Arial" w:cs="Arial"/>
          <w:sz w:val="22"/>
          <w:szCs w:val="22"/>
        </w:rPr>
      </w:pPr>
      <w:r w:rsidRPr="002E58BB">
        <w:rPr>
          <w:rFonts w:ascii="Arial" w:hAnsi="Arial" w:cs="Arial"/>
          <w:sz w:val="22"/>
          <w:szCs w:val="22"/>
        </w:rPr>
        <w:t>Tous les pays de l’OCDE et du G20 se sont engagés à mettre en œuvre la déclaration pays par pays, telle que définie dans le rapport établi au titre de l’Action 13 du Projet BEPS et intitulé «</w:t>
      </w:r>
      <w:r>
        <w:rPr>
          <w:rFonts w:ascii="Arial" w:hAnsi="Arial" w:cs="Arial"/>
          <w:sz w:val="22"/>
          <w:szCs w:val="22"/>
        </w:rPr>
        <w:t xml:space="preserve"> </w:t>
      </w:r>
      <w:r w:rsidRPr="002E58BB">
        <w:rPr>
          <w:rFonts w:ascii="Arial" w:hAnsi="Arial" w:cs="Arial"/>
          <w:sz w:val="22"/>
          <w:szCs w:val="22"/>
        </w:rPr>
        <w:t>Documentation des prix de transfert et déclaration pays par pays</w:t>
      </w:r>
      <w:r>
        <w:rPr>
          <w:rFonts w:ascii="Arial" w:hAnsi="Arial" w:cs="Arial"/>
          <w:sz w:val="22"/>
          <w:szCs w:val="22"/>
        </w:rPr>
        <w:t xml:space="preserve"> </w:t>
      </w:r>
      <w:r w:rsidRPr="002E58BB">
        <w:rPr>
          <w:rFonts w:ascii="Arial" w:hAnsi="Arial" w:cs="Arial"/>
          <w:sz w:val="22"/>
          <w:szCs w:val="22"/>
        </w:rPr>
        <w:t>». Reconnaissant les avantages importants que la déclaration pays par pays peut apporter aux administrations fiscales pour conduire une évaluation générale des risques relatifs aux prix de transfert et des autres risques fiscaux liés à BEPS, un certain nombre d’autres juridictions, dont des pays en développement, se sont également engagées à adopter la déclaration pays par pays (ils forment, avec les pays membres de l’OCDE, le « cadre inclusif »).</w:t>
      </w:r>
      <w:r>
        <w:rPr>
          <w:rStyle w:val="Appelnotedebasdep"/>
          <w:rFonts w:ascii="Arial" w:hAnsi="Arial" w:cs="Arial"/>
          <w:sz w:val="22"/>
          <w:szCs w:val="22"/>
        </w:rPr>
        <w:footnoteReference w:id="7"/>
      </w:r>
    </w:p>
    <w:p w14:paraId="56BDDCCE" w14:textId="77777777" w:rsidR="00112FAB" w:rsidRDefault="00112FAB" w:rsidP="00112FAB">
      <w:pPr>
        <w:widowControl w:val="0"/>
        <w:autoSpaceDE w:val="0"/>
        <w:autoSpaceDN w:val="0"/>
        <w:adjustRightInd w:val="0"/>
        <w:jc w:val="both"/>
        <w:rPr>
          <w:rFonts w:ascii="Arial" w:hAnsi="Arial" w:cs="Arial"/>
          <w:sz w:val="22"/>
          <w:szCs w:val="22"/>
        </w:rPr>
      </w:pPr>
    </w:p>
    <w:p w14:paraId="4CCCBB14" w14:textId="77777777" w:rsidR="00112FAB" w:rsidRDefault="00112FAB" w:rsidP="00112FAB">
      <w:pPr>
        <w:widowControl w:val="0"/>
        <w:autoSpaceDE w:val="0"/>
        <w:autoSpaceDN w:val="0"/>
        <w:adjustRightInd w:val="0"/>
        <w:jc w:val="both"/>
        <w:rPr>
          <w:rFonts w:ascii="Arial" w:hAnsi="Arial" w:cs="Arial"/>
          <w:sz w:val="22"/>
          <w:szCs w:val="22"/>
        </w:rPr>
      </w:pPr>
      <w:r w:rsidRPr="00A6458E">
        <w:rPr>
          <w:rFonts w:ascii="Arial" w:hAnsi="Arial" w:cs="Arial"/>
          <w:sz w:val="22"/>
          <w:szCs w:val="22"/>
        </w:rPr>
        <w:t xml:space="preserve">Les déclarations pays par pays ne doivent être échangées que selon le dispositif prévu par l'UE et l'OCDE qui repose sur leur </w:t>
      </w:r>
      <w:r w:rsidRPr="00A6458E">
        <w:rPr>
          <w:rFonts w:ascii="Arial" w:hAnsi="Arial" w:cs="Arial"/>
          <w:b/>
          <w:bCs/>
          <w:sz w:val="22"/>
          <w:szCs w:val="22"/>
        </w:rPr>
        <w:t>échange entre les États</w:t>
      </w:r>
      <w:r w:rsidRPr="00A6458E">
        <w:rPr>
          <w:rFonts w:ascii="Arial" w:hAnsi="Arial" w:cs="Arial"/>
          <w:sz w:val="22"/>
          <w:szCs w:val="22"/>
        </w:rPr>
        <w:t>. Aucune déclaration ne doit être transmise directement aux États et territoires partenaires. Si certains États ou territoires demandent la déclaration pays par pays directement aux entités constituantes des sociétés françaises sises sur leur territoire alors que celle-ci doit être échangée par les États selon le dispositif prévu par l'UE et l'OCDE, vous êtes invités à le signaler à la DGFiP</w:t>
      </w:r>
    </w:p>
    <w:p w14:paraId="6531CBD9" w14:textId="77777777" w:rsidR="00112FAB" w:rsidRDefault="00112FAB" w:rsidP="00112FAB">
      <w:pPr>
        <w:widowControl w:val="0"/>
        <w:autoSpaceDE w:val="0"/>
        <w:autoSpaceDN w:val="0"/>
        <w:adjustRightInd w:val="0"/>
        <w:jc w:val="both"/>
        <w:rPr>
          <w:rFonts w:ascii="Arial" w:hAnsi="Arial" w:cs="Arial"/>
          <w:sz w:val="22"/>
          <w:szCs w:val="22"/>
        </w:rPr>
      </w:pPr>
    </w:p>
    <w:p w14:paraId="42663F04" w14:textId="77777777" w:rsidR="00112FAB" w:rsidRDefault="00112FAB" w:rsidP="00112FAB">
      <w:pPr>
        <w:widowControl w:val="0"/>
        <w:autoSpaceDE w:val="0"/>
        <w:autoSpaceDN w:val="0"/>
        <w:adjustRightInd w:val="0"/>
        <w:jc w:val="both"/>
        <w:rPr>
          <w:rFonts w:ascii="Arial" w:hAnsi="Arial" w:cs="Arial"/>
          <w:sz w:val="22"/>
          <w:szCs w:val="22"/>
        </w:rPr>
      </w:pPr>
    </w:p>
    <w:p w14:paraId="678C479B" w14:textId="77777777" w:rsidR="00112FAB" w:rsidRDefault="00112FAB" w:rsidP="00112FAB">
      <w:pPr>
        <w:widowControl w:val="0"/>
        <w:autoSpaceDE w:val="0"/>
        <w:autoSpaceDN w:val="0"/>
        <w:adjustRightInd w:val="0"/>
        <w:jc w:val="both"/>
        <w:rPr>
          <w:rFonts w:ascii="Arial" w:hAnsi="Arial" w:cs="Arial"/>
          <w:sz w:val="22"/>
          <w:szCs w:val="22"/>
        </w:rPr>
      </w:pPr>
      <w:r w:rsidRPr="00A6458E">
        <w:rPr>
          <w:rFonts w:ascii="Arial" w:hAnsi="Arial" w:cs="Arial"/>
          <w:sz w:val="22"/>
          <w:szCs w:val="22"/>
        </w:rPr>
        <w:t>Il convient d'indiquer tous les pays et territoires dans lesquels sont situés les entités du groupe. En télé</w:t>
      </w:r>
      <w:r>
        <w:rPr>
          <w:rFonts w:ascii="Arial" w:hAnsi="Arial" w:cs="Arial"/>
          <w:sz w:val="22"/>
          <w:szCs w:val="22"/>
        </w:rPr>
        <w:t xml:space="preserve"> </w:t>
      </w:r>
      <w:r w:rsidRPr="00A6458E">
        <w:rPr>
          <w:rFonts w:ascii="Arial" w:hAnsi="Arial" w:cs="Arial"/>
          <w:sz w:val="22"/>
          <w:szCs w:val="22"/>
        </w:rPr>
        <w:t>déclaration, le dépôt doit comporter autant de formulaires répétables que de pays ou territoires dans lesquels est située, au moins, une entité. Les entités doivent logiquement figurer sur le formulaire correspondant au pays ou territoire dans lequel elles sont localisées.</w:t>
      </w:r>
    </w:p>
    <w:p w14:paraId="0BA3E645" w14:textId="77777777" w:rsidR="00112FAB" w:rsidRDefault="00112FAB" w:rsidP="00112FAB">
      <w:pPr>
        <w:widowControl w:val="0"/>
        <w:autoSpaceDE w:val="0"/>
        <w:autoSpaceDN w:val="0"/>
        <w:adjustRightInd w:val="0"/>
        <w:jc w:val="both"/>
        <w:rPr>
          <w:rFonts w:ascii="Arial" w:hAnsi="Arial" w:cs="Arial"/>
          <w:sz w:val="22"/>
          <w:szCs w:val="22"/>
        </w:rPr>
      </w:pPr>
    </w:p>
    <w:p w14:paraId="29C59A31" w14:textId="77777777" w:rsidR="00112FAB" w:rsidRDefault="00112FAB" w:rsidP="00112FAB">
      <w:pPr>
        <w:widowControl w:val="0"/>
        <w:autoSpaceDE w:val="0"/>
        <w:autoSpaceDN w:val="0"/>
        <w:adjustRightInd w:val="0"/>
        <w:jc w:val="both"/>
        <w:rPr>
          <w:rFonts w:ascii="Arial" w:hAnsi="Arial" w:cs="Arial"/>
          <w:sz w:val="22"/>
          <w:szCs w:val="22"/>
        </w:rPr>
      </w:pPr>
    </w:p>
    <w:p w14:paraId="1CB91B53" w14:textId="77777777" w:rsidR="00112FAB" w:rsidRPr="00A6458E" w:rsidRDefault="00112FAB" w:rsidP="00112FAB">
      <w:pPr>
        <w:widowControl w:val="0"/>
        <w:autoSpaceDE w:val="0"/>
        <w:autoSpaceDN w:val="0"/>
        <w:adjustRightInd w:val="0"/>
        <w:jc w:val="both"/>
        <w:rPr>
          <w:rFonts w:ascii="Arial" w:hAnsi="Arial" w:cs="Arial"/>
          <w:sz w:val="22"/>
          <w:szCs w:val="22"/>
        </w:rPr>
        <w:sectPr w:rsidR="00112FAB" w:rsidRPr="00A6458E" w:rsidSect="00E55C27">
          <w:footerReference w:type="even" r:id="rId13"/>
          <w:footerReference w:type="default" r:id="rId14"/>
          <w:pgSz w:w="11900" w:h="16840"/>
          <w:pgMar w:top="1418" w:right="1418" w:bottom="1418" w:left="1418" w:header="709" w:footer="567" w:gutter="0"/>
          <w:cols w:space="708"/>
          <w:docGrid w:linePitch="360"/>
        </w:sectPr>
      </w:pPr>
    </w:p>
    <w:p w14:paraId="045A0A9C" w14:textId="77777777" w:rsidR="00112FAB" w:rsidRPr="00023267" w:rsidRDefault="00112FAB" w:rsidP="00112FAB">
      <w:pPr>
        <w:widowControl w:val="0"/>
        <w:autoSpaceDE w:val="0"/>
        <w:autoSpaceDN w:val="0"/>
        <w:adjustRightInd w:val="0"/>
        <w:jc w:val="center"/>
        <w:rPr>
          <w:b/>
          <w:szCs w:val="22"/>
        </w:rPr>
      </w:pPr>
      <w:r w:rsidRPr="00023267">
        <w:rPr>
          <w:b/>
          <w:szCs w:val="22"/>
        </w:rPr>
        <w:lastRenderedPageBreak/>
        <w:t>TABLEAU 1 : Vue d’ensemble de la répartition des bénéfices, des impôts et des activités par juridiction fiscale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1176"/>
        <w:gridCol w:w="1092"/>
        <w:gridCol w:w="992"/>
        <w:gridCol w:w="1276"/>
        <w:gridCol w:w="1559"/>
        <w:gridCol w:w="1276"/>
        <w:gridCol w:w="1275"/>
        <w:gridCol w:w="1134"/>
        <w:gridCol w:w="1134"/>
        <w:gridCol w:w="1418"/>
      </w:tblGrid>
      <w:tr w:rsidR="00112FAB" w:rsidRPr="00E54419" w14:paraId="640F6137" w14:textId="77777777" w:rsidTr="000D3D30">
        <w:tc>
          <w:tcPr>
            <w:tcW w:w="13320" w:type="dxa"/>
            <w:gridSpan w:val="11"/>
            <w:shd w:val="clear" w:color="auto" w:fill="auto"/>
          </w:tcPr>
          <w:p w14:paraId="0D55B2C7" w14:textId="77777777" w:rsidR="00112FAB" w:rsidRPr="00E54419" w:rsidRDefault="00112FAB" w:rsidP="00D01B65">
            <w:pPr>
              <w:widowControl w:val="0"/>
              <w:autoSpaceDE w:val="0"/>
              <w:autoSpaceDN w:val="0"/>
              <w:adjustRightInd w:val="0"/>
              <w:jc w:val="both"/>
              <w:rPr>
                <w:sz w:val="18"/>
                <w:szCs w:val="18"/>
              </w:rPr>
            </w:pPr>
            <w:r w:rsidRPr="00E54419">
              <w:rPr>
                <w:sz w:val="18"/>
                <w:szCs w:val="18"/>
              </w:rPr>
              <w:t>NOM DU GROUPE D’ENTREPRISES MULTINATIONALES :</w:t>
            </w:r>
          </w:p>
          <w:p w14:paraId="2BB8474C" w14:textId="77777777" w:rsidR="00112FAB" w:rsidRPr="00E54419" w:rsidRDefault="00112FAB" w:rsidP="00D01B65">
            <w:pPr>
              <w:widowControl w:val="0"/>
              <w:autoSpaceDE w:val="0"/>
              <w:autoSpaceDN w:val="0"/>
              <w:adjustRightInd w:val="0"/>
              <w:jc w:val="both"/>
              <w:rPr>
                <w:sz w:val="18"/>
                <w:szCs w:val="18"/>
              </w:rPr>
            </w:pPr>
            <w:r w:rsidRPr="00E54419">
              <w:rPr>
                <w:sz w:val="18"/>
                <w:szCs w:val="18"/>
              </w:rPr>
              <w:t>EXERCICE FISCAL CONSIDÉRÉ :</w:t>
            </w:r>
          </w:p>
          <w:p w14:paraId="579401A1" w14:textId="77777777" w:rsidR="00112FAB" w:rsidRPr="00E54419" w:rsidRDefault="00112FAB" w:rsidP="00D01B65">
            <w:pPr>
              <w:widowControl w:val="0"/>
              <w:autoSpaceDE w:val="0"/>
              <w:autoSpaceDN w:val="0"/>
              <w:adjustRightInd w:val="0"/>
              <w:jc w:val="both"/>
              <w:rPr>
                <w:sz w:val="18"/>
                <w:szCs w:val="18"/>
              </w:rPr>
            </w:pPr>
            <w:r w:rsidRPr="00E54419">
              <w:rPr>
                <w:sz w:val="18"/>
                <w:szCs w:val="18"/>
              </w:rPr>
              <w:t>MONNAIE UTILISÉE :</w:t>
            </w:r>
          </w:p>
        </w:tc>
      </w:tr>
      <w:tr w:rsidR="00112FAB" w:rsidRPr="00E54419" w14:paraId="132CBD1A" w14:textId="77777777" w:rsidTr="000D3D30">
        <w:tc>
          <w:tcPr>
            <w:tcW w:w="988" w:type="dxa"/>
            <w:vMerge w:val="restart"/>
            <w:shd w:val="clear" w:color="auto" w:fill="auto"/>
          </w:tcPr>
          <w:p w14:paraId="3D11721E"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Juridiction fiscale</w:t>
            </w:r>
          </w:p>
        </w:tc>
        <w:tc>
          <w:tcPr>
            <w:tcW w:w="3260" w:type="dxa"/>
            <w:gridSpan w:val="3"/>
            <w:shd w:val="clear" w:color="auto" w:fill="auto"/>
          </w:tcPr>
          <w:p w14:paraId="6153BB65"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Chiffre d’affaires</w:t>
            </w:r>
          </w:p>
        </w:tc>
        <w:tc>
          <w:tcPr>
            <w:tcW w:w="1276" w:type="dxa"/>
            <w:vMerge w:val="restart"/>
            <w:shd w:val="clear" w:color="auto" w:fill="auto"/>
          </w:tcPr>
          <w:p w14:paraId="6448EB01"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Bénéfice (perte) avant impôt</w:t>
            </w:r>
          </w:p>
        </w:tc>
        <w:tc>
          <w:tcPr>
            <w:tcW w:w="1559" w:type="dxa"/>
            <w:vMerge w:val="restart"/>
            <w:shd w:val="clear" w:color="auto" w:fill="auto"/>
          </w:tcPr>
          <w:p w14:paraId="5C6C72FB"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Impôt sur les bénéfices acquittés (sur la base des règlements effectifs</w:t>
            </w:r>
          </w:p>
        </w:tc>
        <w:tc>
          <w:tcPr>
            <w:tcW w:w="1276" w:type="dxa"/>
            <w:vMerge w:val="restart"/>
            <w:shd w:val="clear" w:color="auto" w:fill="auto"/>
          </w:tcPr>
          <w:p w14:paraId="4783FD6C"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Impôts sur les bénéfices dus (année en cours)</w:t>
            </w:r>
          </w:p>
        </w:tc>
        <w:tc>
          <w:tcPr>
            <w:tcW w:w="1275" w:type="dxa"/>
            <w:vMerge w:val="restart"/>
            <w:shd w:val="clear" w:color="auto" w:fill="auto"/>
          </w:tcPr>
          <w:p w14:paraId="2D9DE3D7"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Capital social</w:t>
            </w:r>
          </w:p>
        </w:tc>
        <w:tc>
          <w:tcPr>
            <w:tcW w:w="1134" w:type="dxa"/>
            <w:vMerge w:val="restart"/>
            <w:shd w:val="clear" w:color="auto" w:fill="auto"/>
          </w:tcPr>
          <w:p w14:paraId="1D3A6D26"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Bénéfices non distribués</w:t>
            </w:r>
          </w:p>
        </w:tc>
        <w:tc>
          <w:tcPr>
            <w:tcW w:w="1134" w:type="dxa"/>
            <w:vMerge w:val="restart"/>
            <w:shd w:val="clear" w:color="auto" w:fill="auto"/>
          </w:tcPr>
          <w:p w14:paraId="657A0D90"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Nombre d’employés</w:t>
            </w:r>
          </w:p>
        </w:tc>
        <w:tc>
          <w:tcPr>
            <w:tcW w:w="1418" w:type="dxa"/>
            <w:vMerge w:val="restart"/>
            <w:shd w:val="clear" w:color="auto" w:fill="auto"/>
          </w:tcPr>
          <w:p w14:paraId="16674773"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Actifs corporels (hors trésorerie et équivalents de trésorerie)</w:t>
            </w:r>
          </w:p>
        </w:tc>
      </w:tr>
      <w:tr w:rsidR="00112FAB" w:rsidRPr="00E54419" w14:paraId="64A27F74" w14:textId="77777777" w:rsidTr="000D3D30">
        <w:tc>
          <w:tcPr>
            <w:tcW w:w="988" w:type="dxa"/>
            <w:vMerge/>
            <w:shd w:val="clear" w:color="auto" w:fill="auto"/>
          </w:tcPr>
          <w:p w14:paraId="365F5C5F" w14:textId="77777777" w:rsidR="00112FAB" w:rsidRPr="00023267" w:rsidRDefault="00112FAB" w:rsidP="00D01B65">
            <w:pPr>
              <w:widowControl w:val="0"/>
              <w:autoSpaceDE w:val="0"/>
              <w:autoSpaceDN w:val="0"/>
              <w:adjustRightInd w:val="0"/>
              <w:jc w:val="center"/>
              <w:rPr>
                <w:sz w:val="18"/>
                <w:szCs w:val="18"/>
              </w:rPr>
            </w:pPr>
          </w:p>
        </w:tc>
        <w:tc>
          <w:tcPr>
            <w:tcW w:w="1176" w:type="dxa"/>
            <w:shd w:val="clear" w:color="auto" w:fill="auto"/>
          </w:tcPr>
          <w:p w14:paraId="03677EC2"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Partie indépendante</w:t>
            </w:r>
          </w:p>
        </w:tc>
        <w:tc>
          <w:tcPr>
            <w:tcW w:w="1092" w:type="dxa"/>
            <w:shd w:val="clear" w:color="auto" w:fill="auto"/>
          </w:tcPr>
          <w:p w14:paraId="34768E93"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Par</w:t>
            </w:r>
            <w:r>
              <w:rPr>
                <w:sz w:val="18"/>
                <w:szCs w:val="18"/>
              </w:rPr>
              <w:t>t</w:t>
            </w:r>
            <w:r w:rsidRPr="00023267">
              <w:rPr>
                <w:sz w:val="18"/>
                <w:szCs w:val="18"/>
              </w:rPr>
              <w:t>ie liée</w:t>
            </w:r>
          </w:p>
        </w:tc>
        <w:tc>
          <w:tcPr>
            <w:tcW w:w="992" w:type="dxa"/>
            <w:shd w:val="clear" w:color="auto" w:fill="auto"/>
          </w:tcPr>
          <w:p w14:paraId="43487CC9" w14:textId="77777777" w:rsidR="00112FAB" w:rsidRPr="00023267" w:rsidRDefault="00112FAB" w:rsidP="00D01B65">
            <w:pPr>
              <w:widowControl w:val="0"/>
              <w:autoSpaceDE w:val="0"/>
              <w:autoSpaceDN w:val="0"/>
              <w:adjustRightInd w:val="0"/>
              <w:jc w:val="center"/>
              <w:rPr>
                <w:sz w:val="18"/>
                <w:szCs w:val="18"/>
              </w:rPr>
            </w:pPr>
            <w:r w:rsidRPr="00023267">
              <w:rPr>
                <w:sz w:val="18"/>
                <w:szCs w:val="18"/>
              </w:rPr>
              <w:t>Total</w:t>
            </w:r>
          </w:p>
        </w:tc>
        <w:tc>
          <w:tcPr>
            <w:tcW w:w="1276" w:type="dxa"/>
            <w:vMerge/>
            <w:shd w:val="clear" w:color="auto" w:fill="auto"/>
          </w:tcPr>
          <w:p w14:paraId="4EE80DA0" w14:textId="77777777" w:rsidR="00112FAB" w:rsidRPr="00023267" w:rsidRDefault="00112FAB" w:rsidP="00D01B65">
            <w:pPr>
              <w:widowControl w:val="0"/>
              <w:autoSpaceDE w:val="0"/>
              <w:autoSpaceDN w:val="0"/>
              <w:adjustRightInd w:val="0"/>
              <w:jc w:val="center"/>
              <w:rPr>
                <w:sz w:val="18"/>
                <w:szCs w:val="18"/>
              </w:rPr>
            </w:pPr>
          </w:p>
        </w:tc>
        <w:tc>
          <w:tcPr>
            <w:tcW w:w="1559" w:type="dxa"/>
            <w:vMerge/>
            <w:shd w:val="clear" w:color="auto" w:fill="auto"/>
          </w:tcPr>
          <w:p w14:paraId="375F8E77" w14:textId="77777777" w:rsidR="00112FAB" w:rsidRPr="00023267" w:rsidRDefault="00112FAB" w:rsidP="00D01B65">
            <w:pPr>
              <w:widowControl w:val="0"/>
              <w:autoSpaceDE w:val="0"/>
              <w:autoSpaceDN w:val="0"/>
              <w:adjustRightInd w:val="0"/>
              <w:jc w:val="center"/>
              <w:rPr>
                <w:sz w:val="18"/>
                <w:szCs w:val="18"/>
              </w:rPr>
            </w:pPr>
          </w:p>
        </w:tc>
        <w:tc>
          <w:tcPr>
            <w:tcW w:w="1276" w:type="dxa"/>
            <w:vMerge/>
            <w:shd w:val="clear" w:color="auto" w:fill="auto"/>
          </w:tcPr>
          <w:p w14:paraId="67E92ED0" w14:textId="77777777" w:rsidR="00112FAB" w:rsidRPr="00023267" w:rsidRDefault="00112FAB" w:rsidP="00D01B65">
            <w:pPr>
              <w:widowControl w:val="0"/>
              <w:autoSpaceDE w:val="0"/>
              <w:autoSpaceDN w:val="0"/>
              <w:adjustRightInd w:val="0"/>
              <w:jc w:val="center"/>
              <w:rPr>
                <w:sz w:val="18"/>
                <w:szCs w:val="18"/>
              </w:rPr>
            </w:pPr>
          </w:p>
        </w:tc>
        <w:tc>
          <w:tcPr>
            <w:tcW w:w="1275" w:type="dxa"/>
            <w:vMerge/>
            <w:shd w:val="clear" w:color="auto" w:fill="auto"/>
          </w:tcPr>
          <w:p w14:paraId="77B5DB9E" w14:textId="77777777" w:rsidR="00112FAB" w:rsidRPr="00023267" w:rsidRDefault="00112FAB" w:rsidP="00D01B65">
            <w:pPr>
              <w:widowControl w:val="0"/>
              <w:autoSpaceDE w:val="0"/>
              <w:autoSpaceDN w:val="0"/>
              <w:adjustRightInd w:val="0"/>
              <w:jc w:val="center"/>
              <w:rPr>
                <w:sz w:val="18"/>
                <w:szCs w:val="18"/>
              </w:rPr>
            </w:pPr>
          </w:p>
        </w:tc>
        <w:tc>
          <w:tcPr>
            <w:tcW w:w="1134" w:type="dxa"/>
            <w:vMerge/>
            <w:shd w:val="clear" w:color="auto" w:fill="auto"/>
          </w:tcPr>
          <w:p w14:paraId="16B7387C" w14:textId="77777777" w:rsidR="00112FAB" w:rsidRPr="00023267" w:rsidRDefault="00112FAB" w:rsidP="00D01B65">
            <w:pPr>
              <w:widowControl w:val="0"/>
              <w:autoSpaceDE w:val="0"/>
              <w:autoSpaceDN w:val="0"/>
              <w:adjustRightInd w:val="0"/>
              <w:jc w:val="center"/>
              <w:rPr>
                <w:sz w:val="18"/>
                <w:szCs w:val="18"/>
              </w:rPr>
            </w:pPr>
          </w:p>
        </w:tc>
        <w:tc>
          <w:tcPr>
            <w:tcW w:w="1134" w:type="dxa"/>
            <w:vMerge/>
            <w:shd w:val="clear" w:color="auto" w:fill="auto"/>
          </w:tcPr>
          <w:p w14:paraId="0DFE98BC" w14:textId="77777777" w:rsidR="00112FAB" w:rsidRPr="00023267" w:rsidRDefault="00112FAB" w:rsidP="00D01B65">
            <w:pPr>
              <w:widowControl w:val="0"/>
              <w:autoSpaceDE w:val="0"/>
              <w:autoSpaceDN w:val="0"/>
              <w:adjustRightInd w:val="0"/>
              <w:jc w:val="center"/>
              <w:rPr>
                <w:sz w:val="18"/>
                <w:szCs w:val="18"/>
              </w:rPr>
            </w:pPr>
          </w:p>
        </w:tc>
        <w:tc>
          <w:tcPr>
            <w:tcW w:w="1418" w:type="dxa"/>
            <w:vMerge/>
            <w:shd w:val="clear" w:color="auto" w:fill="auto"/>
          </w:tcPr>
          <w:p w14:paraId="7B3613CC" w14:textId="77777777" w:rsidR="00112FAB" w:rsidRPr="00023267" w:rsidRDefault="00112FAB" w:rsidP="00D01B65">
            <w:pPr>
              <w:widowControl w:val="0"/>
              <w:autoSpaceDE w:val="0"/>
              <w:autoSpaceDN w:val="0"/>
              <w:adjustRightInd w:val="0"/>
              <w:jc w:val="center"/>
              <w:rPr>
                <w:sz w:val="18"/>
                <w:szCs w:val="18"/>
              </w:rPr>
            </w:pPr>
          </w:p>
        </w:tc>
      </w:tr>
      <w:tr w:rsidR="00112FAB" w:rsidRPr="00E54419" w14:paraId="2DDB3CC2" w14:textId="77777777" w:rsidTr="000D3D30">
        <w:tc>
          <w:tcPr>
            <w:tcW w:w="988" w:type="dxa"/>
            <w:shd w:val="clear" w:color="auto" w:fill="auto"/>
          </w:tcPr>
          <w:p w14:paraId="49007934" w14:textId="77777777" w:rsidR="00112FAB" w:rsidRPr="00023267" w:rsidRDefault="00112FAB" w:rsidP="00D01B65">
            <w:pPr>
              <w:widowControl w:val="0"/>
              <w:autoSpaceDE w:val="0"/>
              <w:autoSpaceDN w:val="0"/>
              <w:adjustRightInd w:val="0"/>
              <w:jc w:val="both"/>
              <w:rPr>
                <w:sz w:val="18"/>
                <w:szCs w:val="18"/>
              </w:rPr>
            </w:pPr>
          </w:p>
        </w:tc>
        <w:tc>
          <w:tcPr>
            <w:tcW w:w="1176" w:type="dxa"/>
            <w:shd w:val="clear" w:color="auto" w:fill="auto"/>
          </w:tcPr>
          <w:p w14:paraId="3236A798" w14:textId="77777777" w:rsidR="00112FAB" w:rsidRPr="00023267" w:rsidRDefault="00112FAB" w:rsidP="00D01B65">
            <w:pPr>
              <w:widowControl w:val="0"/>
              <w:autoSpaceDE w:val="0"/>
              <w:autoSpaceDN w:val="0"/>
              <w:adjustRightInd w:val="0"/>
              <w:jc w:val="both"/>
              <w:rPr>
                <w:sz w:val="18"/>
                <w:szCs w:val="18"/>
              </w:rPr>
            </w:pPr>
          </w:p>
        </w:tc>
        <w:tc>
          <w:tcPr>
            <w:tcW w:w="1092" w:type="dxa"/>
            <w:shd w:val="clear" w:color="auto" w:fill="auto"/>
          </w:tcPr>
          <w:p w14:paraId="75C834AD" w14:textId="77777777" w:rsidR="00112FAB" w:rsidRPr="00023267" w:rsidRDefault="00112FAB" w:rsidP="00D01B65">
            <w:pPr>
              <w:widowControl w:val="0"/>
              <w:autoSpaceDE w:val="0"/>
              <w:autoSpaceDN w:val="0"/>
              <w:adjustRightInd w:val="0"/>
              <w:jc w:val="both"/>
              <w:rPr>
                <w:sz w:val="18"/>
                <w:szCs w:val="18"/>
              </w:rPr>
            </w:pPr>
          </w:p>
        </w:tc>
        <w:tc>
          <w:tcPr>
            <w:tcW w:w="992" w:type="dxa"/>
            <w:shd w:val="clear" w:color="auto" w:fill="auto"/>
          </w:tcPr>
          <w:p w14:paraId="1C99D579"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549F49EA" w14:textId="77777777" w:rsidR="00112FAB" w:rsidRPr="00023267" w:rsidRDefault="00112FAB" w:rsidP="00D01B65">
            <w:pPr>
              <w:widowControl w:val="0"/>
              <w:autoSpaceDE w:val="0"/>
              <w:autoSpaceDN w:val="0"/>
              <w:adjustRightInd w:val="0"/>
              <w:jc w:val="both"/>
              <w:rPr>
                <w:sz w:val="18"/>
                <w:szCs w:val="18"/>
              </w:rPr>
            </w:pPr>
          </w:p>
        </w:tc>
        <w:tc>
          <w:tcPr>
            <w:tcW w:w="1559" w:type="dxa"/>
            <w:shd w:val="clear" w:color="auto" w:fill="auto"/>
          </w:tcPr>
          <w:p w14:paraId="7DE3705E"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195AC89A" w14:textId="77777777" w:rsidR="00112FAB" w:rsidRPr="00023267" w:rsidRDefault="00112FAB" w:rsidP="00D01B65">
            <w:pPr>
              <w:widowControl w:val="0"/>
              <w:autoSpaceDE w:val="0"/>
              <w:autoSpaceDN w:val="0"/>
              <w:adjustRightInd w:val="0"/>
              <w:jc w:val="both"/>
              <w:rPr>
                <w:sz w:val="18"/>
                <w:szCs w:val="18"/>
              </w:rPr>
            </w:pPr>
          </w:p>
        </w:tc>
        <w:tc>
          <w:tcPr>
            <w:tcW w:w="1275" w:type="dxa"/>
            <w:shd w:val="clear" w:color="auto" w:fill="auto"/>
          </w:tcPr>
          <w:p w14:paraId="4ACE7890"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6DF40420"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454F3B55" w14:textId="77777777" w:rsidR="00112FAB" w:rsidRPr="00023267" w:rsidRDefault="00112FAB" w:rsidP="00D01B65">
            <w:pPr>
              <w:widowControl w:val="0"/>
              <w:autoSpaceDE w:val="0"/>
              <w:autoSpaceDN w:val="0"/>
              <w:adjustRightInd w:val="0"/>
              <w:jc w:val="both"/>
              <w:rPr>
                <w:sz w:val="18"/>
                <w:szCs w:val="18"/>
              </w:rPr>
            </w:pPr>
          </w:p>
        </w:tc>
        <w:tc>
          <w:tcPr>
            <w:tcW w:w="1418" w:type="dxa"/>
            <w:shd w:val="clear" w:color="auto" w:fill="auto"/>
          </w:tcPr>
          <w:p w14:paraId="0BA40187" w14:textId="77777777" w:rsidR="00112FAB" w:rsidRPr="00023267" w:rsidRDefault="00112FAB" w:rsidP="00D01B65">
            <w:pPr>
              <w:widowControl w:val="0"/>
              <w:autoSpaceDE w:val="0"/>
              <w:autoSpaceDN w:val="0"/>
              <w:adjustRightInd w:val="0"/>
              <w:jc w:val="both"/>
              <w:rPr>
                <w:sz w:val="18"/>
                <w:szCs w:val="18"/>
              </w:rPr>
            </w:pPr>
          </w:p>
        </w:tc>
      </w:tr>
      <w:tr w:rsidR="00112FAB" w:rsidRPr="00E54419" w14:paraId="307F506E" w14:textId="77777777" w:rsidTr="000D3D30">
        <w:tc>
          <w:tcPr>
            <w:tcW w:w="988" w:type="dxa"/>
            <w:shd w:val="clear" w:color="auto" w:fill="auto"/>
          </w:tcPr>
          <w:p w14:paraId="4EB6B877" w14:textId="77777777" w:rsidR="00112FAB" w:rsidRPr="00023267" w:rsidRDefault="00112FAB" w:rsidP="00D01B65">
            <w:pPr>
              <w:widowControl w:val="0"/>
              <w:autoSpaceDE w:val="0"/>
              <w:autoSpaceDN w:val="0"/>
              <w:adjustRightInd w:val="0"/>
              <w:jc w:val="both"/>
              <w:rPr>
                <w:sz w:val="18"/>
                <w:szCs w:val="18"/>
              </w:rPr>
            </w:pPr>
          </w:p>
        </w:tc>
        <w:tc>
          <w:tcPr>
            <w:tcW w:w="1176" w:type="dxa"/>
            <w:shd w:val="clear" w:color="auto" w:fill="auto"/>
          </w:tcPr>
          <w:p w14:paraId="52CF8CD7" w14:textId="77777777" w:rsidR="00112FAB" w:rsidRPr="00023267" w:rsidRDefault="00112FAB" w:rsidP="00D01B65">
            <w:pPr>
              <w:widowControl w:val="0"/>
              <w:autoSpaceDE w:val="0"/>
              <w:autoSpaceDN w:val="0"/>
              <w:adjustRightInd w:val="0"/>
              <w:jc w:val="both"/>
              <w:rPr>
                <w:sz w:val="18"/>
                <w:szCs w:val="18"/>
              </w:rPr>
            </w:pPr>
          </w:p>
        </w:tc>
        <w:tc>
          <w:tcPr>
            <w:tcW w:w="1092" w:type="dxa"/>
            <w:shd w:val="clear" w:color="auto" w:fill="auto"/>
          </w:tcPr>
          <w:p w14:paraId="7F5AE540" w14:textId="77777777" w:rsidR="00112FAB" w:rsidRPr="00023267" w:rsidRDefault="00112FAB" w:rsidP="00D01B65">
            <w:pPr>
              <w:widowControl w:val="0"/>
              <w:autoSpaceDE w:val="0"/>
              <w:autoSpaceDN w:val="0"/>
              <w:adjustRightInd w:val="0"/>
              <w:jc w:val="both"/>
              <w:rPr>
                <w:sz w:val="18"/>
                <w:szCs w:val="18"/>
              </w:rPr>
            </w:pPr>
          </w:p>
        </w:tc>
        <w:tc>
          <w:tcPr>
            <w:tcW w:w="992" w:type="dxa"/>
            <w:shd w:val="clear" w:color="auto" w:fill="auto"/>
          </w:tcPr>
          <w:p w14:paraId="5D19BD96"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3F8B0EB7" w14:textId="77777777" w:rsidR="00112FAB" w:rsidRPr="00023267" w:rsidRDefault="00112FAB" w:rsidP="00D01B65">
            <w:pPr>
              <w:widowControl w:val="0"/>
              <w:autoSpaceDE w:val="0"/>
              <w:autoSpaceDN w:val="0"/>
              <w:adjustRightInd w:val="0"/>
              <w:jc w:val="both"/>
              <w:rPr>
                <w:sz w:val="18"/>
                <w:szCs w:val="18"/>
              </w:rPr>
            </w:pPr>
          </w:p>
        </w:tc>
        <w:tc>
          <w:tcPr>
            <w:tcW w:w="1559" w:type="dxa"/>
            <w:shd w:val="clear" w:color="auto" w:fill="auto"/>
          </w:tcPr>
          <w:p w14:paraId="54C0598C"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72382C3E" w14:textId="77777777" w:rsidR="00112FAB" w:rsidRPr="00023267" w:rsidRDefault="00112FAB" w:rsidP="00D01B65">
            <w:pPr>
              <w:widowControl w:val="0"/>
              <w:autoSpaceDE w:val="0"/>
              <w:autoSpaceDN w:val="0"/>
              <w:adjustRightInd w:val="0"/>
              <w:jc w:val="both"/>
              <w:rPr>
                <w:sz w:val="18"/>
                <w:szCs w:val="18"/>
              </w:rPr>
            </w:pPr>
          </w:p>
        </w:tc>
        <w:tc>
          <w:tcPr>
            <w:tcW w:w="1275" w:type="dxa"/>
            <w:shd w:val="clear" w:color="auto" w:fill="auto"/>
          </w:tcPr>
          <w:p w14:paraId="7006454D"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3B9D81B3"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24858B11" w14:textId="77777777" w:rsidR="00112FAB" w:rsidRPr="00023267" w:rsidRDefault="00112FAB" w:rsidP="00D01B65">
            <w:pPr>
              <w:widowControl w:val="0"/>
              <w:autoSpaceDE w:val="0"/>
              <w:autoSpaceDN w:val="0"/>
              <w:adjustRightInd w:val="0"/>
              <w:jc w:val="both"/>
              <w:rPr>
                <w:sz w:val="18"/>
                <w:szCs w:val="18"/>
              </w:rPr>
            </w:pPr>
          </w:p>
        </w:tc>
        <w:tc>
          <w:tcPr>
            <w:tcW w:w="1418" w:type="dxa"/>
            <w:shd w:val="clear" w:color="auto" w:fill="auto"/>
          </w:tcPr>
          <w:p w14:paraId="3234D941" w14:textId="77777777" w:rsidR="00112FAB" w:rsidRPr="00023267" w:rsidRDefault="00112FAB" w:rsidP="00D01B65">
            <w:pPr>
              <w:widowControl w:val="0"/>
              <w:autoSpaceDE w:val="0"/>
              <w:autoSpaceDN w:val="0"/>
              <w:adjustRightInd w:val="0"/>
              <w:jc w:val="both"/>
              <w:rPr>
                <w:sz w:val="18"/>
                <w:szCs w:val="18"/>
              </w:rPr>
            </w:pPr>
          </w:p>
        </w:tc>
      </w:tr>
      <w:tr w:rsidR="00112FAB" w:rsidRPr="00E54419" w14:paraId="7D2F3E0D" w14:textId="77777777" w:rsidTr="000D3D30">
        <w:tc>
          <w:tcPr>
            <w:tcW w:w="988" w:type="dxa"/>
            <w:shd w:val="clear" w:color="auto" w:fill="auto"/>
          </w:tcPr>
          <w:p w14:paraId="1F3D602F" w14:textId="77777777" w:rsidR="00112FAB" w:rsidRPr="00023267" w:rsidRDefault="00112FAB" w:rsidP="00D01B65">
            <w:pPr>
              <w:widowControl w:val="0"/>
              <w:autoSpaceDE w:val="0"/>
              <w:autoSpaceDN w:val="0"/>
              <w:adjustRightInd w:val="0"/>
              <w:jc w:val="both"/>
              <w:rPr>
                <w:sz w:val="18"/>
                <w:szCs w:val="18"/>
              </w:rPr>
            </w:pPr>
          </w:p>
        </w:tc>
        <w:tc>
          <w:tcPr>
            <w:tcW w:w="1176" w:type="dxa"/>
            <w:shd w:val="clear" w:color="auto" w:fill="auto"/>
          </w:tcPr>
          <w:p w14:paraId="109FA4D9" w14:textId="77777777" w:rsidR="00112FAB" w:rsidRPr="00023267" w:rsidRDefault="00112FAB" w:rsidP="00D01B65">
            <w:pPr>
              <w:widowControl w:val="0"/>
              <w:autoSpaceDE w:val="0"/>
              <w:autoSpaceDN w:val="0"/>
              <w:adjustRightInd w:val="0"/>
              <w:jc w:val="both"/>
              <w:rPr>
                <w:sz w:val="18"/>
                <w:szCs w:val="18"/>
              </w:rPr>
            </w:pPr>
          </w:p>
        </w:tc>
        <w:tc>
          <w:tcPr>
            <w:tcW w:w="1092" w:type="dxa"/>
            <w:shd w:val="clear" w:color="auto" w:fill="auto"/>
          </w:tcPr>
          <w:p w14:paraId="5783CE08" w14:textId="77777777" w:rsidR="00112FAB" w:rsidRPr="00023267" w:rsidRDefault="00112FAB" w:rsidP="00D01B65">
            <w:pPr>
              <w:widowControl w:val="0"/>
              <w:autoSpaceDE w:val="0"/>
              <w:autoSpaceDN w:val="0"/>
              <w:adjustRightInd w:val="0"/>
              <w:jc w:val="both"/>
              <w:rPr>
                <w:sz w:val="18"/>
                <w:szCs w:val="18"/>
              </w:rPr>
            </w:pPr>
          </w:p>
        </w:tc>
        <w:tc>
          <w:tcPr>
            <w:tcW w:w="992" w:type="dxa"/>
            <w:shd w:val="clear" w:color="auto" w:fill="auto"/>
          </w:tcPr>
          <w:p w14:paraId="7683E165"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3C6ACD63" w14:textId="77777777" w:rsidR="00112FAB" w:rsidRPr="00023267" w:rsidRDefault="00112FAB" w:rsidP="00D01B65">
            <w:pPr>
              <w:widowControl w:val="0"/>
              <w:autoSpaceDE w:val="0"/>
              <w:autoSpaceDN w:val="0"/>
              <w:adjustRightInd w:val="0"/>
              <w:jc w:val="both"/>
              <w:rPr>
                <w:sz w:val="18"/>
                <w:szCs w:val="18"/>
              </w:rPr>
            </w:pPr>
          </w:p>
        </w:tc>
        <w:tc>
          <w:tcPr>
            <w:tcW w:w="1559" w:type="dxa"/>
            <w:shd w:val="clear" w:color="auto" w:fill="auto"/>
          </w:tcPr>
          <w:p w14:paraId="685625CE"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4BF53DAE" w14:textId="77777777" w:rsidR="00112FAB" w:rsidRPr="00023267" w:rsidRDefault="00112FAB" w:rsidP="00D01B65">
            <w:pPr>
              <w:widowControl w:val="0"/>
              <w:autoSpaceDE w:val="0"/>
              <w:autoSpaceDN w:val="0"/>
              <w:adjustRightInd w:val="0"/>
              <w:jc w:val="both"/>
              <w:rPr>
                <w:sz w:val="18"/>
                <w:szCs w:val="18"/>
              </w:rPr>
            </w:pPr>
          </w:p>
        </w:tc>
        <w:tc>
          <w:tcPr>
            <w:tcW w:w="1275" w:type="dxa"/>
            <w:shd w:val="clear" w:color="auto" w:fill="auto"/>
          </w:tcPr>
          <w:p w14:paraId="1A4C20FE"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759A6F83"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40B4DA1E" w14:textId="77777777" w:rsidR="00112FAB" w:rsidRPr="00023267" w:rsidRDefault="00112FAB" w:rsidP="00D01B65">
            <w:pPr>
              <w:widowControl w:val="0"/>
              <w:autoSpaceDE w:val="0"/>
              <w:autoSpaceDN w:val="0"/>
              <w:adjustRightInd w:val="0"/>
              <w:jc w:val="both"/>
              <w:rPr>
                <w:sz w:val="18"/>
                <w:szCs w:val="18"/>
              </w:rPr>
            </w:pPr>
          </w:p>
        </w:tc>
        <w:tc>
          <w:tcPr>
            <w:tcW w:w="1418" w:type="dxa"/>
            <w:shd w:val="clear" w:color="auto" w:fill="auto"/>
          </w:tcPr>
          <w:p w14:paraId="75208F88" w14:textId="77777777" w:rsidR="00112FAB" w:rsidRPr="00023267" w:rsidRDefault="00112FAB" w:rsidP="00D01B65">
            <w:pPr>
              <w:widowControl w:val="0"/>
              <w:autoSpaceDE w:val="0"/>
              <w:autoSpaceDN w:val="0"/>
              <w:adjustRightInd w:val="0"/>
              <w:jc w:val="both"/>
              <w:rPr>
                <w:sz w:val="18"/>
                <w:szCs w:val="18"/>
              </w:rPr>
            </w:pPr>
          </w:p>
        </w:tc>
      </w:tr>
      <w:tr w:rsidR="00112FAB" w:rsidRPr="00E54419" w14:paraId="2FD574A8" w14:textId="77777777" w:rsidTr="000D3D30">
        <w:tc>
          <w:tcPr>
            <w:tcW w:w="988" w:type="dxa"/>
            <w:shd w:val="clear" w:color="auto" w:fill="auto"/>
          </w:tcPr>
          <w:p w14:paraId="186C7D6C" w14:textId="77777777" w:rsidR="00112FAB" w:rsidRPr="00023267" w:rsidRDefault="00112FAB" w:rsidP="00D01B65">
            <w:pPr>
              <w:widowControl w:val="0"/>
              <w:autoSpaceDE w:val="0"/>
              <w:autoSpaceDN w:val="0"/>
              <w:adjustRightInd w:val="0"/>
              <w:jc w:val="both"/>
              <w:rPr>
                <w:sz w:val="18"/>
                <w:szCs w:val="18"/>
              </w:rPr>
            </w:pPr>
          </w:p>
        </w:tc>
        <w:tc>
          <w:tcPr>
            <w:tcW w:w="1176" w:type="dxa"/>
            <w:shd w:val="clear" w:color="auto" w:fill="auto"/>
          </w:tcPr>
          <w:p w14:paraId="15146616" w14:textId="77777777" w:rsidR="00112FAB" w:rsidRPr="00023267" w:rsidRDefault="00112FAB" w:rsidP="00D01B65">
            <w:pPr>
              <w:widowControl w:val="0"/>
              <w:autoSpaceDE w:val="0"/>
              <w:autoSpaceDN w:val="0"/>
              <w:adjustRightInd w:val="0"/>
              <w:jc w:val="both"/>
              <w:rPr>
                <w:sz w:val="18"/>
                <w:szCs w:val="18"/>
              </w:rPr>
            </w:pPr>
          </w:p>
        </w:tc>
        <w:tc>
          <w:tcPr>
            <w:tcW w:w="1092" w:type="dxa"/>
            <w:shd w:val="clear" w:color="auto" w:fill="auto"/>
          </w:tcPr>
          <w:p w14:paraId="4A9D2944" w14:textId="77777777" w:rsidR="00112FAB" w:rsidRPr="00023267" w:rsidRDefault="00112FAB" w:rsidP="00D01B65">
            <w:pPr>
              <w:widowControl w:val="0"/>
              <w:autoSpaceDE w:val="0"/>
              <w:autoSpaceDN w:val="0"/>
              <w:adjustRightInd w:val="0"/>
              <w:jc w:val="both"/>
              <w:rPr>
                <w:sz w:val="18"/>
                <w:szCs w:val="18"/>
              </w:rPr>
            </w:pPr>
          </w:p>
        </w:tc>
        <w:tc>
          <w:tcPr>
            <w:tcW w:w="992" w:type="dxa"/>
            <w:shd w:val="clear" w:color="auto" w:fill="auto"/>
          </w:tcPr>
          <w:p w14:paraId="0A44F64A"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12A92D88" w14:textId="77777777" w:rsidR="00112FAB" w:rsidRPr="00023267" w:rsidRDefault="00112FAB" w:rsidP="00D01B65">
            <w:pPr>
              <w:widowControl w:val="0"/>
              <w:autoSpaceDE w:val="0"/>
              <w:autoSpaceDN w:val="0"/>
              <w:adjustRightInd w:val="0"/>
              <w:jc w:val="both"/>
              <w:rPr>
                <w:sz w:val="18"/>
                <w:szCs w:val="18"/>
              </w:rPr>
            </w:pPr>
          </w:p>
        </w:tc>
        <w:tc>
          <w:tcPr>
            <w:tcW w:w="1559" w:type="dxa"/>
            <w:shd w:val="clear" w:color="auto" w:fill="auto"/>
          </w:tcPr>
          <w:p w14:paraId="7F447A2B" w14:textId="77777777" w:rsidR="00112FAB" w:rsidRPr="00023267" w:rsidRDefault="00112FAB" w:rsidP="00D01B65">
            <w:pPr>
              <w:widowControl w:val="0"/>
              <w:autoSpaceDE w:val="0"/>
              <w:autoSpaceDN w:val="0"/>
              <w:adjustRightInd w:val="0"/>
              <w:jc w:val="both"/>
              <w:rPr>
                <w:sz w:val="18"/>
                <w:szCs w:val="18"/>
              </w:rPr>
            </w:pPr>
          </w:p>
        </w:tc>
        <w:tc>
          <w:tcPr>
            <w:tcW w:w="1276" w:type="dxa"/>
            <w:shd w:val="clear" w:color="auto" w:fill="auto"/>
          </w:tcPr>
          <w:p w14:paraId="010FB391" w14:textId="77777777" w:rsidR="00112FAB" w:rsidRPr="00023267" w:rsidRDefault="00112FAB" w:rsidP="00D01B65">
            <w:pPr>
              <w:widowControl w:val="0"/>
              <w:autoSpaceDE w:val="0"/>
              <w:autoSpaceDN w:val="0"/>
              <w:adjustRightInd w:val="0"/>
              <w:jc w:val="both"/>
              <w:rPr>
                <w:sz w:val="18"/>
                <w:szCs w:val="18"/>
              </w:rPr>
            </w:pPr>
          </w:p>
        </w:tc>
        <w:tc>
          <w:tcPr>
            <w:tcW w:w="1275" w:type="dxa"/>
            <w:shd w:val="clear" w:color="auto" w:fill="auto"/>
          </w:tcPr>
          <w:p w14:paraId="52688389"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0E8B1204" w14:textId="77777777" w:rsidR="00112FAB" w:rsidRPr="00023267" w:rsidRDefault="00112FAB" w:rsidP="00D01B65">
            <w:pPr>
              <w:widowControl w:val="0"/>
              <w:autoSpaceDE w:val="0"/>
              <w:autoSpaceDN w:val="0"/>
              <w:adjustRightInd w:val="0"/>
              <w:jc w:val="both"/>
              <w:rPr>
                <w:sz w:val="18"/>
                <w:szCs w:val="18"/>
              </w:rPr>
            </w:pPr>
          </w:p>
        </w:tc>
        <w:tc>
          <w:tcPr>
            <w:tcW w:w="1134" w:type="dxa"/>
            <w:shd w:val="clear" w:color="auto" w:fill="auto"/>
          </w:tcPr>
          <w:p w14:paraId="083EC9F8" w14:textId="77777777" w:rsidR="00112FAB" w:rsidRPr="00023267" w:rsidRDefault="00112FAB" w:rsidP="00D01B65">
            <w:pPr>
              <w:widowControl w:val="0"/>
              <w:autoSpaceDE w:val="0"/>
              <w:autoSpaceDN w:val="0"/>
              <w:adjustRightInd w:val="0"/>
              <w:jc w:val="both"/>
              <w:rPr>
                <w:sz w:val="18"/>
                <w:szCs w:val="18"/>
              </w:rPr>
            </w:pPr>
          </w:p>
        </w:tc>
        <w:tc>
          <w:tcPr>
            <w:tcW w:w="1418" w:type="dxa"/>
            <w:shd w:val="clear" w:color="auto" w:fill="auto"/>
          </w:tcPr>
          <w:p w14:paraId="6BD6F081" w14:textId="77777777" w:rsidR="00112FAB" w:rsidRPr="00023267" w:rsidRDefault="00112FAB" w:rsidP="00D01B65">
            <w:pPr>
              <w:widowControl w:val="0"/>
              <w:autoSpaceDE w:val="0"/>
              <w:autoSpaceDN w:val="0"/>
              <w:adjustRightInd w:val="0"/>
              <w:jc w:val="both"/>
              <w:rPr>
                <w:sz w:val="18"/>
                <w:szCs w:val="18"/>
              </w:rPr>
            </w:pPr>
          </w:p>
        </w:tc>
      </w:tr>
    </w:tbl>
    <w:p w14:paraId="2AE92B2C" w14:textId="77777777" w:rsidR="00112FAB" w:rsidRDefault="00112FAB" w:rsidP="00112FAB">
      <w:pPr>
        <w:widowControl w:val="0"/>
        <w:autoSpaceDE w:val="0"/>
        <w:autoSpaceDN w:val="0"/>
        <w:adjustRightInd w:val="0"/>
        <w:jc w:val="both"/>
        <w:rPr>
          <w:szCs w:val="22"/>
        </w:rPr>
      </w:pPr>
    </w:p>
    <w:p w14:paraId="4E29FE2A" w14:textId="77777777" w:rsidR="00112FAB" w:rsidRDefault="00112FAB" w:rsidP="00112FAB">
      <w:pPr>
        <w:widowControl w:val="0"/>
        <w:autoSpaceDE w:val="0"/>
        <w:autoSpaceDN w:val="0"/>
        <w:adjustRightInd w:val="0"/>
        <w:jc w:val="both"/>
        <w:rPr>
          <w:szCs w:val="22"/>
        </w:rPr>
      </w:pPr>
    </w:p>
    <w:p w14:paraId="3C088087" w14:textId="77777777" w:rsidR="00112FAB" w:rsidRPr="00552CE6" w:rsidRDefault="00112FAB" w:rsidP="00112FAB">
      <w:pPr>
        <w:pStyle w:val="Corpsdetexte"/>
        <w:tabs>
          <w:tab w:val="left" w:pos="426"/>
        </w:tabs>
        <w:spacing w:after="0"/>
        <w:jc w:val="center"/>
        <w:rPr>
          <w:b/>
          <w:sz w:val="28"/>
          <w:szCs w:val="28"/>
        </w:rPr>
      </w:pPr>
      <w:r w:rsidRPr="00D00047">
        <w:rPr>
          <w:b/>
          <w:sz w:val="20"/>
          <w:szCs w:val="20"/>
        </w:rPr>
        <w:t>TABLEAU 2 : Liste de toutes les entités constitutives du groupe d’entreprises multinationales cor</w:t>
      </w:r>
      <w:r>
        <w:rPr>
          <w:b/>
          <w:sz w:val="20"/>
          <w:szCs w:val="20"/>
        </w:rPr>
        <w:t>respondant aux données agrégées</w:t>
      </w:r>
    </w:p>
    <w:p w14:paraId="2D378AC5" w14:textId="77777777" w:rsidR="00112FAB" w:rsidRPr="00D00047" w:rsidRDefault="00112FAB" w:rsidP="00112FAB">
      <w:pPr>
        <w:pStyle w:val="Corpsdetexte"/>
        <w:tabs>
          <w:tab w:val="left" w:pos="426"/>
        </w:tabs>
        <w:spacing w:after="0"/>
        <w:jc w:val="center"/>
        <w:rPr>
          <w:b/>
          <w:sz w:val="20"/>
          <w:szCs w:val="20"/>
        </w:rPr>
      </w:pPr>
      <w:proofErr w:type="gramStart"/>
      <w:r w:rsidRPr="00D00047">
        <w:rPr>
          <w:b/>
          <w:sz w:val="20"/>
          <w:szCs w:val="20"/>
        </w:rPr>
        <w:t>par</w:t>
      </w:r>
      <w:proofErr w:type="gramEnd"/>
      <w:r w:rsidRPr="00D00047">
        <w:rPr>
          <w:b/>
          <w:sz w:val="20"/>
          <w:szCs w:val="20"/>
        </w:rPr>
        <w:t xml:space="preserve"> juridiction fiscale</w:t>
      </w:r>
    </w:p>
    <w:tbl>
      <w:tblPr>
        <w:tblW w:w="14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0"/>
        <w:gridCol w:w="1490"/>
        <w:gridCol w:w="1294"/>
        <w:gridCol w:w="1201"/>
        <w:gridCol w:w="825"/>
        <w:gridCol w:w="737"/>
        <w:gridCol w:w="737"/>
        <w:gridCol w:w="825"/>
        <w:gridCol w:w="737"/>
        <w:gridCol w:w="737"/>
        <w:gridCol w:w="737"/>
        <w:gridCol w:w="909"/>
        <w:gridCol w:w="737"/>
        <w:gridCol w:w="737"/>
        <w:gridCol w:w="737"/>
        <w:gridCol w:w="737"/>
      </w:tblGrid>
      <w:tr w:rsidR="00112FAB" w:rsidRPr="00E54419" w14:paraId="57213962" w14:textId="77777777" w:rsidTr="00D01B65">
        <w:trPr>
          <w:cantSplit/>
          <w:trHeight w:val="1134"/>
        </w:trPr>
        <w:tc>
          <w:tcPr>
            <w:tcW w:w="1150" w:type="dxa"/>
            <w:shd w:val="clear" w:color="auto" w:fill="auto"/>
          </w:tcPr>
          <w:p w14:paraId="46D3653B" w14:textId="77777777" w:rsidR="00112FAB" w:rsidRPr="00E54419" w:rsidRDefault="00112FAB" w:rsidP="00D01B65">
            <w:pPr>
              <w:pStyle w:val="Corpsdetexte"/>
              <w:tabs>
                <w:tab w:val="left" w:pos="426"/>
              </w:tabs>
              <w:spacing w:after="0"/>
              <w:jc w:val="center"/>
              <w:rPr>
                <w:sz w:val="18"/>
                <w:szCs w:val="18"/>
              </w:rPr>
            </w:pPr>
            <w:r w:rsidRPr="00E54419">
              <w:rPr>
                <w:sz w:val="18"/>
                <w:szCs w:val="18"/>
              </w:rPr>
              <w:t>Juridiction fiscale</w:t>
            </w:r>
          </w:p>
        </w:tc>
        <w:tc>
          <w:tcPr>
            <w:tcW w:w="1490" w:type="dxa"/>
            <w:shd w:val="clear" w:color="auto" w:fill="auto"/>
          </w:tcPr>
          <w:p w14:paraId="36DF7515" w14:textId="77777777" w:rsidR="00112FAB" w:rsidRPr="00E54419" w:rsidRDefault="00112FAB" w:rsidP="00D01B65">
            <w:pPr>
              <w:pStyle w:val="Corpsdetexte"/>
              <w:tabs>
                <w:tab w:val="left" w:pos="426"/>
              </w:tabs>
              <w:spacing w:after="0"/>
              <w:jc w:val="center"/>
              <w:rPr>
                <w:sz w:val="18"/>
                <w:szCs w:val="18"/>
              </w:rPr>
            </w:pPr>
            <w:r w:rsidRPr="00E54419">
              <w:rPr>
                <w:sz w:val="18"/>
                <w:szCs w:val="18"/>
              </w:rPr>
              <w:t>Entités constitutives résidentes et juridiction fiscale</w:t>
            </w:r>
          </w:p>
        </w:tc>
        <w:tc>
          <w:tcPr>
            <w:tcW w:w="1294" w:type="dxa"/>
            <w:shd w:val="clear" w:color="auto" w:fill="auto"/>
          </w:tcPr>
          <w:p w14:paraId="359B68A4" w14:textId="77777777" w:rsidR="00112FAB" w:rsidRPr="00E54419" w:rsidRDefault="00112FAB" w:rsidP="00D01B65">
            <w:pPr>
              <w:pStyle w:val="Corpsdetexte"/>
              <w:tabs>
                <w:tab w:val="left" w:pos="426"/>
              </w:tabs>
              <w:spacing w:after="0"/>
              <w:jc w:val="center"/>
              <w:rPr>
                <w:sz w:val="18"/>
                <w:szCs w:val="18"/>
              </w:rPr>
            </w:pPr>
            <w:r w:rsidRPr="00E54419">
              <w:rPr>
                <w:sz w:val="18"/>
                <w:szCs w:val="18"/>
              </w:rPr>
              <w:t>Juridiction fiscale de constitution si elle diffère de la juridiction fiscale de résidence</w:t>
            </w:r>
          </w:p>
          <w:p w14:paraId="260A3665" w14:textId="77777777" w:rsidR="00112FAB" w:rsidRPr="00E54419" w:rsidRDefault="00112FAB" w:rsidP="00D01B65">
            <w:pPr>
              <w:pStyle w:val="Corpsdetexte"/>
              <w:tabs>
                <w:tab w:val="left" w:pos="426"/>
              </w:tabs>
              <w:spacing w:after="0"/>
              <w:jc w:val="center"/>
              <w:rPr>
                <w:sz w:val="18"/>
                <w:szCs w:val="18"/>
              </w:rPr>
            </w:pPr>
          </w:p>
          <w:p w14:paraId="70D579DC" w14:textId="77777777" w:rsidR="00112FAB" w:rsidRPr="00E54419" w:rsidRDefault="00112FAB" w:rsidP="00D01B65">
            <w:pPr>
              <w:pStyle w:val="Corpsdetexte"/>
              <w:tabs>
                <w:tab w:val="left" w:pos="426"/>
              </w:tabs>
              <w:spacing w:after="0"/>
              <w:jc w:val="center"/>
              <w:rPr>
                <w:sz w:val="18"/>
                <w:szCs w:val="18"/>
              </w:rPr>
            </w:pPr>
          </w:p>
          <w:p w14:paraId="48B0DD77" w14:textId="77777777" w:rsidR="00112FAB" w:rsidRPr="00E54419" w:rsidRDefault="00112FAB" w:rsidP="00D01B65">
            <w:pPr>
              <w:pStyle w:val="Corpsdetexte"/>
              <w:tabs>
                <w:tab w:val="left" w:pos="426"/>
              </w:tabs>
              <w:spacing w:after="0"/>
              <w:jc w:val="center"/>
              <w:rPr>
                <w:sz w:val="18"/>
                <w:szCs w:val="18"/>
              </w:rPr>
            </w:pPr>
          </w:p>
          <w:p w14:paraId="442CF17A" w14:textId="77777777" w:rsidR="00112FAB" w:rsidRDefault="00112FAB" w:rsidP="00D01B65">
            <w:pPr>
              <w:pStyle w:val="Corpsdetexte"/>
              <w:tabs>
                <w:tab w:val="left" w:pos="426"/>
              </w:tabs>
              <w:spacing w:after="0"/>
              <w:jc w:val="center"/>
              <w:rPr>
                <w:sz w:val="18"/>
                <w:szCs w:val="18"/>
              </w:rPr>
            </w:pPr>
          </w:p>
          <w:p w14:paraId="0B38A798" w14:textId="77777777" w:rsidR="00112FAB" w:rsidRPr="00E54419" w:rsidRDefault="00112FAB" w:rsidP="00D01B65">
            <w:pPr>
              <w:pStyle w:val="Corpsdetexte"/>
              <w:tabs>
                <w:tab w:val="left" w:pos="426"/>
              </w:tabs>
              <w:spacing w:after="0"/>
              <w:rPr>
                <w:sz w:val="18"/>
                <w:szCs w:val="18"/>
              </w:rPr>
            </w:pPr>
          </w:p>
          <w:p w14:paraId="178236A2" w14:textId="77777777" w:rsidR="00112FAB" w:rsidRPr="00E54419" w:rsidRDefault="00112FAB" w:rsidP="00D01B65">
            <w:pPr>
              <w:pStyle w:val="Corpsdetexte"/>
              <w:tabs>
                <w:tab w:val="left" w:pos="426"/>
              </w:tabs>
              <w:spacing w:after="0"/>
              <w:jc w:val="center"/>
              <w:rPr>
                <w:sz w:val="18"/>
                <w:szCs w:val="18"/>
              </w:rPr>
            </w:pPr>
          </w:p>
          <w:p w14:paraId="7976921B" w14:textId="77777777" w:rsidR="00112FAB" w:rsidRPr="00E54419" w:rsidRDefault="00112FAB" w:rsidP="00D01B65">
            <w:pPr>
              <w:pStyle w:val="Corpsdetexte"/>
              <w:tabs>
                <w:tab w:val="left" w:pos="426"/>
              </w:tabs>
              <w:spacing w:after="0"/>
              <w:rPr>
                <w:sz w:val="18"/>
                <w:szCs w:val="18"/>
              </w:rPr>
            </w:pPr>
          </w:p>
        </w:tc>
        <w:tc>
          <w:tcPr>
            <w:tcW w:w="1201" w:type="dxa"/>
            <w:shd w:val="clear" w:color="auto" w:fill="auto"/>
            <w:textDirection w:val="btLr"/>
          </w:tcPr>
          <w:p w14:paraId="54D00AEC"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Recherche &amp; développement</w:t>
            </w:r>
          </w:p>
        </w:tc>
        <w:tc>
          <w:tcPr>
            <w:tcW w:w="825" w:type="dxa"/>
            <w:shd w:val="clear" w:color="auto" w:fill="auto"/>
            <w:textDirection w:val="btLr"/>
          </w:tcPr>
          <w:p w14:paraId="4C3FD5FA" w14:textId="77777777" w:rsidR="00112FAB" w:rsidRDefault="00112FAB" w:rsidP="00D01B65">
            <w:pPr>
              <w:pStyle w:val="Corpsdetexte"/>
              <w:tabs>
                <w:tab w:val="left" w:pos="426"/>
              </w:tabs>
              <w:spacing w:after="0"/>
              <w:ind w:left="113" w:right="113"/>
              <w:jc w:val="center"/>
              <w:rPr>
                <w:sz w:val="18"/>
                <w:szCs w:val="18"/>
              </w:rPr>
            </w:pPr>
            <w:r w:rsidRPr="00E54419">
              <w:rPr>
                <w:sz w:val="18"/>
                <w:szCs w:val="18"/>
              </w:rPr>
              <w:t>C</w:t>
            </w:r>
            <w:r>
              <w:rPr>
                <w:sz w:val="18"/>
                <w:szCs w:val="18"/>
              </w:rPr>
              <w:t>réation ou gestion de propriété</w:t>
            </w:r>
          </w:p>
          <w:p w14:paraId="4800B448" w14:textId="77777777" w:rsidR="00112FAB" w:rsidRPr="00E54419" w:rsidRDefault="00112FAB" w:rsidP="00D01B65">
            <w:pPr>
              <w:pStyle w:val="Corpsdetexte"/>
              <w:tabs>
                <w:tab w:val="left" w:pos="426"/>
              </w:tabs>
              <w:spacing w:after="0"/>
              <w:ind w:left="113" w:right="113"/>
              <w:jc w:val="center"/>
              <w:rPr>
                <w:sz w:val="18"/>
                <w:szCs w:val="18"/>
              </w:rPr>
            </w:pPr>
            <w:proofErr w:type="gramStart"/>
            <w:r w:rsidRPr="00E54419">
              <w:rPr>
                <w:sz w:val="18"/>
                <w:szCs w:val="18"/>
              </w:rPr>
              <w:t>industrielle</w:t>
            </w:r>
            <w:proofErr w:type="gramEnd"/>
          </w:p>
        </w:tc>
        <w:tc>
          <w:tcPr>
            <w:tcW w:w="737" w:type="dxa"/>
            <w:shd w:val="clear" w:color="auto" w:fill="auto"/>
            <w:textDirection w:val="btLr"/>
          </w:tcPr>
          <w:p w14:paraId="5E110D8A"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Achats ou approvisionnements</w:t>
            </w:r>
          </w:p>
        </w:tc>
        <w:tc>
          <w:tcPr>
            <w:tcW w:w="737" w:type="dxa"/>
            <w:shd w:val="clear" w:color="auto" w:fill="auto"/>
            <w:textDirection w:val="btLr"/>
          </w:tcPr>
          <w:p w14:paraId="4F4149BD"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Fabrication ou production</w:t>
            </w:r>
          </w:p>
        </w:tc>
        <w:tc>
          <w:tcPr>
            <w:tcW w:w="825" w:type="dxa"/>
            <w:shd w:val="clear" w:color="auto" w:fill="auto"/>
            <w:textDirection w:val="btLr"/>
          </w:tcPr>
          <w:p w14:paraId="16B6B300" w14:textId="77777777" w:rsidR="00112FAB" w:rsidRDefault="00112FAB" w:rsidP="00D01B65">
            <w:pPr>
              <w:pStyle w:val="Corpsdetexte"/>
              <w:tabs>
                <w:tab w:val="left" w:pos="426"/>
              </w:tabs>
              <w:spacing w:after="0"/>
              <w:ind w:left="113" w:right="113"/>
              <w:jc w:val="center"/>
              <w:rPr>
                <w:sz w:val="18"/>
                <w:szCs w:val="18"/>
              </w:rPr>
            </w:pPr>
            <w:r>
              <w:rPr>
                <w:sz w:val="18"/>
                <w:szCs w:val="18"/>
              </w:rPr>
              <w:t xml:space="preserve">Vente, commercialisation </w:t>
            </w:r>
            <w:proofErr w:type="gramStart"/>
            <w:r>
              <w:rPr>
                <w:sz w:val="18"/>
                <w:szCs w:val="18"/>
              </w:rPr>
              <w:t>ou</w:t>
            </w:r>
            <w:proofErr w:type="gramEnd"/>
          </w:p>
          <w:p w14:paraId="79FDCA95" w14:textId="77777777" w:rsidR="00112FAB" w:rsidRPr="00E54419" w:rsidRDefault="00112FAB" w:rsidP="00D01B65">
            <w:pPr>
              <w:pStyle w:val="Corpsdetexte"/>
              <w:tabs>
                <w:tab w:val="left" w:pos="426"/>
              </w:tabs>
              <w:spacing w:after="0"/>
              <w:ind w:left="113" w:right="113"/>
              <w:jc w:val="center"/>
              <w:rPr>
                <w:sz w:val="18"/>
                <w:szCs w:val="18"/>
              </w:rPr>
            </w:pPr>
            <w:proofErr w:type="gramStart"/>
            <w:r w:rsidRPr="00E54419">
              <w:rPr>
                <w:sz w:val="18"/>
                <w:szCs w:val="18"/>
              </w:rPr>
              <w:t>distribution</w:t>
            </w:r>
            <w:proofErr w:type="gramEnd"/>
          </w:p>
        </w:tc>
        <w:tc>
          <w:tcPr>
            <w:tcW w:w="737" w:type="dxa"/>
            <w:shd w:val="clear" w:color="auto" w:fill="auto"/>
            <w:textDirection w:val="btLr"/>
          </w:tcPr>
          <w:p w14:paraId="1851B031"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Services administratifs, de gestion ou de soutien</w:t>
            </w:r>
          </w:p>
        </w:tc>
        <w:tc>
          <w:tcPr>
            <w:tcW w:w="737" w:type="dxa"/>
            <w:shd w:val="clear" w:color="auto" w:fill="auto"/>
            <w:textDirection w:val="btLr"/>
          </w:tcPr>
          <w:p w14:paraId="10E0F73C"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Fournitures de services à des parties indépendantes</w:t>
            </w:r>
          </w:p>
        </w:tc>
        <w:tc>
          <w:tcPr>
            <w:tcW w:w="737" w:type="dxa"/>
            <w:shd w:val="clear" w:color="auto" w:fill="auto"/>
            <w:textDirection w:val="btLr"/>
          </w:tcPr>
          <w:p w14:paraId="21796B73"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Financement interne du groupe</w:t>
            </w:r>
          </w:p>
        </w:tc>
        <w:tc>
          <w:tcPr>
            <w:tcW w:w="909" w:type="dxa"/>
            <w:shd w:val="clear" w:color="auto" w:fill="auto"/>
            <w:textDirection w:val="btLr"/>
          </w:tcPr>
          <w:p w14:paraId="4A1BEC86"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Services financiers réglementés</w:t>
            </w:r>
          </w:p>
        </w:tc>
        <w:tc>
          <w:tcPr>
            <w:tcW w:w="737" w:type="dxa"/>
            <w:shd w:val="clear" w:color="auto" w:fill="auto"/>
            <w:textDirection w:val="btLr"/>
          </w:tcPr>
          <w:p w14:paraId="2C4DB10A"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Assurances</w:t>
            </w:r>
          </w:p>
        </w:tc>
        <w:tc>
          <w:tcPr>
            <w:tcW w:w="737" w:type="dxa"/>
            <w:shd w:val="clear" w:color="auto" w:fill="auto"/>
            <w:textDirection w:val="btLr"/>
          </w:tcPr>
          <w:p w14:paraId="3B8D96BD"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Détention d’actions ou d’autres instruments de fonds propres</w:t>
            </w:r>
          </w:p>
        </w:tc>
        <w:tc>
          <w:tcPr>
            <w:tcW w:w="737" w:type="dxa"/>
            <w:shd w:val="clear" w:color="auto" w:fill="auto"/>
            <w:textDirection w:val="btLr"/>
          </w:tcPr>
          <w:p w14:paraId="41DC9CCA"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Activités dématérialisées</w:t>
            </w:r>
          </w:p>
        </w:tc>
        <w:tc>
          <w:tcPr>
            <w:tcW w:w="737" w:type="dxa"/>
            <w:shd w:val="clear" w:color="auto" w:fill="auto"/>
            <w:textDirection w:val="btLr"/>
          </w:tcPr>
          <w:p w14:paraId="4777B9D7" w14:textId="77777777" w:rsidR="00112FAB" w:rsidRPr="00E54419" w:rsidRDefault="00112FAB" w:rsidP="00D01B65">
            <w:pPr>
              <w:pStyle w:val="Corpsdetexte"/>
              <w:tabs>
                <w:tab w:val="left" w:pos="426"/>
              </w:tabs>
              <w:spacing w:after="0"/>
              <w:ind w:left="113" w:right="113"/>
              <w:jc w:val="center"/>
              <w:rPr>
                <w:sz w:val="18"/>
                <w:szCs w:val="18"/>
              </w:rPr>
            </w:pPr>
            <w:r w:rsidRPr="00E54419">
              <w:rPr>
                <w:sz w:val="18"/>
                <w:szCs w:val="18"/>
              </w:rPr>
              <w:t>Autres</w:t>
            </w:r>
          </w:p>
        </w:tc>
      </w:tr>
      <w:tr w:rsidR="00112FAB" w:rsidRPr="00E54419" w14:paraId="5A6BA023" w14:textId="77777777" w:rsidTr="00D01B65">
        <w:tc>
          <w:tcPr>
            <w:tcW w:w="1150" w:type="dxa"/>
            <w:vMerge w:val="restart"/>
            <w:shd w:val="clear" w:color="auto" w:fill="auto"/>
          </w:tcPr>
          <w:p w14:paraId="30A33AFF" w14:textId="77777777" w:rsidR="00112FAB" w:rsidRPr="00E54419" w:rsidRDefault="00112FAB" w:rsidP="00D01B65">
            <w:pPr>
              <w:pStyle w:val="Corpsdetexte"/>
              <w:tabs>
                <w:tab w:val="left" w:pos="426"/>
              </w:tabs>
              <w:spacing w:after="0"/>
              <w:jc w:val="center"/>
              <w:rPr>
                <w:sz w:val="18"/>
                <w:szCs w:val="18"/>
              </w:rPr>
            </w:pPr>
          </w:p>
        </w:tc>
        <w:tc>
          <w:tcPr>
            <w:tcW w:w="1490" w:type="dxa"/>
            <w:shd w:val="clear" w:color="auto" w:fill="auto"/>
          </w:tcPr>
          <w:p w14:paraId="011B0CAD" w14:textId="77777777" w:rsidR="00112FAB" w:rsidRPr="00E54419" w:rsidRDefault="00112FAB" w:rsidP="00D01B65">
            <w:pPr>
              <w:pStyle w:val="Corpsdetexte"/>
              <w:tabs>
                <w:tab w:val="left" w:pos="426"/>
              </w:tabs>
              <w:spacing w:after="0"/>
              <w:jc w:val="both"/>
              <w:rPr>
                <w:sz w:val="18"/>
                <w:szCs w:val="18"/>
              </w:rPr>
            </w:pPr>
            <w:r w:rsidRPr="00E54419">
              <w:rPr>
                <w:sz w:val="18"/>
                <w:szCs w:val="18"/>
              </w:rPr>
              <w:t>1</w:t>
            </w:r>
          </w:p>
        </w:tc>
        <w:tc>
          <w:tcPr>
            <w:tcW w:w="1294" w:type="dxa"/>
            <w:shd w:val="clear" w:color="auto" w:fill="auto"/>
          </w:tcPr>
          <w:p w14:paraId="05C1F9A1" w14:textId="77777777" w:rsidR="00112FAB" w:rsidRPr="00E54419" w:rsidRDefault="00112FAB" w:rsidP="00D01B65">
            <w:pPr>
              <w:pStyle w:val="Corpsdetexte"/>
              <w:tabs>
                <w:tab w:val="left" w:pos="426"/>
              </w:tabs>
              <w:spacing w:after="0"/>
              <w:jc w:val="center"/>
              <w:rPr>
                <w:sz w:val="18"/>
                <w:szCs w:val="18"/>
              </w:rPr>
            </w:pPr>
          </w:p>
        </w:tc>
        <w:tc>
          <w:tcPr>
            <w:tcW w:w="1201" w:type="dxa"/>
            <w:shd w:val="clear" w:color="auto" w:fill="auto"/>
          </w:tcPr>
          <w:p w14:paraId="7D92527A"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71731879"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677EC82D"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5D247AF"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6F14B62D"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89DBFA2"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6CD50E4"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DA506A8" w14:textId="77777777" w:rsidR="00112FAB" w:rsidRPr="00E54419" w:rsidRDefault="00112FAB" w:rsidP="00D01B65">
            <w:pPr>
              <w:pStyle w:val="Corpsdetexte"/>
              <w:tabs>
                <w:tab w:val="left" w:pos="426"/>
              </w:tabs>
              <w:spacing w:after="0"/>
              <w:jc w:val="center"/>
              <w:rPr>
                <w:sz w:val="18"/>
                <w:szCs w:val="18"/>
              </w:rPr>
            </w:pPr>
          </w:p>
        </w:tc>
        <w:tc>
          <w:tcPr>
            <w:tcW w:w="909" w:type="dxa"/>
            <w:shd w:val="clear" w:color="auto" w:fill="auto"/>
          </w:tcPr>
          <w:p w14:paraId="2EFD2DFA"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1D9AC95"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56BEA506"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6ACDA94C"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6EE4CBCE" w14:textId="77777777" w:rsidR="00112FAB" w:rsidRPr="00E54419" w:rsidRDefault="00112FAB" w:rsidP="00D01B65">
            <w:pPr>
              <w:pStyle w:val="Corpsdetexte"/>
              <w:tabs>
                <w:tab w:val="left" w:pos="426"/>
              </w:tabs>
              <w:spacing w:after="0"/>
              <w:jc w:val="center"/>
              <w:rPr>
                <w:sz w:val="18"/>
                <w:szCs w:val="18"/>
              </w:rPr>
            </w:pPr>
          </w:p>
        </w:tc>
      </w:tr>
      <w:tr w:rsidR="00112FAB" w:rsidRPr="00E54419" w14:paraId="75FC07C7" w14:textId="77777777" w:rsidTr="00D01B65">
        <w:tc>
          <w:tcPr>
            <w:tcW w:w="1150" w:type="dxa"/>
            <w:vMerge/>
            <w:shd w:val="clear" w:color="auto" w:fill="auto"/>
          </w:tcPr>
          <w:p w14:paraId="6DEB33C2" w14:textId="77777777" w:rsidR="00112FAB" w:rsidRPr="00E54419" w:rsidRDefault="00112FAB" w:rsidP="00D01B65">
            <w:pPr>
              <w:pStyle w:val="Corpsdetexte"/>
              <w:tabs>
                <w:tab w:val="left" w:pos="426"/>
              </w:tabs>
              <w:spacing w:after="0"/>
              <w:jc w:val="center"/>
              <w:rPr>
                <w:sz w:val="18"/>
                <w:szCs w:val="18"/>
              </w:rPr>
            </w:pPr>
          </w:p>
        </w:tc>
        <w:tc>
          <w:tcPr>
            <w:tcW w:w="1490" w:type="dxa"/>
            <w:shd w:val="clear" w:color="auto" w:fill="auto"/>
          </w:tcPr>
          <w:p w14:paraId="732D7988" w14:textId="77777777" w:rsidR="00112FAB" w:rsidRPr="00E54419" w:rsidRDefault="00112FAB" w:rsidP="00D01B65">
            <w:pPr>
              <w:pStyle w:val="Corpsdetexte"/>
              <w:tabs>
                <w:tab w:val="left" w:pos="426"/>
              </w:tabs>
              <w:spacing w:after="0"/>
              <w:jc w:val="both"/>
              <w:rPr>
                <w:sz w:val="18"/>
                <w:szCs w:val="18"/>
              </w:rPr>
            </w:pPr>
            <w:r w:rsidRPr="00E54419">
              <w:rPr>
                <w:sz w:val="18"/>
                <w:szCs w:val="18"/>
              </w:rPr>
              <w:t>2</w:t>
            </w:r>
          </w:p>
        </w:tc>
        <w:tc>
          <w:tcPr>
            <w:tcW w:w="1294" w:type="dxa"/>
            <w:shd w:val="clear" w:color="auto" w:fill="auto"/>
          </w:tcPr>
          <w:p w14:paraId="329C5184" w14:textId="77777777" w:rsidR="00112FAB" w:rsidRPr="00E54419" w:rsidRDefault="00112FAB" w:rsidP="00D01B65">
            <w:pPr>
              <w:pStyle w:val="Corpsdetexte"/>
              <w:tabs>
                <w:tab w:val="left" w:pos="426"/>
              </w:tabs>
              <w:spacing w:after="0"/>
              <w:jc w:val="center"/>
              <w:rPr>
                <w:sz w:val="18"/>
                <w:szCs w:val="18"/>
              </w:rPr>
            </w:pPr>
          </w:p>
        </w:tc>
        <w:tc>
          <w:tcPr>
            <w:tcW w:w="1201" w:type="dxa"/>
            <w:shd w:val="clear" w:color="auto" w:fill="auto"/>
          </w:tcPr>
          <w:p w14:paraId="31EFF937"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5E3878AA"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779E8C0"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5AE2E32B"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4D31C528"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96575E3"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14683D97"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7E0F7F33" w14:textId="77777777" w:rsidR="00112FAB" w:rsidRPr="00E54419" w:rsidRDefault="00112FAB" w:rsidP="00D01B65">
            <w:pPr>
              <w:pStyle w:val="Corpsdetexte"/>
              <w:tabs>
                <w:tab w:val="left" w:pos="426"/>
              </w:tabs>
              <w:spacing w:after="0"/>
              <w:jc w:val="center"/>
              <w:rPr>
                <w:sz w:val="18"/>
                <w:szCs w:val="18"/>
              </w:rPr>
            </w:pPr>
          </w:p>
        </w:tc>
        <w:tc>
          <w:tcPr>
            <w:tcW w:w="909" w:type="dxa"/>
            <w:shd w:val="clear" w:color="auto" w:fill="auto"/>
          </w:tcPr>
          <w:p w14:paraId="338FD452"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FD10CF4"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1EACB34"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7824636"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BCC4190" w14:textId="77777777" w:rsidR="00112FAB" w:rsidRPr="00E54419" w:rsidRDefault="00112FAB" w:rsidP="00D01B65">
            <w:pPr>
              <w:pStyle w:val="Corpsdetexte"/>
              <w:tabs>
                <w:tab w:val="left" w:pos="426"/>
              </w:tabs>
              <w:spacing w:after="0"/>
              <w:jc w:val="center"/>
              <w:rPr>
                <w:sz w:val="18"/>
                <w:szCs w:val="18"/>
              </w:rPr>
            </w:pPr>
          </w:p>
        </w:tc>
      </w:tr>
      <w:tr w:rsidR="00112FAB" w:rsidRPr="00E54419" w14:paraId="20AD6EA1" w14:textId="77777777" w:rsidTr="00D01B65">
        <w:tc>
          <w:tcPr>
            <w:tcW w:w="1150" w:type="dxa"/>
            <w:vMerge/>
            <w:shd w:val="clear" w:color="auto" w:fill="auto"/>
          </w:tcPr>
          <w:p w14:paraId="60C34EA8" w14:textId="77777777" w:rsidR="00112FAB" w:rsidRPr="00E54419" w:rsidRDefault="00112FAB" w:rsidP="00D01B65">
            <w:pPr>
              <w:pStyle w:val="Corpsdetexte"/>
              <w:tabs>
                <w:tab w:val="left" w:pos="426"/>
              </w:tabs>
              <w:spacing w:after="0"/>
              <w:jc w:val="center"/>
              <w:rPr>
                <w:sz w:val="18"/>
                <w:szCs w:val="18"/>
              </w:rPr>
            </w:pPr>
          </w:p>
        </w:tc>
        <w:tc>
          <w:tcPr>
            <w:tcW w:w="1490" w:type="dxa"/>
            <w:shd w:val="clear" w:color="auto" w:fill="auto"/>
          </w:tcPr>
          <w:p w14:paraId="3FAD7C7E" w14:textId="77777777" w:rsidR="00112FAB" w:rsidRPr="00E54419" w:rsidRDefault="00112FAB" w:rsidP="00D01B65">
            <w:pPr>
              <w:pStyle w:val="Corpsdetexte"/>
              <w:tabs>
                <w:tab w:val="left" w:pos="426"/>
              </w:tabs>
              <w:spacing w:after="0"/>
              <w:jc w:val="both"/>
              <w:rPr>
                <w:sz w:val="18"/>
                <w:szCs w:val="18"/>
              </w:rPr>
            </w:pPr>
            <w:r w:rsidRPr="00E54419">
              <w:rPr>
                <w:sz w:val="18"/>
                <w:szCs w:val="18"/>
              </w:rPr>
              <w:t>3</w:t>
            </w:r>
          </w:p>
        </w:tc>
        <w:tc>
          <w:tcPr>
            <w:tcW w:w="1294" w:type="dxa"/>
            <w:shd w:val="clear" w:color="auto" w:fill="auto"/>
          </w:tcPr>
          <w:p w14:paraId="7D8DB21B" w14:textId="77777777" w:rsidR="00112FAB" w:rsidRPr="00E54419" w:rsidRDefault="00112FAB" w:rsidP="00D01B65">
            <w:pPr>
              <w:pStyle w:val="Corpsdetexte"/>
              <w:tabs>
                <w:tab w:val="left" w:pos="426"/>
              </w:tabs>
              <w:spacing w:after="0"/>
              <w:jc w:val="center"/>
              <w:rPr>
                <w:sz w:val="18"/>
                <w:szCs w:val="18"/>
              </w:rPr>
            </w:pPr>
          </w:p>
        </w:tc>
        <w:tc>
          <w:tcPr>
            <w:tcW w:w="1201" w:type="dxa"/>
            <w:shd w:val="clear" w:color="auto" w:fill="auto"/>
          </w:tcPr>
          <w:p w14:paraId="3FF6A8D3"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74B77998"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DC0BF58"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6796804"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1A981B27"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58565566"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31706AC"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5679515" w14:textId="77777777" w:rsidR="00112FAB" w:rsidRPr="00E54419" w:rsidRDefault="00112FAB" w:rsidP="00D01B65">
            <w:pPr>
              <w:pStyle w:val="Corpsdetexte"/>
              <w:tabs>
                <w:tab w:val="left" w:pos="426"/>
              </w:tabs>
              <w:spacing w:after="0"/>
              <w:jc w:val="center"/>
              <w:rPr>
                <w:sz w:val="18"/>
                <w:szCs w:val="18"/>
              </w:rPr>
            </w:pPr>
          </w:p>
        </w:tc>
        <w:tc>
          <w:tcPr>
            <w:tcW w:w="909" w:type="dxa"/>
            <w:shd w:val="clear" w:color="auto" w:fill="auto"/>
          </w:tcPr>
          <w:p w14:paraId="11CEFAA2"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C71E594"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881389B"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06563FC"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6CB96D92" w14:textId="77777777" w:rsidR="00112FAB" w:rsidRPr="00E54419" w:rsidRDefault="00112FAB" w:rsidP="00D01B65">
            <w:pPr>
              <w:pStyle w:val="Corpsdetexte"/>
              <w:tabs>
                <w:tab w:val="left" w:pos="426"/>
              </w:tabs>
              <w:spacing w:after="0"/>
              <w:jc w:val="center"/>
              <w:rPr>
                <w:sz w:val="18"/>
                <w:szCs w:val="18"/>
              </w:rPr>
            </w:pPr>
          </w:p>
        </w:tc>
      </w:tr>
      <w:tr w:rsidR="00112FAB" w:rsidRPr="00E54419" w14:paraId="3A79C248" w14:textId="77777777" w:rsidTr="00D01B65">
        <w:tc>
          <w:tcPr>
            <w:tcW w:w="1150" w:type="dxa"/>
            <w:vMerge w:val="restart"/>
            <w:shd w:val="clear" w:color="auto" w:fill="auto"/>
          </w:tcPr>
          <w:p w14:paraId="3879E23E" w14:textId="77777777" w:rsidR="00112FAB" w:rsidRPr="00E54419" w:rsidRDefault="00112FAB" w:rsidP="00D01B65">
            <w:pPr>
              <w:pStyle w:val="Corpsdetexte"/>
              <w:tabs>
                <w:tab w:val="left" w:pos="426"/>
              </w:tabs>
              <w:spacing w:after="0"/>
              <w:jc w:val="center"/>
              <w:rPr>
                <w:sz w:val="18"/>
                <w:szCs w:val="18"/>
              </w:rPr>
            </w:pPr>
          </w:p>
        </w:tc>
        <w:tc>
          <w:tcPr>
            <w:tcW w:w="1490" w:type="dxa"/>
            <w:shd w:val="clear" w:color="auto" w:fill="auto"/>
          </w:tcPr>
          <w:p w14:paraId="36E93080" w14:textId="77777777" w:rsidR="00112FAB" w:rsidRPr="00E54419" w:rsidRDefault="00112FAB" w:rsidP="00D01B65">
            <w:pPr>
              <w:pStyle w:val="Corpsdetexte"/>
              <w:tabs>
                <w:tab w:val="left" w:pos="426"/>
              </w:tabs>
              <w:spacing w:after="0"/>
              <w:jc w:val="both"/>
              <w:rPr>
                <w:sz w:val="18"/>
                <w:szCs w:val="18"/>
              </w:rPr>
            </w:pPr>
            <w:r w:rsidRPr="00E54419">
              <w:rPr>
                <w:sz w:val="18"/>
                <w:szCs w:val="18"/>
              </w:rPr>
              <w:t>1</w:t>
            </w:r>
          </w:p>
        </w:tc>
        <w:tc>
          <w:tcPr>
            <w:tcW w:w="1294" w:type="dxa"/>
            <w:shd w:val="clear" w:color="auto" w:fill="auto"/>
          </w:tcPr>
          <w:p w14:paraId="2AF67F62" w14:textId="77777777" w:rsidR="00112FAB" w:rsidRPr="00E54419" w:rsidRDefault="00112FAB" w:rsidP="00D01B65">
            <w:pPr>
              <w:pStyle w:val="Corpsdetexte"/>
              <w:tabs>
                <w:tab w:val="left" w:pos="426"/>
              </w:tabs>
              <w:spacing w:after="0"/>
              <w:jc w:val="center"/>
              <w:rPr>
                <w:sz w:val="18"/>
                <w:szCs w:val="18"/>
              </w:rPr>
            </w:pPr>
          </w:p>
        </w:tc>
        <w:tc>
          <w:tcPr>
            <w:tcW w:w="1201" w:type="dxa"/>
            <w:shd w:val="clear" w:color="auto" w:fill="auto"/>
          </w:tcPr>
          <w:p w14:paraId="4D81A71F"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01F525E9"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4BC005C"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B66A36A"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1B97E9C2"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DEF7F8F"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57FD60BF"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E756A63" w14:textId="77777777" w:rsidR="00112FAB" w:rsidRPr="00E54419" w:rsidRDefault="00112FAB" w:rsidP="00D01B65">
            <w:pPr>
              <w:pStyle w:val="Corpsdetexte"/>
              <w:tabs>
                <w:tab w:val="left" w:pos="426"/>
              </w:tabs>
              <w:spacing w:after="0"/>
              <w:jc w:val="center"/>
              <w:rPr>
                <w:sz w:val="18"/>
                <w:szCs w:val="18"/>
              </w:rPr>
            </w:pPr>
          </w:p>
        </w:tc>
        <w:tc>
          <w:tcPr>
            <w:tcW w:w="909" w:type="dxa"/>
            <w:shd w:val="clear" w:color="auto" w:fill="auto"/>
          </w:tcPr>
          <w:p w14:paraId="697F1A20"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C1A2660"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23F082B"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6729248C"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06C0147" w14:textId="77777777" w:rsidR="00112FAB" w:rsidRPr="00E54419" w:rsidRDefault="00112FAB" w:rsidP="00D01B65">
            <w:pPr>
              <w:pStyle w:val="Corpsdetexte"/>
              <w:tabs>
                <w:tab w:val="left" w:pos="426"/>
              </w:tabs>
              <w:spacing w:after="0"/>
              <w:jc w:val="center"/>
              <w:rPr>
                <w:sz w:val="18"/>
                <w:szCs w:val="18"/>
              </w:rPr>
            </w:pPr>
          </w:p>
        </w:tc>
      </w:tr>
      <w:tr w:rsidR="00112FAB" w:rsidRPr="00E54419" w14:paraId="43D9E530" w14:textId="77777777" w:rsidTr="00D01B65">
        <w:tc>
          <w:tcPr>
            <w:tcW w:w="1150" w:type="dxa"/>
            <w:vMerge/>
            <w:shd w:val="clear" w:color="auto" w:fill="auto"/>
          </w:tcPr>
          <w:p w14:paraId="6C1F148D" w14:textId="77777777" w:rsidR="00112FAB" w:rsidRPr="00E54419" w:rsidRDefault="00112FAB" w:rsidP="00D01B65">
            <w:pPr>
              <w:pStyle w:val="Corpsdetexte"/>
              <w:tabs>
                <w:tab w:val="left" w:pos="426"/>
              </w:tabs>
              <w:spacing w:after="0"/>
              <w:jc w:val="center"/>
              <w:rPr>
                <w:sz w:val="18"/>
                <w:szCs w:val="18"/>
              </w:rPr>
            </w:pPr>
          </w:p>
        </w:tc>
        <w:tc>
          <w:tcPr>
            <w:tcW w:w="1490" w:type="dxa"/>
            <w:shd w:val="clear" w:color="auto" w:fill="auto"/>
          </w:tcPr>
          <w:p w14:paraId="7F64619A" w14:textId="77777777" w:rsidR="00112FAB" w:rsidRPr="00E54419" w:rsidRDefault="00112FAB" w:rsidP="00D01B65">
            <w:pPr>
              <w:pStyle w:val="Corpsdetexte"/>
              <w:tabs>
                <w:tab w:val="left" w:pos="426"/>
              </w:tabs>
              <w:spacing w:after="0"/>
              <w:jc w:val="both"/>
              <w:rPr>
                <w:sz w:val="18"/>
                <w:szCs w:val="18"/>
              </w:rPr>
            </w:pPr>
            <w:r w:rsidRPr="00E54419">
              <w:rPr>
                <w:sz w:val="18"/>
                <w:szCs w:val="18"/>
              </w:rPr>
              <w:t>2</w:t>
            </w:r>
          </w:p>
        </w:tc>
        <w:tc>
          <w:tcPr>
            <w:tcW w:w="1294" w:type="dxa"/>
            <w:shd w:val="clear" w:color="auto" w:fill="auto"/>
          </w:tcPr>
          <w:p w14:paraId="49013EDD" w14:textId="77777777" w:rsidR="00112FAB" w:rsidRPr="00E54419" w:rsidRDefault="00112FAB" w:rsidP="00D01B65">
            <w:pPr>
              <w:pStyle w:val="Corpsdetexte"/>
              <w:tabs>
                <w:tab w:val="left" w:pos="426"/>
              </w:tabs>
              <w:spacing w:after="0"/>
              <w:jc w:val="center"/>
              <w:rPr>
                <w:sz w:val="18"/>
                <w:szCs w:val="18"/>
              </w:rPr>
            </w:pPr>
          </w:p>
        </w:tc>
        <w:tc>
          <w:tcPr>
            <w:tcW w:w="1201" w:type="dxa"/>
            <w:shd w:val="clear" w:color="auto" w:fill="auto"/>
          </w:tcPr>
          <w:p w14:paraId="4FD5901B"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4F064442"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E7579C2"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BCCE2E4"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3E290F62"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83FF22D"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583A7E70"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57118393" w14:textId="77777777" w:rsidR="00112FAB" w:rsidRPr="00E54419" w:rsidRDefault="00112FAB" w:rsidP="00D01B65">
            <w:pPr>
              <w:pStyle w:val="Corpsdetexte"/>
              <w:tabs>
                <w:tab w:val="left" w:pos="426"/>
              </w:tabs>
              <w:spacing w:after="0"/>
              <w:jc w:val="center"/>
              <w:rPr>
                <w:sz w:val="18"/>
                <w:szCs w:val="18"/>
              </w:rPr>
            </w:pPr>
          </w:p>
        </w:tc>
        <w:tc>
          <w:tcPr>
            <w:tcW w:w="909" w:type="dxa"/>
            <w:shd w:val="clear" w:color="auto" w:fill="auto"/>
          </w:tcPr>
          <w:p w14:paraId="55F18607"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DAF9C67"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50FD770"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BC8AA20"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C333736" w14:textId="77777777" w:rsidR="00112FAB" w:rsidRPr="00E54419" w:rsidRDefault="00112FAB" w:rsidP="00D01B65">
            <w:pPr>
              <w:pStyle w:val="Corpsdetexte"/>
              <w:tabs>
                <w:tab w:val="left" w:pos="426"/>
              </w:tabs>
              <w:spacing w:after="0"/>
              <w:jc w:val="center"/>
              <w:rPr>
                <w:sz w:val="18"/>
                <w:szCs w:val="18"/>
              </w:rPr>
            </w:pPr>
          </w:p>
        </w:tc>
      </w:tr>
      <w:tr w:rsidR="00112FAB" w:rsidRPr="00E54419" w14:paraId="0BF51939" w14:textId="77777777" w:rsidTr="00D01B65">
        <w:tc>
          <w:tcPr>
            <w:tcW w:w="1150" w:type="dxa"/>
            <w:vMerge/>
            <w:shd w:val="clear" w:color="auto" w:fill="auto"/>
          </w:tcPr>
          <w:p w14:paraId="193A42B9" w14:textId="77777777" w:rsidR="00112FAB" w:rsidRPr="00E54419" w:rsidRDefault="00112FAB" w:rsidP="00D01B65">
            <w:pPr>
              <w:pStyle w:val="Corpsdetexte"/>
              <w:tabs>
                <w:tab w:val="left" w:pos="426"/>
              </w:tabs>
              <w:spacing w:after="0"/>
              <w:jc w:val="center"/>
              <w:rPr>
                <w:sz w:val="18"/>
                <w:szCs w:val="18"/>
              </w:rPr>
            </w:pPr>
          </w:p>
        </w:tc>
        <w:tc>
          <w:tcPr>
            <w:tcW w:w="1490" w:type="dxa"/>
            <w:shd w:val="clear" w:color="auto" w:fill="auto"/>
          </w:tcPr>
          <w:p w14:paraId="6B1E7657" w14:textId="77777777" w:rsidR="00112FAB" w:rsidRPr="00E54419" w:rsidRDefault="00112FAB" w:rsidP="00D01B65">
            <w:pPr>
              <w:pStyle w:val="Corpsdetexte"/>
              <w:tabs>
                <w:tab w:val="left" w:pos="426"/>
              </w:tabs>
              <w:spacing w:after="0"/>
              <w:jc w:val="both"/>
              <w:rPr>
                <w:sz w:val="18"/>
                <w:szCs w:val="18"/>
              </w:rPr>
            </w:pPr>
            <w:r w:rsidRPr="00E54419">
              <w:rPr>
                <w:sz w:val="18"/>
                <w:szCs w:val="18"/>
              </w:rPr>
              <w:t>3</w:t>
            </w:r>
          </w:p>
        </w:tc>
        <w:tc>
          <w:tcPr>
            <w:tcW w:w="1294" w:type="dxa"/>
            <w:shd w:val="clear" w:color="auto" w:fill="auto"/>
          </w:tcPr>
          <w:p w14:paraId="0AAEDE38" w14:textId="77777777" w:rsidR="00112FAB" w:rsidRPr="00E54419" w:rsidRDefault="00112FAB" w:rsidP="00D01B65">
            <w:pPr>
              <w:pStyle w:val="Corpsdetexte"/>
              <w:tabs>
                <w:tab w:val="left" w:pos="426"/>
              </w:tabs>
              <w:spacing w:after="0"/>
              <w:jc w:val="center"/>
              <w:rPr>
                <w:sz w:val="18"/>
                <w:szCs w:val="18"/>
              </w:rPr>
            </w:pPr>
          </w:p>
        </w:tc>
        <w:tc>
          <w:tcPr>
            <w:tcW w:w="1201" w:type="dxa"/>
            <w:shd w:val="clear" w:color="auto" w:fill="auto"/>
          </w:tcPr>
          <w:p w14:paraId="718FD27F"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358B4F45"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C6CCABB"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34AA3868" w14:textId="77777777" w:rsidR="00112FAB" w:rsidRPr="00E54419" w:rsidRDefault="00112FAB" w:rsidP="00D01B65">
            <w:pPr>
              <w:pStyle w:val="Corpsdetexte"/>
              <w:tabs>
                <w:tab w:val="left" w:pos="426"/>
              </w:tabs>
              <w:spacing w:after="0"/>
              <w:jc w:val="center"/>
              <w:rPr>
                <w:sz w:val="18"/>
                <w:szCs w:val="18"/>
              </w:rPr>
            </w:pPr>
          </w:p>
        </w:tc>
        <w:tc>
          <w:tcPr>
            <w:tcW w:w="825" w:type="dxa"/>
            <w:shd w:val="clear" w:color="auto" w:fill="auto"/>
          </w:tcPr>
          <w:p w14:paraId="0142CAC5"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7A69AB00"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2D20B1F"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F018DD7" w14:textId="77777777" w:rsidR="00112FAB" w:rsidRPr="00E54419" w:rsidRDefault="00112FAB" w:rsidP="00D01B65">
            <w:pPr>
              <w:pStyle w:val="Corpsdetexte"/>
              <w:tabs>
                <w:tab w:val="left" w:pos="426"/>
              </w:tabs>
              <w:spacing w:after="0"/>
              <w:jc w:val="center"/>
              <w:rPr>
                <w:sz w:val="18"/>
                <w:szCs w:val="18"/>
              </w:rPr>
            </w:pPr>
          </w:p>
        </w:tc>
        <w:tc>
          <w:tcPr>
            <w:tcW w:w="909" w:type="dxa"/>
            <w:shd w:val="clear" w:color="auto" w:fill="auto"/>
          </w:tcPr>
          <w:p w14:paraId="49AB21F5"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45429E54"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7C0CCB1"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2A79636A" w14:textId="77777777" w:rsidR="00112FAB" w:rsidRPr="00E54419" w:rsidRDefault="00112FAB" w:rsidP="00D01B65">
            <w:pPr>
              <w:pStyle w:val="Corpsdetexte"/>
              <w:tabs>
                <w:tab w:val="left" w:pos="426"/>
              </w:tabs>
              <w:spacing w:after="0"/>
              <w:jc w:val="center"/>
              <w:rPr>
                <w:sz w:val="18"/>
                <w:szCs w:val="18"/>
              </w:rPr>
            </w:pPr>
          </w:p>
        </w:tc>
        <w:tc>
          <w:tcPr>
            <w:tcW w:w="737" w:type="dxa"/>
            <w:shd w:val="clear" w:color="auto" w:fill="auto"/>
          </w:tcPr>
          <w:p w14:paraId="0DE7AD6E" w14:textId="77777777" w:rsidR="00112FAB" w:rsidRPr="00E54419" w:rsidRDefault="00112FAB" w:rsidP="00D01B65">
            <w:pPr>
              <w:pStyle w:val="Corpsdetexte"/>
              <w:tabs>
                <w:tab w:val="left" w:pos="426"/>
              </w:tabs>
              <w:spacing w:after="0"/>
              <w:jc w:val="center"/>
              <w:rPr>
                <w:sz w:val="18"/>
                <w:szCs w:val="18"/>
              </w:rPr>
            </w:pPr>
          </w:p>
        </w:tc>
      </w:tr>
    </w:tbl>
    <w:p w14:paraId="54D56564" w14:textId="77777777" w:rsidR="00112FAB" w:rsidRDefault="00112FAB" w:rsidP="00112FAB">
      <w:pPr>
        <w:pStyle w:val="Corpsdetexte"/>
        <w:spacing w:after="0"/>
        <w:jc w:val="both"/>
        <w:rPr>
          <w:b/>
          <w:sz w:val="28"/>
          <w:szCs w:val="28"/>
        </w:rPr>
      </w:pPr>
    </w:p>
    <w:p w14:paraId="199F8453" w14:textId="77777777" w:rsidR="00112FAB" w:rsidRDefault="00112FAB" w:rsidP="00112FAB">
      <w:pPr>
        <w:widowControl w:val="0"/>
        <w:autoSpaceDE w:val="0"/>
        <w:autoSpaceDN w:val="0"/>
        <w:adjustRightInd w:val="0"/>
        <w:jc w:val="both"/>
        <w:rPr>
          <w:szCs w:val="22"/>
        </w:rPr>
        <w:sectPr w:rsidR="00112FAB" w:rsidSect="00E55C27">
          <w:pgSz w:w="16840" w:h="11900" w:orient="landscape"/>
          <w:pgMar w:top="1418" w:right="1418" w:bottom="1418" w:left="1418" w:header="709" w:footer="567" w:gutter="0"/>
          <w:cols w:space="708"/>
          <w:docGrid w:linePitch="360"/>
        </w:sectPr>
      </w:pPr>
    </w:p>
    <w:p w14:paraId="17A41336" w14:textId="77777777" w:rsidR="00112FAB" w:rsidRDefault="00112FAB" w:rsidP="00112FAB">
      <w:pPr>
        <w:widowControl w:val="0"/>
        <w:autoSpaceDE w:val="0"/>
        <w:autoSpaceDN w:val="0"/>
        <w:adjustRightInd w:val="0"/>
        <w:jc w:val="both"/>
        <w:rPr>
          <w:szCs w:val="22"/>
        </w:rPr>
      </w:pPr>
    </w:p>
    <w:p w14:paraId="0C81B4CB" w14:textId="77777777" w:rsidR="00112FAB" w:rsidRDefault="00112FAB" w:rsidP="00112FAB">
      <w:pPr>
        <w:widowControl w:val="0"/>
        <w:autoSpaceDE w:val="0"/>
        <w:autoSpaceDN w:val="0"/>
        <w:adjustRightInd w:val="0"/>
        <w:jc w:val="both"/>
        <w:rPr>
          <w:szCs w:val="22"/>
        </w:rPr>
      </w:pPr>
    </w:p>
    <w:p w14:paraId="67018FBC" w14:textId="77777777" w:rsidR="00112FAB" w:rsidRDefault="00112FAB" w:rsidP="00112FAB">
      <w:pPr>
        <w:widowControl w:val="0"/>
        <w:autoSpaceDE w:val="0"/>
        <w:autoSpaceDN w:val="0"/>
        <w:adjustRightInd w:val="0"/>
        <w:jc w:val="both"/>
        <w:rPr>
          <w:szCs w:val="22"/>
        </w:rPr>
      </w:pPr>
    </w:p>
    <w:p w14:paraId="41F3FDC8" w14:textId="77777777" w:rsidR="00112FAB" w:rsidRPr="00974056" w:rsidRDefault="00112FAB" w:rsidP="00112FAB">
      <w:pPr>
        <w:pStyle w:val="Corpsdetexte"/>
        <w:spacing w:after="0"/>
        <w:jc w:val="center"/>
        <w:rPr>
          <w:rFonts w:ascii="Arial" w:hAnsi="Arial" w:cs="Arial"/>
          <w:b/>
          <w:sz w:val="22"/>
          <w:szCs w:val="22"/>
        </w:rPr>
      </w:pPr>
      <w:r w:rsidRPr="00974056">
        <w:rPr>
          <w:rFonts w:ascii="Arial" w:hAnsi="Arial" w:cs="Arial"/>
          <w:b/>
          <w:sz w:val="22"/>
          <w:szCs w:val="22"/>
        </w:rPr>
        <w:t>Tableau 3 : informations complémentaires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4"/>
      </w:tblGrid>
      <w:tr w:rsidR="00112FAB" w:rsidRPr="00E54419" w14:paraId="02E8DDDC" w14:textId="77777777" w:rsidTr="00D01B65">
        <w:tc>
          <w:tcPr>
            <w:tcW w:w="9280" w:type="dxa"/>
            <w:shd w:val="clear" w:color="auto" w:fill="auto"/>
          </w:tcPr>
          <w:p w14:paraId="485BBD5E" w14:textId="77777777" w:rsidR="00112FAB" w:rsidRPr="00E54419" w:rsidRDefault="00112FAB" w:rsidP="00D01B65">
            <w:pPr>
              <w:pStyle w:val="Corpsdetexte"/>
              <w:spacing w:after="0"/>
              <w:jc w:val="both"/>
              <w:rPr>
                <w:sz w:val="20"/>
                <w:szCs w:val="20"/>
              </w:rPr>
            </w:pPr>
            <w:r w:rsidRPr="00E54419">
              <w:rPr>
                <w:sz w:val="20"/>
                <w:szCs w:val="20"/>
              </w:rPr>
              <w:t>Nom du groupe d’entreprises multinationales :</w:t>
            </w:r>
          </w:p>
          <w:p w14:paraId="027CA594" w14:textId="77777777" w:rsidR="00112FAB" w:rsidRPr="00E54419" w:rsidRDefault="00112FAB" w:rsidP="00D01B65">
            <w:pPr>
              <w:pStyle w:val="Corpsdetexte"/>
              <w:spacing w:after="0"/>
              <w:jc w:val="both"/>
              <w:rPr>
                <w:sz w:val="20"/>
                <w:szCs w:val="20"/>
              </w:rPr>
            </w:pPr>
            <w:r w:rsidRPr="00E54419">
              <w:rPr>
                <w:sz w:val="20"/>
                <w:szCs w:val="20"/>
              </w:rPr>
              <w:t>Exercice fiscal considéré :</w:t>
            </w:r>
          </w:p>
        </w:tc>
      </w:tr>
      <w:tr w:rsidR="00112FAB" w:rsidRPr="00E54419" w14:paraId="1EAD575A" w14:textId="77777777" w:rsidTr="00D01B65">
        <w:tc>
          <w:tcPr>
            <w:tcW w:w="9280" w:type="dxa"/>
            <w:shd w:val="clear" w:color="auto" w:fill="auto"/>
          </w:tcPr>
          <w:p w14:paraId="3A93F227" w14:textId="77777777" w:rsidR="00112FAB" w:rsidRDefault="00112FAB" w:rsidP="00D01B65">
            <w:pPr>
              <w:pStyle w:val="Corpsdetexte"/>
              <w:spacing w:after="0"/>
              <w:jc w:val="both"/>
              <w:rPr>
                <w:sz w:val="20"/>
                <w:szCs w:val="20"/>
              </w:rPr>
            </w:pPr>
            <w:r w:rsidRPr="00E54419">
              <w:rPr>
                <w:sz w:val="20"/>
                <w:szCs w:val="20"/>
              </w:rPr>
              <w:t>Veuillez ajouter dans cette rubrique les informations ou explications succinctes complémentaires qui vous semblent nécessaires ou qui faciliteraient la compréhension des informations obligatoire fournies dans la déclaration pays par pays</w:t>
            </w:r>
          </w:p>
          <w:p w14:paraId="58BD999A" w14:textId="77777777" w:rsidR="00112FAB" w:rsidRDefault="00112FAB" w:rsidP="00D01B65">
            <w:pPr>
              <w:pStyle w:val="Corpsdetexte"/>
              <w:spacing w:after="0"/>
              <w:jc w:val="both"/>
              <w:rPr>
                <w:sz w:val="20"/>
                <w:szCs w:val="20"/>
              </w:rPr>
            </w:pPr>
          </w:p>
          <w:p w14:paraId="7CBAA087" w14:textId="77777777" w:rsidR="00112FAB" w:rsidRPr="00E54419" w:rsidRDefault="00112FAB" w:rsidP="00D01B65">
            <w:pPr>
              <w:pStyle w:val="Corpsdetexte"/>
              <w:spacing w:after="0"/>
              <w:jc w:val="both"/>
              <w:rPr>
                <w:sz w:val="20"/>
                <w:szCs w:val="20"/>
              </w:rPr>
            </w:pPr>
          </w:p>
        </w:tc>
      </w:tr>
    </w:tbl>
    <w:p w14:paraId="7AFCD85B" w14:textId="77777777" w:rsidR="00112FAB" w:rsidRPr="005966BC" w:rsidRDefault="00112FAB" w:rsidP="00112FAB">
      <w:pPr>
        <w:pStyle w:val="Corpsdetexte"/>
        <w:spacing w:after="0"/>
        <w:jc w:val="both"/>
        <w:rPr>
          <w:b/>
          <w:sz w:val="28"/>
          <w:szCs w:val="28"/>
        </w:rPr>
      </w:pPr>
    </w:p>
    <w:p w14:paraId="510511E5" w14:textId="77777777" w:rsidR="00112FAB" w:rsidRDefault="00112FAB" w:rsidP="00112FAB">
      <w:pPr>
        <w:pStyle w:val="Corpsdetexte"/>
        <w:spacing w:after="0"/>
        <w:jc w:val="both"/>
        <w:rPr>
          <w:b/>
          <w:sz w:val="28"/>
          <w:szCs w:val="28"/>
        </w:rPr>
      </w:pPr>
    </w:p>
    <w:p w14:paraId="7B398600" w14:textId="77777777" w:rsidR="004A6A27" w:rsidRDefault="004A6A27" w:rsidP="00112FAB">
      <w:pPr>
        <w:pStyle w:val="Corpsdetexte"/>
        <w:spacing w:after="0"/>
        <w:jc w:val="both"/>
        <w:rPr>
          <w:b/>
          <w:sz w:val="28"/>
          <w:szCs w:val="28"/>
        </w:rPr>
      </w:pPr>
    </w:p>
    <w:p w14:paraId="0FF1268A" w14:textId="77777777" w:rsidR="004A6A27" w:rsidRDefault="004A6A27" w:rsidP="00112FAB">
      <w:pPr>
        <w:pStyle w:val="Corpsdetexte"/>
        <w:spacing w:after="0"/>
        <w:jc w:val="both"/>
        <w:rPr>
          <w:b/>
          <w:sz w:val="28"/>
          <w:szCs w:val="28"/>
        </w:rPr>
      </w:pPr>
    </w:p>
    <w:p w14:paraId="4A8C5B54" w14:textId="34B70E44" w:rsidR="00112FAB" w:rsidRPr="00162440" w:rsidRDefault="008D14F5" w:rsidP="00C17273">
      <w:pPr>
        <w:pStyle w:val="Corpsdetexte"/>
        <w:spacing w:after="0"/>
        <w:jc w:val="both"/>
        <w:rPr>
          <w:rFonts w:ascii="Arial" w:hAnsi="Arial" w:cs="Arial"/>
          <w:b/>
          <w:color w:val="000000" w:themeColor="text1"/>
          <w:sz w:val="28"/>
          <w:szCs w:val="28"/>
        </w:rPr>
      </w:pPr>
      <w:r w:rsidRPr="00162440">
        <w:rPr>
          <w:rFonts w:ascii="Arial" w:hAnsi="Arial" w:cs="Arial"/>
          <w:b/>
          <w:color w:val="000000" w:themeColor="text1"/>
          <w:sz w:val="28"/>
          <w:szCs w:val="28"/>
        </w:rPr>
        <w:t>V - Les projets de directives : BEFIT et prix de transfert</w:t>
      </w:r>
    </w:p>
    <w:p w14:paraId="059876E4" w14:textId="66071A1B" w:rsidR="00112FAB" w:rsidRPr="00162440" w:rsidRDefault="008D14F5" w:rsidP="00C17273">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 xml:space="preserve">En septembre 2023, la Commission européenne a publié deux projets de Directives : une relative à l’initiative BEFIT (« Business in Europe : Framework for </w:t>
      </w:r>
      <w:proofErr w:type="spellStart"/>
      <w:r w:rsidRPr="00162440">
        <w:rPr>
          <w:rFonts w:ascii="Arial" w:hAnsi="Arial" w:cs="Arial"/>
          <w:bCs/>
          <w:color w:val="000000" w:themeColor="text1"/>
          <w:sz w:val="22"/>
          <w:szCs w:val="22"/>
        </w:rPr>
        <w:t>Income</w:t>
      </w:r>
      <w:proofErr w:type="spellEnd"/>
      <w:r w:rsidRPr="00162440">
        <w:rPr>
          <w:rFonts w:ascii="Arial" w:hAnsi="Arial" w:cs="Arial"/>
          <w:bCs/>
          <w:color w:val="000000" w:themeColor="text1"/>
          <w:sz w:val="22"/>
          <w:szCs w:val="22"/>
        </w:rPr>
        <w:t xml:space="preserve"> Taxation</w:t>
      </w:r>
      <w:r w:rsidRPr="00162440">
        <w:rPr>
          <w:rStyle w:val="Appelnotedebasdep"/>
          <w:rFonts w:ascii="Arial" w:hAnsi="Arial" w:cs="Arial"/>
          <w:bCs/>
          <w:color w:val="000000" w:themeColor="text1"/>
          <w:sz w:val="22"/>
          <w:szCs w:val="22"/>
        </w:rPr>
        <w:footnoteReference w:id="8"/>
      </w:r>
      <w:r w:rsidRPr="00162440">
        <w:rPr>
          <w:rFonts w:ascii="Arial" w:hAnsi="Arial" w:cs="Arial"/>
          <w:bCs/>
          <w:color w:val="000000" w:themeColor="text1"/>
          <w:sz w:val="22"/>
          <w:szCs w:val="22"/>
        </w:rPr>
        <w:t xml:space="preserve"> </w:t>
      </w:r>
      <w:r w:rsidR="000E2052" w:rsidRPr="00162440">
        <w:rPr>
          <w:rFonts w:ascii="Arial" w:hAnsi="Arial" w:cs="Arial"/>
          <w:bCs/>
          <w:color w:val="000000" w:themeColor="text1"/>
          <w:sz w:val="22"/>
          <w:szCs w:val="22"/>
        </w:rPr>
        <w:t>») qui</w:t>
      </w:r>
      <w:r w:rsidRPr="00162440">
        <w:rPr>
          <w:rFonts w:ascii="Arial" w:hAnsi="Arial" w:cs="Arial"/>
          <w:bCs/>
          <w:color w:val="000000" w:themeColor="text1"/>
          <w:sz w:val="22"/>
          <w:szCs w:val="22"/>
        </w:rPr>
        <w:t xml:space="preserve"> devrait s’appliquer à compter du 1er juillet 2028, et une spécifique aux prix de transfert</w:t>
      </w:r>
      <w:r w:rsidRPr="00162440">
        <w:rPr>
          <w:rStyle w:val="Appelnotedebasdep"/>
          <w:rFonts w:ascii="Arial" w:hAnsi="Arial" w:cs="Arial"/>
          <w:bCs/>
          <w:color w:val="000000" w:themeColor="text1"/>
          <w:sz w:val="22"/>
          <w:szCs w:val="22"/>
        </w:rPr>
        <w:footnoteReference w:id="9"/>
      </w:r>
      <w:r w:rsidRPr="00162440">
        <w:rPr>
          <w:rFonts w:ascii="Arial" w:hAnsi="Arial" w:cs="Arial"/>
          <w:bCs/>
          <w:color w:val="000000" w:themeColor="text1"/>
          <w:sz w:val="22"/>
          <w:szCs w:val="22"/>
        </w:rPr>
        <w:t xml:space="preserve"> (« Directive Prix de Transfert ») qui serait applicable dès le 1er janvier 2026.</w:t>
      </w:r>
    </w:p>
    <w:p w14:paraId="4C597407" w14:textId="77777777" w:rsidR="00C17273" w:rsidRPr="00162440" w:rsidRDefault="00C17273" w:rsidP="00C17273">
      <w:pPr>
        <w:pStyle w:val="Corpsdetexte"/>
        <w:spacing w:after="0"/>
        <w:jc w:val="both"/>
        <w:rPr>
          <w:rFonts w:ascii="Arial" w:hAnsi="Arial" w:cs="Arial"/>
          <w:bCs/>
          <w:color w:val="000000" w:themeColor="text1"/>
          <w:sz w:val="22"/>
          <w:szCs w:val="22"/>
        </w:rPr>
      </w:pPr>
    </w:p>
    <w:p w14:paraId="14582E24" w14:textId="77777777" w:rsidR="00C17273" w:rsidRPr="00162440" w:rsidRDefault="00C17273" w:rsidP="00C17273">
      <w:pPr>
        <w:pStyle w:val="Corpsdetexte"/>
        <w:spacing w:after="0"/>
        <w:jc w:val="both"/>
        <w:rPr>
          <w:rFonts w:ascii="Arial" w:hAnsi="Arial" w:cs="Arial"/>
          <w:b/>
          <w:color w:val="000000" w:themeColor="text1"/>
          <w:sz w:val="22"/>
          <w:szCs w:val="22"/>
        </w:rPr>
      </w:pPr>
      <w:r w:rsidRPr="00162440">
        <w:rPr>
          <w:rFonts w:ascii="Arial" w:hAnsi="Arial" w:cs="Arial"/>
          <w:b/>
          <w:color w:val="000000" w:themeColor="text1"/>
          <w:sz w:val="22"/>
          <w:szCs w:val="22"/>
        </w:rPr>
        <w:t>1. Directive Prix de Transfert : intégration des Principes de l’OCDE en matière de prix de transfert avec certaines spécificités</w:t>
      </w:r>
    </w:p>
    <w:p w14:paraId="5176049D" w14:textId="77777777" w:rsidR="00191E73" w:rsidRPr="00162440" w:rsidRDefault="00C17273" w:rsidP="00C17273">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Afin de simplifier la réglementation applicable, réduire le risque de double imposition et diminuer le coût de conformité pour les groupes, la Directive Prix de Transfert vise à</w:t>
      </w:r>
    </w:p>
    <w:p w14:paraId="5C38632D" w14:textId="680BD5D6" w:rsidR="00191E73" w:rsidRPr="00162440" w:rsidRDefault="00191E73" w:rsidP="00191E73">
      <w:pPr>
        <w:pStyle w:val="Corpsdetexte"/>
        <w:numPr>
          <w:ilvl w:val="0"/>
          <w:numId w:val="10"/>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Intégrer</w:t>
      </w:r>
      <w:r w:rsidR="00C17273" w:rsidRPr="00162440">
        <w:rPr>
          <w:rFonts w:ascii="Arial" w:hAnsi="Arial" w:cs="Arial"/>
          <w:bCs/>
          <w:color w:val="000000" w:themeColor="text1"/>
          <w:sz w:val="22"/>
          <w:szCs w:val="22"/>
        </w:rPr>
        <w:t xml:space="preserve"> le principe de pleine concurrence dans le droit de l’Union,</w:t>
      </w:r>
    </w:p>
    <w:p w14:paraId="631BEAC7" w14:textId="02D288E7" w:rsidR="00191E73" w:rsidRPr="00162440" w:rsidRDefault="00191E73" w:rsidP="00191E73">
      <w:pPr>
        <w:pStyle w:val="Corpsdetexte"/>
        <w:numPr>
          <w:ilvl w:val="0"/>
          <w:numId w:val="10"/>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Harmoniser</w:t>
      </w:r>
      <w:r w:rsidR="00C17273" w:rsidRPr="00162440">
        <w:rPr>
          <w:rFonts w:ascii="Arial" w:hAnsi="Arial" w:cs="Arial"/>
          <w:bCs/>
          <w:color w:val="000000" w:themeColor="text1"/>
          <w:sz w:val="22"/>
          <w:szCs w:val="22"/>
        </w:rPr>
        <w:t xml:space="preserve"> les principales règles en matière de prix de transfert,</w:t>
      </w:r>
    </w:p>
    <w:p w14:paraId="15EEDA78" w14:textId="6FCD62A7" w:rsidR="00C17273" w:rsidRPr="00162440" w:rsidRDefault="00191E73" w:rsidP="00191E73">
      <w:pPr>
        <w:pStyle w:val="Corpsdetexte"/>
        <w:numPr>
          <w:ilvl w:val="0"/>
          <w:numId w:val="10"/>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Et</w:t>
      </w:r>
      <w:r w:rsidR="00C17273" w:rsidRPr="00162440">
        <w:rPr>
          <w:rFonts w:ascii="Arial" w:hAnsi="Arial" w:cs="Arial"/>
          <w:bCs/>
          <w:color w:val="000000" w:themeColor="text1"/>
          <w:sz w:val="22"/>
          <w:szCs w:val="22"/>
        </w:rPr>
        <w:t xml:space="preserve"> créer la possibilité pour la Commission d’établir, au sein de l’Union, des règles communes sur des sujets spécifiques en matière de prix de transfert dans le cadre des recommandations de </w:t>
      </w:r>
      <w:r w:rsidR="00A65D28" w:rsidRPr="00162440">
        <w:rPr>
          <w:rFonts w:ascii="Arial" w:hAnsi="Arial" w:cs="Arial"/>
          <w:bCs/>
          <w:color w:val="000000" w:themeColor="text1"/>
          <w:sz w:val="22"/>
          <w:szCs w:val="22"/>
        </w:rPr>
        <w:t>l’OCDE (</w:t>
      </w:r>
      <w:r w:rsidR="00C17273" w:rsidRPr="00162440">
        <w:rPr>
          <w:rFonts w:ascii="Arial" w:hAnsi="Arial" w:cs="Arial"/>
          <w:bCs/>
          <w:color w:val="000000" w:themeColor="text1"/>
          <w:sz w:val="22"/>
          <w:szCs w:val="22"/>
        </w:rPr>
        <w:t>3).</w:t>
      </w:r>
    </w:p>
    <w:p w14:paraId="55A113AA" w14:textId="77777777" w:rsidR="00191E73" w:rsidRPr="00162440" w:rsidRDefault="00191E73" w:rsidP="00C17273">
      <w:pPr>
        <w:pStyle w:val="Corpsdetexte"/>
        <w:spacing w:after="0"/>
        <w:jc w:val="both"/>
        <w:rPr>
          <w:rFonts w:ascii="Arial" w:hAnsi="Arial" w:cs="Arial"/>
          <w:bCs/>
          <w:color w:val="000000" w:themeColor="text1"/>
          <w:sz w:val="22"/>
          <w:szCs w:val="22"/>
        </w:rPr>
      </w:pPr>
    </w:p>
    <w:p w14:paraId="2C450A2D" w14:textId="77777777" w:rsidR="00191E73" w:rsidRPr="00162440" w:rsidRDefault="00191E73" w:rsidP="00C17273">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U</w:t>
      </w:r>
      <w:r w:rsidR="00C17273" w:rsidRPr="00162440">
        <w:rPr>
          <w:rFonts w:ascii="Arial" w:hAnsi="Arial" w:cs="Arial"/>
          <w:bCs/>
          <w:color w:val="000000" w:themeColor="text1"/>
          <w:sz w:val="22"/>
          <w:szCs w:val="22"/>
        </w:rPr>
        <w:t xml:space="preserve">ne grande partie des règles exposées dans le projet de Directive Prix de Transfert est alignée avec les recommandations de l’OCDE. Néanmoins, certaines spécificités </w:t>
      </w:r>
      <w:r w:rsidRPr="00162440">
        <w:rPr>
          <w:rFonts w:ascii="Arial" w:hAnsi="Arial" w:cs="Arial"/>
          <w:bCs/>
          <w:color w:val="000000" w:themeColor="text1"/>
          <w:sz w:val="22"/>
          <w:szCs w:val="22"/>
        </w:rPr>
        <w:t>apparaissent dans le projet.</w:t>
      </w:r>
    </w:p>
    <w:p w14:paraId="14FE4259" w14:textId="77777777" w:rsidR="009268A2" w:rsidRPr="00162440" w:rsidRDefault="009268A2" w:rsidP="00C17273">
      <w:pPr>
        <w:pStyle w:val="Corpsdetexte"/>
        <w:spacing w:after="0"/>
        <w:jc w:val="both"/>
        <w:rPr>
          <w:rFonts w:ascii="Arial" w:hAnsi="Arial" w:cs="Arial"/>
          <w:bCs/>
          <w:color w:val="000000" w:themeColor="text1"/>
          <w:sz w:val="22"/>
          <w:szCs w:val="22"/>
        </w:rPr>
      </w:pPr>
    </w:p>
    <w:p w14:paraId="39A65D1D" w14:textId="155B4701" w:rsidR="00191E73" w:rsidRPr="00162440" w:rsidRDefault="00191E73" w:rsidP="00191E73">
      <w:pPr>
        <w:pStyle w:val="Corpsdetexte"/>
        <w:jc w:val="both"/>
        <w:rPr>
          <w:rFonts w:ascii="Arial" w:hAnsi="Arial" w:cs="Arial"/>
          <w:bCs/>
          <w:color w:val="000000" w:themeColor="text1"/>
          <w:sz w:val="22"/>
          <w:szCs w:val="22"/>
        </w:rPr>
      </w:pPr>
      <w:r w:rsidRPr="00162440">
        <w:rPr>
          <w:rFonts w:ascii="Arial" w:hAnsi="Arial" w:cs="Arial"/>
          <w:bCs/>
          <w:color w:val="000000" w:themeColor="text1"/>
          <w:sz w:val="22"/>
          <w:szCs w:val="22"/>
          <w:u w:val="single"/>
        </w:rPr>
        <w:t>Définition de l’entreprise associée</w:t>
      </w:r>
      <w:r w:rsidRPr="00162440">
        <w:rPr>
          <w:rFonts w:ascii="Arial" w:hAnsi="Arial" w:cs="Arial"/>
          <w:bCs/>
          <w:color w:val="000000" w:themeColor="text1"/>
          <w:sz w:val="22"/>
          <w:szCs w:val="22"/>
        </w:rPr>
        <w:t> : l’article 5 du projet de Directive propose notamment de retenir un seuil de détention de minimum 25% dans les droits de vote, le capital ou le bénéfice d’une entité pour établir un lien de dépendance.</w:t>
      </w:r>
    </w:p>
    <w:p w14:paraId="3DD8F0CA" w14:textId="43253F10" w:rsidR="000E2052" w:rsidRPr="00162440" w:rsidRDefault="00191E73" w:rsidP="00191E73">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Or, l’application de ce seuil n’est pas cohérente avec la doctrine administrative française qui précise que la notion d'entreprises associées coïncide avec celle d'entités juridiques liées au sens du 12 de l'article 39 du CGI et répute ainsi l’existence d’un lien de dépendance à un seuil de détention de minimum 50 %. Cela aura comme conséquence directe pour les entreprises françaises d’étendre le champ de leur obligation documentaire en matière de prix de transfert à des entités qui auparavant n’étaient pas considérées comme associées.</w:t>
      </w:r>
    </w:p>
    <w:p w14:paraId="6B9A5489" w14:textId="77777777" w:rsidR="00191E73" w:rsidRPr="00162440" w:rsidRDefault="00191E73" w:rsidP="00191E73">
      <w:pPr>
        <w:pStyle w:val="Corpsdetexte"/>
        <w:spacing w:after="0"/>
        <w:jc w:val="both"/>
        <w:rPr>
          <w:rFonts w:ascii="Arial" w:hAnsi="Arial" w:cs="Arial"/>
          <w:bCs/>
          <w:color w:val="000000" w:themeColor="text1"/>
          <w:sz w:val="22"/>
          <w:szCs w:val="22"/>
        </w:rPr>
      </w:pPr>
    </w:p>
    <w:p w14:paraId="07890D6B" w14:textId="77777777" w:rsidR="00191E73" w:rsidRDefault="00191E73" w:rsidP="00191E73">
      <w:pPr>
        <w:pStyle w:val="Corpsdetexte"/>
        <w:spacing w:after="0"/>
        <w:jc w:val="both"/>
        <w:rPr>
          <w:rFonts w:ascii="Arial" w:hAnsi="Arial" w:cs="Arial"/>
          <w:bCs/>
          <w:color w:val="000000" w:themeColor="text1"/>
          <w:sz w:val="22"/>
          <w:szCs w:val="22"/>
        </w:rPr>
      </w:pPr>
    </w:p>
    <w:p w14:paraId="601FCFE7" w14:textId="77777777" w:rsidR="003E3183" w:rsidRDefault="003E3183" w:rsidP="00191E73">
      <w:pPr>
        <w:pStyle w:val="Corpsdetexte"/>
        <w:spacing w:after="0"/>
        <w:jc w:val="both"/>
        <w:rPr>
          <w:rFonts w:ascii="Arial" w:hAnsi="Arial" w:cs="Arial"/>
          <w:bCs/>
          <w:color w:val="000000" w:themeColor="text1"/>
          <w:sz w:val="22"/>
          <w:szCs w:val="22"/>
        </w:rPr>
      </w:pPr>
    </w:p>
    <w:p w14:paraId="6D827EC6" w14:textId="77777777" w:rsidR="003E3183" w:rsidRPr="00162440" w:rsidRDefault="003E3183" w:rsidP="00191E73">
      <w:pPr>
        <w:pStyle w:val="Corpsdetexte"/>
        <w:spacing w:after="0"/>
        <w:jc w:val="both"/>
        <w:rPr>
          <w:rFonts w:ascii="Arial" w:hAnsi="Arial" w:cs="Arial"/>
          <w:bCs/>
          <w:color w:val="000000" w:themeColor="text1"/>
          <w:sz w:val="22"/>
          <w:szCs w:val="22"/>
        </w:rPr>
      </w:pPr>
    </w:p>
    <w:p w14:paraId="2657B4F6" w14:textId="6D6A27F8" w:rsidR="00191E73" w:rsidRPr="00162440" w:rsidRDefault="00191E73" w:rsidP="00191E73">
      <w:pPr>
        <w:pStyle w:val="Corpsdetexte"/>
        <w:spacing w:after="0"/>
        <w:jc w:val="center"/>
        <w:rPr>
          <w:rFonts w:ascii="Arial" w:hAnsi="Arial" w:cs="Arial"/>
          <w:b/>
          <w:color w:val="000000" w:themeColor="text1"/>
          <w:sz w:val="22"/>
          <w:szCs w:val="22"/>
        </w:rPr>
      </w:pPr>
      <w:r w:rsidRPr="00162440">
        <w:rPr>
          <w:rFonts w:ascii="Arial" w:hAnsi="Arial" w:cs="Arial"/>
          <w:b/>
          <w:color w:val="000000" w:themeColor="text1"/>
          <w:sz w:val="22"/>
          <w:szCs w:val="22"/>
        </w:rPr>
        <w:lastRenderedPageBreak/>
        <w:t>Article 39 CGI</w:t>
      </w:r>
    </w:p>
    <w:p w14:paraId="652DB161" w14:textId="0FB17810" w:rsidR="00191E73" w:rsidRPr="00162440" w:rsidRDefault="00191E73" w:rsidP="00191E73">
      <w:pPr>
        <w:pStyle w:val="Corpsdetexte"/>
        <w:pBdr>
          <w:top w:val="single" w:sz="4" w:space="1" w:color="auto"/>
          <w:left w:val="single" w:sz="4" w:space="4" w:color="auto"/>
          <w:bottom w:val="single" w:sz="4" w:space="1" w:color="auto"/>
          <w:right w:val="single" w:sz="4" w:space="4" w:color="auto"/>
        </w:pBd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12. Des liens de dépendance sont réputés exister entre deux entreprises :</w:t>
      </w:r>
    </w:p>
    <w:p w14:paraId="5ACE83C0" w14:textId="42466CF6" w:rsidR="00191E73" w:rsidRPr="00162440" w:rsidRDefault="00191E73" w:rsidP="00191E73">
      <w:pPr>
        <w:pStyle w:val="Corpsdetexte"/>
        <w:pBdr>
          <w:top w:val="single" w:sz="4" w:space="1" w:color="auto"/>
          <w:left w:val="single" w:sz="4" w:space="4" w:color="auto"/>
          <w:bottom w:val="single" w:sz="4" w:space="1" w:color="auto"/>
          <w:right w:val="single" w:sz="4" w:space="4" w:color="auto"/>
        </w:pBdr>
        <w:spacing w:after="0"/>
        <w:jc w:val="both"/>
        <w:rPr>
          <w:rFonts w:ascii="Arial" w:hAnsi="Arial" w:cs="Arial"/>
          <w:bCs/>
          <w:color w:val="000000" w:themeColor="text1"/>
          <w:sz w:val="22"/>
          <w:szCs w:val="22"/>
        </w:rPr>
      </w:pPr>
      <w:proofErr w:type="gramStart"/>
      <w:r w:rsidRPr="00162440">
        <w:rPr>
          <w:rFonts w:ascii="Arial" w:hAnsi="Arial" w:cs="Arial"/>
          <w:bCs/>
          <w:color w:val="000000" w:themeColor="text1"/>
          <w:sz w:val="22"/>
          <w:szCs w:val="22"/>
        </w:rPr>
        <w:t>a</w:t>
      </w:r>
      <w:proofErr w:type="gramEnd"/>
      <w:r w:rsidRPr="00162440">
        <w:rPr>
          <w:rFonts w:ascii="Arial" w:hAnsi="Arial" w:cs="Arial"/>
          <w:bCs/>
          <w:color w:val="000000" w:themeColor="text1"/>
          <w:sz w:val="22"/>
          <w:szCs w:val="22"/>
        </w:rPr>
        <w:t xml:space="preserve"> - lorsque l'une détient directement ou par personne interposée la </w:t>
      </w:r>
      <w:r w:rsidRPr="00C91BDC">
        <w:rPr>
          <w:rFonts w:ascii="Arial" w:hAnsi="Arial" w:cs="Arial"/>
          <w:b/>
          <w:color w:val="000000" w:themeColor="text1"/>
          <w:sz w:val="22"/>
          <w:szCs w:val="22"/>
          <w:u w:val="single"/>
        </w:rPr>
        <w:t>majorité du capital</w:t>
      </w:r>
      <w:r w:rsidRPr="00162440">
        <w:rPr>
          <w:rFonts w:ascii="Arial" w:hAnsi="Arial" w:cs="Arial"/>
          <w:bCs/>
          <w:color w:val="000000" w:themeColor="text1"/>
          <w:sz w:val="22"/>
          <w:szCs w:val="22"/>
        </w:rPr>
        <w:t xml:space="preserve"> social de l'autre ou y exerce en fait le pouvoir de décision ;</w:t>
      </w:r>
    </w:p>
    <w:p w14:paraId="0488BBBB" w14:textId="25B16DF0" w:rsidR="00191E73" w:rsidRPr="00162440" w:rsidRDefault="00191E73" w:rsidP="00191E73">
      <w:pPr>
        <w:pStyle w:val="Corpsdetexte"/>
        <w:pBdr>
          <w:top w:val="single" w:sz="4" w:space="1" w:color="auto"/>
          <w:left w:val="single" w:sz="4" w:space="4" w:color="auto"/>
          <w:bottom w:val="single" w:sz="4" w:space="1" w:color="auto"/>
          <w:right w:val="single" w:sz="4" w:space="4" w:color="auto"/>
        </w:pBdr>
        <w:spacing w:after="0"/>
        <w:jc w:val="both"/>
        <w:rPr>
          <w:rFonts w:ascii="Arial" w:hAnsi="Arial" w:cs="Arial"/>
          <w:bCs/>
          <w:color w:val="000000" w:themeColor="text1"/>
          <w:sz w:val="22"/>
          <w:szCs w:val="22"/>
        </w:rPr>
      </w:pPr>
      <w:proofErr w:type="gramStart"/>
      <w:r w:rsidRPr="00162440">
        <w:rPr>
          <w:rFonts w:ascii="Arial" w:hAnsi="Arial" w:cs="Arial"/>
          <w:bCs/>
          <w:color w:val="000000" w:themeColor="text1"/>
          <w:sz w:val="22"/>
          <w:szCs w:val="22"/>
        </w:rPr>
        <w:t>b</w:t>
      </w:r>
      <w:proofErr w:type="gramEnd"/>
      <w:r w:rsidRPr="00162440">
        <w:rPr>
          <w:rFonts w:ascii="Arial" w:hAnsi="Arial" w:cs="Arial"/>
          <w:bCs/>
          <w:color w:val="000000" w:themeColor="text1"/>
          <w:sz w:val="22"/>
          <w:szCs w:val="22"/>
        </w:rPr>
        <w:t xml:space="preserve"> - lorsqu'elles sont placées l'une et l'autre, dans les conditions définies au a, sous le contrôle d'une même tierce entreprise.</w:t>
      </w:r>
    </w:p>
    <w:p w14:paraId="4515C658" w14:textId="77777777" w:rsidR="00112FAB" w:rsidRPr="00162440" w:rsidRDefault="00112FAB" w:rsidP="00C17273">
      <w:pPr>
        <w:pStyle w:val="Corpsdetexte"/>
        <w:spacing w:after="0"/>
        <w:rPr>
          <w:rFonts w:ascii="Arial" w:hAnsi="Arial" w:cs="Arial"/>
          <w:b/>
          <w:color w:val="000000" w:themeColor="text1"/>
          <w:sz w:val="28"/>
          <w:szCs w:val="28"/>
        </w:rPr>
      </w:pPr>
    </w:p>
    <w:p w14:paraId="1D76FF93" w14:textId="77777777" w:rsidR="00E37A9F" w:rsidRPr="00162440" w:rsidRDefault="00E37A9F" w:rsidP="00E37A9F">
      <w:pPr>
        <w:pStyle w:val="Corpsdetexte"/>
        <w:jc w:val="both"/>
        <w:rPr>
          <w:rFonts w:ascii="Arial" w:hAnsi="Arial" w:cs="Arial"/>
          <w:bCs/>
          <w:color w:val="000000" w:themeColor="text1"/>
          <w:sz w:val="22"/>
          <w:szCs w:val="22"/>
        </w:rPr>
      </w:pPr>
      <w:r w:rsidRPr="00162440">
        <w:rPr>
          <w:rFonts w:ascii="Arial" w:hAnsi="Arial" w:cs="Arial"/>
          <w:bCs/>
          <w:color w:val="000000" w:themeColor="text1"/>
          <w:sz w:val="22"/>
          <w:szCs w:val="22"/>
        </w:rPr>
        <w:t>De même, en matière d’analyses économiques (et notamment de recherches de sociétés comparables - dites « benchmark »), il conviendra de considérer comme dépendante toute entité détenue à plus de 25% par une autre. La modification de ce critère de sélection entrainera donc mécaniquement une baisse du nombre de comparables potentiels, ce qui pourrait complexifier davantage la réalisation de telles études.</w:t>
      </w:r>
    </w:p>
    <w:p w14:paraId="57DEB5D2" w14:textId="79377075" w:rsidR="00E37A9F" w:rsidRPr="00162440" w:rsidRDefault="00E37A9F" w:rsidP="00E37A9F">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En définitive, la nouvelle définition de l’entreprise associée permettra certes une harmonisation de la réglementation en la matière entre les États membres mais, d’un point de vue français, aura pour effet de potentiellement augmenter le coût de conformité pour les groupes.</w:t>
      </w:r>
    </w:p>
    <w:p w14:paraId="6F66FCAD" w14:textId="77777777" w:rsidR="00112FAB" w:rsidRPr="00162440" w:rsidRDefault="00112FAB" w:rsidP="00C17273">
      <w:pPr>
        <w:pStyle w:val="Corpsdetexte"/>
        <w:spacing w:after="0"/>
        <w:rPr>
          <w:rFonts w:ascii="Arial" w:hAnsi="Arial" w:cs="Arial"/>
          <w:b/>
          <w:color w:val="000000" w:themeColor="text1"/>
          <w:sz w:val="28"/>
          <w:szCs w:val="28"/>
        </w:rPr>
      </w:pPr>
    </w:p>
    <w:p w14:paraId="50DA6929" w14:textId="25417FEE" w:rsidR="009268A2" w:rsidRPr="00162440" w:rsidRDefault="009268A2" w:rsidP="009268A2">
      <w:pPr>
        <w:pStyle w:val="Corpsdetexte"/>
        <w:spacing w:after="0"/>
        <w:jc w:val="both"/>
        <w:rPr>
          <w:rFonts w:ascii="Arial" w:hAnsi="Arial" w:cs="Arial"/>
          <w:bCs/>
          <w:color w:val="000000" w:themeColor="text1"/>
          <w:sz w:val="22"/>
          <w:szCs w:val="22"/>
          <w:u w:val="single"/>
        </w:rPr>
      </w:pPr>
      <w:r w:rsidRPr="00162440">
        <w:rPr>
          <w:rFonts w:ascii="Arial" w:hAnsi="Arial" w:cs="Arial"/>
          <w:bCs/>
          <w:color w:val="000000" w:themeColor="text1"/>
          <w:sz w:val="22"/>
          <w:szCs w:val="22"/>
          <w:u w:val="single"/>
        </w:rPr>
        <w:t>Mise en place d’une procédure accélérée d’élimination des doubles impositions</w:t>
      </w:r>
    </w:p>
    <w:p w14:paraId="66012B99" w14:textId="77777777" w:rsidR="009268A2" w:rsidRPr="00162440" w:rsidRDefault="009268A2" w:rsidP="009268A2">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L’article 6 du projet de Directive prévoit la mise en place d’une procédure accélérée d’élimination des doubles impositions entre États membres en cas d’ajustement primaire, i.e. d’une augmentation de la base taxable d’une entité d’un État membre à la suite d’un redressement opéré en matière de prix de transfert.</w:t>
      </w:r>
    </w:p>
    <w:p w14:paraId="55F28763" w14:textId="77777777" w:rsidR="009268A2" w:rsidRPr="00162440" w:rsidRDefault="009268A2" w:rsidP="009268A2">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Cette procédure s’appliquerait à la demande du contribuable qui devra notamment fournir des éléments permettant d’établir le caractère de pleine concurrence de l’ajustement primaire proposé.</w:t>
      </w:r>
    </w:p>
    <w:p w14:paraId="5440D600" w14:textId="77777777" w:rsidR="009268A2" w:rsidRPr="00162440" w:rsidRDefault="009268A2" w:rsidP="009268A2">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En cas de recevabilité, les États membres devront alors s’assurer que, lorsque la double imposition résulte d’un ajustement primaire opéré dans un autre État membre, la procédure devra être conclue dans un délai de 180 jours suivants la réception de la demande du contribuable via l’envoi d’un avis motivé d’acceptation ou de rejet.</w:t>
      </w:r>
    </w:p>
    <w:p w14:paraId="154D615E" w14:textId="50364A1C" w:rsidR="009268A2" w:rsidRPr="00162440" w:rsidRDefault="009268A2" w:rsidP="009268A2">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Cette procédure dite « fast-</w:t>
      </w:r>
      <w:proofErr w:type="spellStart"/>
      <w:r w:rsidRPr="00162440">
        <w:rPr>
          <w:rFonts w:ascii="Arial" w:hAnsi="Arial" w:cs="Arial"/>
          <w:bCs/>
          <w:color w:val="000000" w:themeColor="text1"/>
          <w:sz w:val="22"/>
          <w:szCs w:val="22"/>
        </w:rPr>
        <w:t>track</w:t>
      </w:r>
      <w:proofErr w:type="spellEnd"/>
      <w:r w:rsidRPr="00162440">
        <w:rPr>
          <w:rFonts w:ascii="Arial" w:hAnsi="Arial" w:cs="Arial"/>
          <w:bCs/>
          <w:color w:val="000000" w:themeColor="text1"/>
          <w:sz w:val="22"/>
          <w:szCs w:val="22"/>
        </w:rPr>
        <w:t xml:space="preserve"> », qui s’inscrit en dehors des procédures amiables prévues par les conventions fiscales ou la Convention Européenne d’Arbitrage, permettra donc de résoudre de manière rapide et optimale les problèmes d’élimination des doubles impositions au sein de l’Union.</w:t>
      </w:r>
    </w:p>
    <w:p w14:paraId="6E8C3673" w14:textId="77777777" w:rsidR="00CE4B9B" w:rsidRPr="00162440" w:rsidRDefault="00CE4B9B" w:rsidP="009268A2">
      <w:pPr>
        <w:pStyle w:val="Corpsdetexte"/>
        <w:spacing w:after="0"/>
        <w:jc w:val="both"/>
        <w:rPr>
          <w:rFonts w:ascii="Arial" w:hAnsi="Arial" w:cs="Arial"/>
          <w:bCs/>
          <w:color w:val="000000" w:themeColor="text1"/>
          <w:sz w:val="22"/>
          <w:szCs w:val="22"/>
        </w:rPr>
      </w:pPr>
    </w:p>
    <w:p w14:paraId="2F7F4FA2" w14:textId="57AFC442" w:rsidR="00CE4B9B" w:rsidRPr="00162440" w:rsidRDefault="00CE4B9B" w:rsidP="00CE4B9B">
      <w:pPr>
        <w:pStyle w:val="Corpsdetexte"/>
        <w:spacing w:after="0"/>
        <w:jc w:val="both"/>
        <w:rPr>
          <w:rFonts w:ascii="Arial" w:hAnsi="Arial" w:cs="Arial"/>
          <w:bCs/>
          <w:color w:val="000000" w:themeColor="text1"/>
          <w:sz w:val="22"/>
          <w:szCs w:val="22"/>
          <w:u w:val="single"/>
        </w:rPr>
      </w:pPr>
      <w:r w:rsidRPr="00162440">
        <w:rPr>
          <w:rFonts w:ascii="Arial" w:hAnsi="Arial" w:cs="Arial"/>
          <w:bCs/>
          <w:color w:val="000000" w:themeColor="text1"/>
          <w:sz w:val="22"/>
          <w:szCs w:val="22"/>
          <w:u w:val="single"/>
        </w:rPr>
        <w:t>Positionnement dans l’intervalle de pleine concurrence en cas de redressement</w:t>
      </w:r>
    </w:p>
    <w:p w14:paraId="421EC288" w14:textId="77777777" w:rsidR="00CE4B9B" w:rsidRPr="00162440" w:rsidRDefault="00CE4B9B" w:rsidP="00CE4B9B">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L’article 12 du projet de Directive traite de la détermination d’un intervalle de pleine concurrence et précise à cet effet que si les résultats d'une transaction contrôlée se situent en dehors de l’intervalle de pleine concurrence, un ajustement devra être réalisé au niveau de la médiane des intervalles, à moins qu'il ne soit prouvé que tout autre point de l’intervalle constitue un prix de pleine concurrence eu égard aux circonstances du cas particulier.</w:t>
      </w:r>
    </w:p>
    <w:p w14:paraId="641EFA38" w14:textId="77777777" w:rsidR="00E37A9F" w:rsidRPr="00162440" w:rsidRDefault="00E37A9F" w:rsidP="00C17273">
      <w:pPr>
        <w:pStyle w:val="Corpsdetexte"/>
        <w:spacing w:after="0"/>
        <w:rPr>
          <w:rFonts w:ascii="Arial" w:hAnsi="Arial" w:cs="Arial"/>
          <w:b/>
          <w:color w:val="000000" w:themeColor="text1"/>
          <w:sz w:val="28"/>
          <w:szCs w:val="28"/>
        </w:rPr>
      </w:pPr>
    </w:p>
    <w:p w14:paraId="604C6AD7" w14:textId="77777777" w:rsidR="0059183C" w:rsidRPr="00162440" w:rsidRDefault="0059183C" w:rsidP="00C17273">
      <w:pPr>
        <w:pStyle w:val="Corpsdetexte"/>
        <w:spacing w:after="0"/>
        <w:rPr>
          <w:rFonts w:ascii="Arial" w:hAnsi="Arial" w:cs="Arial"/>
          <w:b/>
          <w:color w:val="000000" w:themeColor="text1"/>
          <w:sz w:val="28"/>
          <w:szCs w:val="28"/>
        </w:rPr>
      </w:pPr>
    </w:p>
    <w:p w14:paraId="632A9B7F" w14:textId="77777777" w:rsidR="0059183C" w:rsidRPr="00162440" w:rsidRDefault="0059183C" w:rsidP="0059183C">
      <w:pPr>
        <w:pStyle w:val="Corpsdetexte"/>
        <w:spacing w:after="0"/>
        <w:jc w:val="both"/>
        <w:rPr>
          <w:rFonts w:ascii="Arial" w:hAnsi="Arial" w:cs="Arial"/>
          <w:b/>
          <w:color w:val="000000" w:themeColor="text1"/>
          <w:sz w:val="22"/>
          <w:szCs w:val="22"/>
        </w:rPr>
      </w:pPr>
      <w:r w:rsidRPr="00162440">
        <w:rPr>
          <w:rFonts w:ascii="Arial" w:hAnsi="Arial" w:cs="Arial"/>
          <w:b/>
          <w:color w:val="000000" w:themeColor="text1"/>
          <w:sz w:val="22"/>
          <w:szCs w:val="22"/>
        </w:rPr>
        <w:t>2. Directive BEFIT : mise en place d’une approche simplifiée en matière de conformité concernant les prix de transfert</w:t>
      </w:r>
    </w:p>
    <w:p w14:paraId="749C4F65" w14:textId="77777777" w:rsidR="0059183C" w:rsidRPr="00162440" w:rsidRDefault="0059183C" w:rsidP="0059183C">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 xml:space="preserve">Le chapitre IV du projet de Directive BEFIT présente une approche simplifiée en matière de conformité concernant les prix de transfert pour les activités de distribution conduites au travers de distributeurs à faibles risques (« </w:t>
      </w:r>
      <w:proofErr w:type="spellStart"/>
      <w:r w:rsidRPr="00162440">
        <w:rPr>
          <w:rFonts w:ascii="Arial" w:hAnsi="Arial" w:cs="Arial"/>
          <w:bCs/>
          <w:color w:val="000000" w:themeColor="text1"/>
          <w:sz w:val="22"/>
          <w:szCs w:val="22"/>
        </w:rPr>
        <w:t>low-risk</w:t>
      </w:r>
      <w:proofErr w:type="spellEnd"/>
      <w:r w:rsidRPr="00162440">
        <w:rPr>
          <w:rFonts w:ascii="Arial" w:hAnsi="Arial" w:cs="Arial"/>
          <w:bCs/>
          <w:color w:val="000000" w:themeColor="text1"/>
          <w:sz w:val="22"/>
          <w:szCs w:val="22"/>
        </w:rPr>
        <w:t xml:space="preserve"> </w:t>
      </w:r>
      <w:proofErr w:type="spellStart"/>
      <w:r w:rsidRPr="00162440">
        <w:rPr>
          <w:rFonts w:ascii="Arial" w:hAnsi="Arial" w:cs="Arial"/>
          <w:bCs/>
          <w:color w:val="000000" w:themeColor="text1"/>
          <w:sz w:val="22"/>
          <w:szCs w:val="22"/>
        </w:rPr>
        <w:t>distributors</w:t>
      </w:r>
      <w:proofErr w:type="spellEnd"/>
      <w:r w:rsidRPr="00162440">
        <w:rPr>
          <w:rFonts w:ascii="Arial" w:hAnsi="Arial" w:cs="Arial"/>
          <w:bCs/>
          <w:color w:val="000000" w:themeColor="text1"/>
          <w:sz w:val="22"/>
          <w:szCs w:val="22"/>
        </w:rPr>
        <w:t xml:space="preserve"> ») et les activités de production réalisées par des fabricants sous contrats (« </w:t>
      </w:r>
      <w:proofErr w:type="spellStart"/>
      <w:r w:rsidRPr="00162440">
        <w:rPr>
          <w:rFonts w:ascii="Arial" w:hAnsi="Arial" w:cs="Arial"/>
          <w:bCs/>
          <w:color w:val="000000" w:themeColor="text1"/>
          <w:sz w:val="22"/>
          <w:szCs w:val="22"/>
        </w:rPr>
        <w:t>contract</w:t>
      </w:r>
      <w:proofErr w:type="spellEnd"/>
      <w:r w:rsidRPr="00162440">
        <w:rPr>
          <w:rFonts w:ascii="Arial" w:hAnsi="Arial" w:cs="Arial"/>
          <w:bCs/>
          <w:color w:val="000000" w:themeColor="text1"/>
          <w:sz w:val="22"/>
          <w:szCs w:val="22"/>
        </w:rPr>
        <w:t xml:space="preserve"> </w:t>
      </w:r>
      <w:proofErr w:type="spellStart"/>
      <w:r w:rsidRPr="00162440">
        <w:rPr>
          <w:rFonts w:ascii="Arial" w:hAnsi="Arial" w:cs="Arial"/>
          <w:bCs/>
          <w:color w:val="000000" w:themeColor="text1"/>
          <w:sz w:val="22"/>
          <w:szCs w:val="22"/>
        </w:rPr>
        <w:t>manufacturers</w:t>
      </w:r>
      <w:proofErr w:type="spellEnd"/>
      <w:r w:rsidRPr="00162440">
        <w:rPr>
          <w:rFonts w:ascii="Arial" w:hAnsi="Arial" w:cs="Arial"/>
          <w:bCs/>
          <w:color w:val="000000" w:themeColor="text1"/>
          <w:sz w:val="22"/>
          <w:szCs w:val="22"/>
        </w:rPr>
        <w:t xml:space="preserve"> »).</w:t>
      </w:r>
    </w:p>
    <w:p w14:paraId="2B9EC3FD" w14:textId="77777777" w:rsidR="0059183C" w:rsidRPr="00162440" w:rsidRDefault="0059183C" w:rsidP="0059183C">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Plus précisément, il est prévu que, pour ces entités de distribution et de production considérées comme ayant des activités routinières, les États membres construisent une échelle d’évaluation des risques en matière de prix de transfert en fonction de trois zones de profitabilité définis via des intervalles de marges obtenus sur la base de benchmarks publics :</w:t>
      </w:r>
    </w:p>
    <w:p w14:paraId="7AAAD37D" w14:textId="545B0467" w:rsidR="0059183C" w:rsidRPr="00162440" w:rsidRDefault="00E964E5" w:rsidP="0059183C">
      <w:pPr>
        <w:pStyle w:val="Corpsdetexte"/>
        <w:numPr>
          <w:ilvl w:val="0"/>
          <w:numId w:val="10"/>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Une</w:t>
      </w:r>
      <w:r w:rsidR="0059183C" w:rsidRPr="00162440">
        <w:rPr>
          <w:rFonts w:ascii="Arial" w:hAnsi="Arial" w:cs="Arial"/>
          <w:bCs/>
          <w:color w:val="000000" w:themeColor="text1"/>
          <w:sz w:val="22"/>
          <w:szCs w:val="22"/>
        </w:rPr>
        <w:t xml:space="preserve"> zone de risques faibles lorsque les entités couvertes enregistrent une rémunération au-dessus du 60ème centile de l’intervalle de marges,</w:t>
      </w:r>
    </w:p>
    <w:p w14:paraId="5811C86E" w14:textId="0F3EAE6E" w:rsidR="0059183C" w:rsidRPr="00162440" w:rsidRDefault="00E964E5" w:rsidP="0059183C">
      <w:pPr>
        <w:pStyle w:val="Corpsdetexte"/>
        <w:numPr>
          <w:ilvl w:val="0"/>
          <w:numId w:val="10"/>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lastRenderedPageBreak/>
        <w:t>Une</w:t>
      </w:r>
      <w:r w:rsidR="0059183C" w:rsidRPr="00162440">
        <w:rPr>
          <w:rFonts w:ascii="Arial" w:hAnsi="Arial" w:cs="Arial"/>
          <w:bCs/>
          <w:color w:val="000000" w:themeColor="text1"/>
          <w:sz w:val="22"/>
          <w:szCs w:val="22"/>
        </w:rPr>
        <w:t xml:space="preserve"> zone de risques moyens lorsque les entités couvertes enregistrent une rémunération entre le 40ème et le 60ème centile de l’intervalle de marges, et</w:t>
      </w:r>
    </w:p>
    <w:p w14:paraId="3AE2709D" w14:textId="5AE84526" w:rsidR="0059183C" w:rsidRPr="00162440" w:rsidRDefault="00E964E5" w:rsidP="0059183C">
      <w:pPr>
        <w:pStyle w:val="Corpsdetexte"/>
        <w:numPr>
          <w:ilvl w:val="0"/>
          <w:numId w:val="10"/>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Une</w:t>
      </w:r>
      <w:r w:rsidR="0059183C" w:rsidRPr="00162440">
        <w:rPr>
          <w:rFonts w:ascii="Arial" w:hAnsi="Arial" w:cs="Arial"/>
          <w:bCs/>
          <w:color w:val="000000" w:themeColor="text1"/>
          <w:sz w:val="22"/>
          <w:szCs w:val="22"/>
        </w:rPr>
        <w:t xml:space="preserve"> zone de risques élevés lorsque les entités couvertes enregistrent une rémunération en-dessous du 40ème centile de l’intervalle de marges. Cela permettrait donc aux administrations de focaliser leurs efforts sur les entités inclues dans la zone de risques élevés.</w:t>
      </w:r>
    </w:p>
    <w:p w14:paraId="1C07008B" w14:textId="77777777" w:rsidR="0059183C" w:rsidRPr="00162440" w:rsidRDefault="0059183C" w:rsidP="0059183C">
      <w:pPr>
        <w:pStyle w:val="Corpsdetexte"/>
        <w:spacing w:after="0"/>
        <w:jc w:val="both"/>
        <w:rPr>
          <w:rFonts w:ascii="Arial" w:hAnsi="Arial" w:cs="Arial"/>
          <w:bCs/>
          <w:color w:val="000000" w:themeColor="text1"/>
          <w:sz w:val="22"/>
          <w:szCs w:val="22"/>
        </w:rPr>
      </w:pPr>
    </w:p>
    <w:p w14:paraId="53AC8F3D" w14:textId="77777777" w:rsidR="0059183C" w:rsidRPr="00162440" w:rsidRDefault="0059183C" w:rsidP="0059183C">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A ce titre, deux benchmarks publics seraient réalisés :</w:t>
      </w:r>
    </w:p>
    <w:p w14:paraId="68C75A05" w14:textId="38CDD598" w:rsidR="00494AF6" w:rsidRPr="00162440" w:rsidRDefault="006C7C80" w:rsidP="00494AF6">
      <w:pPr>
        <w:pStyle w:val="Corpsdetexte"/>
        <w:numPr>
          <w:ilvl w:val="0"/>
          <w:numId w:val="13"/>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Un</w:t>
      </w:r>
      <w:r w:rsidR="0059183C" w:rsidRPr="00162440">
        <w:rPr>
          <w:rFonts w:ascii="Arial" w:hAnsi="Arial" w:cs="Arial"/>
          <w:bCs/>
          <w:color w:val="000000" w:themeColor="text1"/>
          <w:sz w:val="22"/>
          <w:szCs w:val="22"/>
        </w:rPr>
        <w:t xml:space="preserve"> pour les activités de distribution afin de définir un intervalle de marges d’exploitation moyennes à 5 ans, et</w:t>
      </w:r>
    </w:p>
    <w:p w14:paraId="012343C7" w14:textId="3B0BD366" w:rsidR="0059183C" w:rsidRPr="00162440" w:rsidRDefault="006C7C80" w:rsidP="00494AF6">
      <w:pPr>
        <w:pStyle w:val="Corpsdetexte"/>
        <w:numPr>
          <w:ilvl w:val="0"/>
          <w:numId w:val="13"/>
        </w:numPr>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U</w:t>
      </w:r>
      <w:r w:rsidR="0059183C" w:rsidRPr="00162440">
        <w:rPr>
          <w:rFonts w:ascii="Arial" w:hAnsi="Arial" w:cs="Arial"/>
          <w:bCs/>
          <w:color w:val="000000" w:themeColor="text1"/>
          <w:sz w:val="22"/>
          <w:szCs w:val="22"/>
        </w:rPr>
        <w:t>n pour les activités de production afin de définir un intervalle de marges sur coûts</w:t>
      </w:r>
      <w:r w:rsidR="002B2FDF" w:rsidRPr="00162440">
        <w:rPr>
          <w:rFonts w:ascii="Arial" w:hAnsi="Arial" w:cs="Arial"/>
          <w:bCs/>
          <w:color w:val="000000" w:themeColor="text1"/>
          <w:sz w:val="22"/>
          <w:szCs w:val="22"/>
        </w:rPr>
        <w:t xml:space="preserve">              </w:t>
      </w:r>
      <w:r w:rsidR="0059183C" w:rsidRPr="00162440">
        <w:rPr>
          <w:rFonts w:ascii="Arial" w:hAnsi="Arial" w:cs="Arial"/>
          <w:bCs/>
          <w:color w:val="000000" w:themeColor="text1"/>
          <w:sz w:val="22"/>
          <w:szCs w:val="22"/>
        </w:rPr>
        <w:t>moyennes à 5 ans. Ces benchmarks seront mis à jour tous les trois ans et seront publiés sur le site internet de la Commission afin de permettre aux contribuables de déterminer la zone de risque dans laquelle se situent leurs activités.</w:t>
      </w:r>
    </w:p>
    <w:p w14:paraId="40EBCF22" w14:textId="77777777" w:rsidR="0059183C" w:rsidRPr="00162440" w:rsidRDefault="0059183C" w:rsidP="0059183C">
      <w:pPr>
        <w:pStyle w:val="Corpsdetexte"/>
        <w:spacing w:after="0"/>
        <w:jc w:val="both"/>
        <w:rPr>
          <w:rFonts w:ascii="Arial" w:hAnsi="Arial" w:cs="Arial"/>
          <w:bCs/>
          <w:color w:val="000000" w:themeColor="text1"/>
          <w:sz w:val="22"/>
          <w:szCs w:val="22"/>
        </w:rPr>
      </w:pPr>
    </w:p>
    <w:p w14:paraId="47014077" w14:textId="31761AC7" w:rsidR="0059183C" w:rsidRPr="00162440" w:rsidRDefault="0059183C" w:rsidP="0059183C">
      <w:pPr>
        <w:pStyle w:val="Corpsdetexte"/>
        <w:spacing w:after="0"/>
        <w:jc w:val="both"/>
        <w:rPr>
          <w:rFonts w:ascii="Arial" w:hAnsi="Arial" w:cs="Arial"/>
          <w:bCs/>
          <w:color w:val="000000" w:themeColor="text1"/>
          <w:sz w:val="22"/>
          <w:szCs w:val="22"/>
        </w:rPr>
      </w:pPr>
      <w:r w:rsidRPr="00162440">
        <w:rPr>
          <w:rFonts w:ascii="Arial" w:hAnsi="Arial" w:cs="Arial"/>
          <w:bCs/>
          <w:color w:val="000000" w:themeColor="text1"/>
          <w:sz w:val="22"/>
          <w:szCs w:val="22"/>
        </w:rPr>
        <w:t>Cette approche simplifiée s’avère certes pragmatique mais révèle néanmoins de potentielles carences en matière de comparabilité dans la mesure où elle consiste à appliquer une méthodologie toutes industries confondues pour la réalisation des benchmarks. En effet, les niveaux de marges observés sur le marché sont différents d’un secteur à un autre. Par conséquent, l’application d’une telle approche risquerait de stigmatiser certaines industries pour lesquelles les marges seraient potentiellement toujours classées en zone de risques élevés et, à l’inverse, de permettre à certains secteurs largement profitables de diminuer leurs marges à un niveau bas au sein de la zone de risques faibles.</w:t>
      </w:r>
    </w:p>
    <w:p w14:paraId="1CC94B62" w14:textId="77777777" w:rsidR="00E37A9F" w:rsidRPr="008D14F5" w:rsidRDefault="00E37A9F" w:rsidP="00C17273">
      <w:pPr>
        <w:pStyle w:val="Corpsdetexte"/>
        <w:spacing w:after="0"/>
        <w:rPr>
          <w:rFonts w:ascii="Arial" w:hAnsi="Arial" w:cs="Arial"/>
          <w:b/>
          <w:sz w:val="28"/>
          <w:szCs w:val="28"/>
        </w:rPr>
      </w:pPr>
    </w:p>
    <w:p w14:paraId="5CF86977" w14:textId="77777777" w:rsidR="00112FAB" w:rsidRDefault="00112FAB" w:rsidP="00112FAB">
      <w:pPr>
        <w:pStyle w:val="Corpsdetexte"/>
        <w:spacing w:after="0"/>
        <w:rPr>
          <w:b/>
          <w:sz w:val="28"/>
          <w:szCs w:val="28"/>
        </w:rPr>
      </w:pPr>
    </w:p>
    <w:p w14:paraId="40F2D45F" w14:textId="49604766" w:rsidR="00112FAB" w:rsidRPr="00A55A19" w:rsidRDefault="00112FAB" w:rsidP="00112FAB">
      <w:pPr>
        <w:pStyle w:val="Corpsdetexte"/>
        <w:spacing w:after="0"/>
        <w:jc w:val="center"/>
        <w:rPr>
          <w:rFonts w:ascii="Arial" w:hAnsi="Arial" w:cs="Arial"/>
          <w:b/>
          <w:sz w:val="28"/>
          <w:szCs w:val="28"/>
        </w:rPr>
      </w:pPr>
      <w:r w:rsidRPr="00A55A19">
        <w:rPr>
          <w:rFonts w:ascii="Arial" w:hAnsi="Arial" w:cs="Arial"/>
          <w:b/>
          <w:sz w:val="28"/>
          <w:szCs w:val="28"/>
        </w:rPr>
        <w:t>2</w:t>
      </w:r>
      <w:r w:rsidRPr="00A55A19">
        <w:rPr>
          <w:rFonts w:ascii="Arial" w:hAnsi="Arial" w:cs="Arial"/>
          <w:b/>
          <w:sz w:val="28"/>
          <w:szCs w:val="28"/>
          <w:vertAlign w:val="superscript"/>
        </w:rPr>
        <w:t>ÈME</w:t>
      </w:r>
      <w:r w:rsidRPr="00A55A19">
        <w:rPr>
          <w:rFonts w:ascii="Arial" w:hAnsi="Arial" w:cs="Arial"/>
          <w:b/>
          <w:sz w:val="28"/>
          <w:szCs w:val="28"/>
        </w:rPr>
        <w:t xml:space="preserve"> PARTIE : LES ACCORDS PRÉALABLES SUR LES PRIX</w:t>
      </w:r>
      <w:r w:rsidR="00A45155">
        <w:rPr>
          <w:rStyle w:val="Appelnotedebasdep"/>
          <w:rFonts w:ascii="Arial" w:hAnsi="Arial" w:cs="Arial"/>
          <w:b/>
          <w:sz w:val="28"/>
          <w:szCs w:val="28"/>
        </w:rPr>
        <w:footnoteReference w:id="10"/>
      </w:r>
    </w:p>
    <w:p w14:paraId="3ECA07B2" w14:textId="77777777" w:rsidR="00112FAB" w:rsidRPr="00974056" w:rsidRDefault="00112FAB" w:rsidP="00112FAB">
      <w:pPr>
        <w:pStyle w:val="Corpsdetexte"/>
        <w:jc w:val="both"/>
        <w:rPr>
          <w:rFonts w:ascii="Arial" w:hAnsi="Arial" w:cs="Arial"/>
          <w:sz w:val="22"/>
          <w:szCs w:val="22"/>
        </w:rPr>
      </w:pPr>
    </w:p>
    <w:p w14:paraId="67960091" w14:textId="77777777" w:rsidR="00112FAB" w:rsidRPr="00974056" w:rsidRDefault="00112FAB" w:rsidP="00112FAB">
      <w:pPr>
        <w:pStyle w:val="Corpsdetexte"/>
        <w:spacing w:after="0"/>
        <w:jc w:val="both"/>
        <w:rPr>
          <w:rFonts w:ascii="Arial" w:hAnsi="Arial" w:cs="Arial"/>
          <w:sz w:val="22"/>
          <w:szCs w:val="22"/>
        </w:rPr>
      </w:pPr>
      <w:r w:rsidRPr="00974056">
        <w:rPr>
          <w:rFonts w:ascii="Arial" w:hAnsi="Arial" w:cs="Arial"/>
          <w:sz w:val="22"/>
          <w:szCs w:val="22"/>
        </w:rPr>
        <w:t xml:space="preserve">Une instruction (4-A-8-99) de septembre 1999 a institué en France une procédure s’inspirant des pratiques de certains pays étrangers (APA : Advance Pricing </w:t>
      </w:r>
      <w:proofErr w:type="spellStart"/>
      <w:r w:rsidRPr="00974056">
        <w:rPr>
          <w:rFonts w:ascii="Arial" w:hAnsi="Arial" w:cs="Arial"/>
          <w:sz w:val="22"/>
          <w:szCs w:val="22"/>
        </w:rPr>
        <w:t>Agreements</w:t>
      </w:r>
      <w:proofErr w:type="spellEnd"/>
      <w:r w:rsidRPr="00974056">
        <w:rPr>
          <w:rFonts w:ascii="Arial" w:hAnsi="Arial" w:cs="Arial"/>
          <w:sz w:val="22"/>
          <w:szCs w:val="22"/>
        </w:rPr>
        <w:t>, aux USA et en Grande Bretagne). La justification de ces règles est simple : selon l’OCDE, 60% du commerce mondial résulteraient de transactions au sein de groupes multinationaux.</w:t>
      </w:r>
    </w:p>
    <w:p w14:paraId="00A0B0C4" w14:textId="77777777" w:rsidR="00112FAB" w:rsidRPr="00974056" w:rsidRDefault="00112FAB" w:rsidP="00112FAB">
      <w:pPr>
        <w:pStyle w:val="Corpsdetexte"/>
        <w:spacing w:after="0"/>
        <w:jc w:val="both"/>
        <w:rPr>
          <w:rFonts w:ascii="Arial" w:hAnsi="Arial" w:cs="Arial"/>
          <w:sz w:val="22"/>
          <w:szCs w:val="22"/>
        </w:rPr>
      </w:pPr>
      <w:r w:rsidRPr="00974056">
        <w:rPr>
          <w:rFonts w:ascii="Arial" w:hAnsi="Arial" w:cs="Arial"/>
          <w:sz w:val="22"/>
          <w:szCs w:val="22"/>
        </w:rPr>
        <w:t>La démarche française correspond à un processus bilatéral qui suppose :</w:t>
      </w:r>
    </w:p>
    <w:p w14:paraId="2FAA0CDF" w14:textId="77777777" w:rsidR="00112FAB" w:rsidRPr="00974056" w:rsidRDefault="00112FAB" w:rsidP="00112FAB">
      <w:pPr>
        <w:pStyle w:val="Corpsdetexte"/>
        <w:numPr>
          <w:ilvl w:val="0"/>
          <w:numId w:val="1"/>
        </w:numPr>
        <w:spacing w:after="0"/>
        <w:jc w:val="both"/>
        <w:rPr>
          <w:rFonts w:ascii="Arial" w:hAnsi="Arial" w:cs="Arial"/>
          <w:sz w:val="22"/>
          <w:szCs w:val="22"/>
        </w:rPr>
      </w:pPr>
      <w:proofErr w:type="gramStart"/>
      <w:r w:rsidRPr="00974056">
        <w:rPr>
          <w:rFonts w:ascii="Arial" w:hAnsi="Arial" w:cs="Arial"/>
          <w:sz w:val="22"/>
          <w:szCs w:val="22"/>
        </w:rPr>
        <w:t>l’existence</w:t>
      </w:r>
      <w:proofErr w:type="gramEnd"/>
      <w:r w:rsidRPr="00974056">
        <w:rPr>
          <w:rFonts w:ascii="Arial" w:hAnsi="Arial" w:cs="Arial"/>
          <w:sz w:val="22"/>
          <w:szCs w:val="22"/>
        </w:rPr>
        <w:t xml:space="preserve"> d’une convention fiscale</w:t>
      </w:r>
    </w:p>
    <w:p w14:paraId="29BC8D4C" w14:textId="77777777" w:rsidR="00112FAB" w:rsidRPr="00974056" w:rsidRDefault="00112FAB" w:rsidP="00112FAB">
      <w:pPr>
        <w:pStyle w:val="Corpsdetexte"/>
        <w:numPr>
          <w:ilvl w:val="0"/>
          <w:numId w:val="1"/>
        </w:numPr>
        <w:spacing w:after="0"/>
        <w:jc w:val="both"/>
        <w:rPr>
          <w:rFonts w:ascii="Arial" w:hAnsi="Arial" w:cs="Arial"/>
          <w:sz w:val="22"/>
          <w:szCs w:val="22"/>
        </w:rPr>
      </w:pPr>
      <w:proofErr w:type="gramStart"/>
      <w:r w:rsidRPr="00974056">
        <w:rPr>
          <w:rFonts w:ascii="Arial" w:hAnsi="Arial" w:cs="Arial"/>
          <w:sz w:val="22"/>
          <w:szCs w:val="22"/>
        </w:rPr>
        <w:t>et</w:t>
      </w:r>
      <w:proofErr w:type="gramEnd"/>
      <w:r w:rsidRPr="00974056">
        <w:rPr>
          <w:rFonts w:ascii="Arial" w:hAnsi="Arial" w:cs="Arial"/>
          <w:sz w:val="22"/>
          <w:szCs w:val="22"/>
        </w:rPr>
        <w:t xml:space="preserve"> un autre état.</w:t>
      </w:r>
    </w:p>
    <w:p w14:paraId="41856A1F" w14:textId="77777777" w:rsidR="00112FAB" w:rsidRPr="00974056" w:rsidRDefault="00112FAB" w:rsidP="00112FAB">
      <w:pPr>
        <w:pStyle w:val="Corpsdetexte"/>
        <w:spacing w:after="0"/>
        <w:jc w:val="both"/>
        <w:rPr>
          <w:rFonts w:ascii="Arial" w:hAnsi="Arial" w:cs="Arial"/>
          <w:sz w:val="22"/>
          <w:szCs w:val="22"/>
        </w:rPr>
      </w:pPr>
    </w:p>
    <w:p w14:paraId="364510B9" w14:textId="77777777" w:rsidR="00112FAB" w:rsidRPr="00974056" w:rsidRDefault="00112FAB" w:rsidP="00112FAB">
      <w:pPr>
        <w:pStyle w:val="Corpsdetexte"/>
        <w:spacing w:after="0"/>
        <w:jc w:val="both"/>
        <w:rPr>
          <w:rFonts w:ascii="Arial" w:hAnsi="Arial" w:cs="Arial"/>
          <w:sz w:val="22"/>
          <w:szCs w:val="22"/>
        </w:rPr>
      </w:pPr>
      <w:r w:rsidRPr="00974056">
        <w:rPr>
          <w:rFonts w:ascii="Arial" w:hAnsi="Arial" w:cs="Arial"/>
          <w:sz w:val="22"/>
          <w:szCs w:val="22"/>
        </w:rPr>
        <w:t>C’est le cas notamment avec les États Unis (1994), le Japon (1995), l’Espagne (1995), la Grande Bretagne (1968).</w:t>
      </w:r>
    </w:p>
    <w:p w14:paraId="129F691E" w14:textId="77777777" w:rsidR="00112FAB" w:rsidRPr="00974056" w:rsidRDefault="00112FAB" w:rsidP="00112FAB">
      <w:pPr>
        <w:pStyle w:val="Corpsdetexte"/>
        <w:spacing w:after="0"/>
        <w:jc w:val="both"/>
        <w:rPr>
          <w:rFonts w:ascii="Arial" w:hAnsi="Arial" w:cs="Arial"/>
          <w:sz w:val="22"/>
          <w:szCs w:val="22"/>
        </w:rPr>
      </w:pPr>
    </w:p>
    <w:p w14:paraId="08906A8F" w14:textId="77777777" w:rsidR="00112FAB" w:rsidRPr="00974056" w:rsidRDefault="00112FAB" w:rsidP="00112FAB">
      <w:pPr>
        <w:pStyle w:val="Corpsdetexte"/>
        <w:spacing w:after="0"/>
        <w:jc w:val="both"/>
        <w:rPr>
          <w:rFonts w:ascii="Arial" w:hAnsi="Arial" w:cs="Arial"/>
          <w:b/>
          <w:sz w:val="22"/>
          <w:szCs w:val="22"/>
        </w:rPr>
      </w:pPr>
      <w:r w:rsidRPr="00974056">
        <w:rPr>
          <w:rFonts w:ascii="Arial" w:hAnsi="Arial" w:cs="Arial"/>
          <w:b/>
          <w:sz w:val="22"/>
          <w:szCs w:val="22"/>
        </w:rPr>
        <w:t xml:space="preserve">I - </w:t>
      </w:r>
      <w:r w:rsidRPr="00974056">
        <w:rPr>
          <w:rFonts w:ascii="Arial" w:hAnsi="Arial" w:cs="Arial"/>
          <w:b/>
          <w:sz w:val="22"/>
          <w:szCs w:val="22"/>
          <w:u w:val="single"/>
        </w:rPr>
        <w:t>La méthode de fixation des prix pour les transactions</w:t>
      </w:r>
    </w:p>
    <w:p w14:paraId="2754AE71"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L’accord porte sur la méthode à retenir et non pas sur le prix en tant que tel. Il peut être applicable à l’ensemble des transactions internationales ou ne concerner qu’un segment d’activité, une fonction, voire un seul produit ou type de transaction.</w:t>
      </w:r>
    </w:p>
    <w:p w14:paraId="76B4EB41" w14:textId="77777777" w:rsidR="00112FAB" w:rsidRPr="00974056" w:rsidRDefault="00112FAB" w:rsidP="00112FAB">
      <w:pPr>
        <w:tabs>
          <w:tab w:val="left" w:pos="6946"/>
        </w:tabs>
        <w:jc w:val="both"/>
        <w:rPr>
          <w:rFonts w:ascii="Arial" w:hAnsi="Arial" w:cs="Arial"/>
          <w:sz w:val="22"/>
          <w:szCs w:val="22"/>
        </w:rPr>
      </w:pPr>
    </w:p>
    <w:p w14:paraId="15B22463" w14:textId="77777777" w:rsidR="00112FAB" w:rsidRPr="00974056" w:rsidRDefault="00112FAB" w:rsidP="00112FAB">
      <w:pPr>
        <w:tabs>
          <w:tab w:val="left" w:pos="6946"/>
        </w:tabs>
        <w:jc w:val="both"/>
        <w:rPr>
          <w:rFonts w:ascii="Arial" w:hAnsi="Arial" w:cs="Arial"/>
          <w:b/>
          <w:sz w:val="22"/>
          <w:szCs w:val="22"/>
        </w:rPr>
      </w:pPr>
      <w:r w:rsidRPr="00974056">
        <w:rPr>
          <w:rFonts w:ascii="Arial" w:hAnsi="Arial" w:cs="Arial"/>
          <w:b/>
          <w:sz w:val="22"/>
          <w:szCs w:val="22"/>
        </w:rPr>
        <w:t xml:space="preserve">Ii – </w:t>
      </w:r>
      <w:r w:rsidRPr="00974056">
        <w:rPr>
          <w:rFonts w:ascii="Arial" w:hAnsi="Arial" w:cs="Arial"/>
          <w:b/>
          <w:sz w:val="22"/>
          <w:szCs w:val="22"/>
          <w:u w:val="single"/>
        </w:rPr>
        <w:t>Documentation mise à disposition de l’administration fiscale</w:t>
      </w:r>
    </w:p>
    <w:p w14:paraId="6E2AA289"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Une obligation de fourniture de tout type d’informations pèse sur le contribuable. Cette obligation est encore plus lourde que celle présentée dans l’article L13B du LPF.</w:t>
      </w:r>
    </w:p>
    <w:p w14:paraId="74AA40ED"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L’entreprise doit à la fois :</w:t>
      </w:r>
    </w:p>
    <w:p w14:paraId="4289B850" w14:textId="77777777" w:rsidR="00112FAB" w:rsidRPr="00974056" w:rsidRDefault="00112FAB" w:rsidP="00112FAB">
      <w:pPr>
        <w:numPr>
          <w:ilvl w:val="0"/>
          <w:numId w:val="1"/>
        </w:numPr>
        <w:tabs>
          <w:tab w:val="left" w:pos="6946"/>
        </w:tabs>
        <w:jc w:val="both"/>
        <w:rPr>
          <w:rFonts w:ascii="Arial" w:hAnsi="Arial" w:cs="Arial"/>
          <w:sz w:val="22"/>
          <w:szCs w:val="22"/>
        </w:rPr>
      </w:pPr>
      <w:proofErr w:type="gramStart"/>
      <w:r w:rsidRPr="00974056">
        <w:rPr>
          <w:rFonts w:ascii="Arial" w:hAnsi="Arial" w:cs="Arial"/>
          <w:sz w:val="22"/>
          <w:szCs w:val="22"/>
        </w:rPr>
        <w:t>ouvrir</w:t>
      </w:r>
      <w:proofErr w:type="gramEnd"/>
      <w:r w:rsidRPr="00974056">
        <w:rPr>
          <w:rFonts w:ascii="Arial" w:hAnsi="Arial" w:cs="Arial"/>
          <w:sz w:val="22"/>
          <w:szCs w:val="22"/>
        </w:rPr>
        <w:t xml:space="preserve"> ses livres à l’administration fiscale,</w:t>
      </w:r>
    </w:p>
    <w:p w14:paraId="3870A46A" w14:textId="77777777" w:rsidR="00112FAB" w:rsidRPr="00974056" w:rsidRDefault="00112FAB" w:rsidP="00112FAB">
      <w:pPr>
        <w:numPr>
          <w:ilvl w:val="0"/>
          <w:numId w:val="1"/>
        </w:numPr>
        <w:tabs>
          <w:tab w:val="left" w:pos="6946"/>
        </w:tabs>
        <w:jc w:val="both"/>
        <w:rPr>
          <w:rFonts w:ascii="Arial" w:hAnsi="Arial" w:cs="Arial"/>
          <w:sz w:val="22"/>
          <w:szCs w:val="22"/>
        </w:rPr>
      </w:pPr>
      <w:proofErr w:type="gramStart"/>
      <w:r w:rsidRPr="00974056">
        <w:rPr>
          <w:rFonts w:ascii="Arial" w:hAnsi="Arial" w:cs="Arial"/>
          <w:sz w:val="22"/>
          <w:szCs w:val="22"/>
        </w:rPr>
        <w:t>lui</w:t>
      </w:r>
      <w:proofErr w:type="gramEnd"/>
      <w:r w:rsidRPr="00974056">
        <w:rPr>
          <w:rFonts w:ascii="Arial" w:hAnsi="Arial" w:cs="Arial"/>
          <w:sz w:val="22"/>
          <w:szCs w:val="22"/>
        </w:rPr>
        <w:t xml:space="preserve"> apporter toute précision supplémentaire que cette dernière jugera nécessaire.</w:t>
      </w:r>
    </w:p>
    <w:p w14:paraId="546037B2" w14:textId="77777777" w:rsidR="00112FAB" w:rsidRPr="00974056" w:rsidRDefault="00112FAB" w:rsidP="00112FAB">
      <w:pPr>
        <w:tabs>
          <w:tab w:val="left" w:pos="6946"/>
        </w:tabs>
        <w:jc w:val="both"/>
        <w:rPr>
          <w:rFonts w:ascii="Arial" w:hAnsi="Arial" w:cs="Arial"/>
          <w:sz w:val="22"/>
          <w:szCs w:val="22"/>
        </w:rPr>
      </w:pPr>
    </w:p>
    <w:p w14:paraId="0A45828E" w14:textId="77777777" w:rsidR="00112FAB" w:rsidRDefault="00112FAB" w:rsidP="00112FAB">
      <w:pPr>
        <w:tabs>
          <w:tab w:val="left" w:pos="6946"/>
        </w:tabs>
        <w:jc w:val="both"/>
        <w:rPr>
          <w:rFonts w:ascii="Arial" w:hAnsi="Arial" w:cs="Arial"/>
          <w:sz w:val="22"/>
          <w:szCs w:val="22"/>
        </w:rPr>
      </w:pPr>
    </w:p>
    <w:p w14:paraId="2D211DBD" w14:textId="77777777" w:rsidR="00F10B4A" w:rsidRDefault="00F10B4A" w:rsidP="00112FAB">
      <w:pPr>
        <w:tabs>
          <w:tab w:val="left" w:pos="6946"/>
        </w:tabs>
        <w:jc w:val="both"/>
        <w:rPr>
          <w:rFonts w:ascii="Arial" w:hAnsi="Arial" w:cs="Arial"/>
          <w:sz w:val="22"/>
          <w:szCs w:val="22"/>
        </w:rPr>
      </w:pPr>
    </w:p>
    <w:p w14:paraId="18C6AF88" w14:textId="77777777" w:rsidR="00F10B4A" w:rsidRPr="00974056" w:rsidRDefault="00F10B4A" w:rsidP="00112FAB">
      <w:pPr>
        <w:tabs>
          <w:tab w:val="left" w:pos="6946"/>
        </w:tabs>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2"/>
      </w:tblGrid>
      <w:tr w:rsidR="00112FAB" w:rsidRPr="00974056" w14:paraId="4E34EDF5" w14:textId="77777777" w:rsidTr="00D01B65">
        <w:tc>
          <w:tcPr>
            <w:tcW w:w="9212" w:type="dxa"/>
          </w:tcPr>
          <w:p w14:paraId="27AE41BA" w14:textId="77777777" w:rsidR="00112FAB" w:rsidRPr="00974056" w:rsidRDefault="00112FAB" w:rsidP="00D01B65">
            <w:pPr>
              <w:tabs>
                <w:tab w:val="left" w:pos="6946"/>
              </w:tabs>
              <w:jc w:val="center"/>
              <w:rPr>
                <w:rFonts w:ascii="Arial" w:hAnsi="Arial" w:cs="Arial"/>
                <w:b/>
                <w:sz w:val="22"/>
                <w:szCs w:val="22"/>
              </w:rPr>
            </w:pPr>
            <w:r w:rsidRPr="00974056">
              <w:rPr>
                <w:rFonts w:ascii="Arial" w:hAnsi="Arial" w:cs="Arial"/>
                <w:b/>
                <w:sz w:val="22"/>
                <w:szCs w:val="22"/>
              </w:rPr>
              <w:t xml:space="preserve">Informations générales à présenter : </w:t>
            </w:r>
          </w:p>
          <w:p w14:paraId="631C42A0" w14:textId="57948194" w:rsidR="00112FAB" w:rsidRPr="00974056" w:rsidRDefault="00AA3033" w:rsidP="00D01B65">
            <w:pPr>
              <w:tabs>
                <w:tab w:val="left" w:pos="6946"/>
              </w:tabs>
              <w:jc w:val="center"/>
              <w:rPr>
                <w:rFonts w:ascii="Arial" w:hAnsi="Arial" w:cs="Arial"/>
                <w:sz w:val="22"/>
                <w:szCs w:val="22"/>
              </w:rPr>
            </w:pPr>
            <w:r w:rsidRPr="00974056">
              <w:rPr>
                <w:rFonts w:ascii="Arial" w:hAnsi="Arial" w:cs="Arial"/>
                <w:b/>
                <w:sz w:val="22"/>
                <w:szCs w:val="22"/>
              </w:rPr>
              <w:t>Documents</w:t>
            </w:r>
            <w:r w:rsidR="00112FAB" w:rsidRPr="00974056">
              <w:rPr>
                <w:rFonts w:ascii="Arial" w:hAnsi="Arial" w:cs="Arial"/>
                <w:b/>
                <w:sz w:val="22"/>
                <w:szCs w:val="22"/>
              </w:rPr>
              <w:t xml:space="preserve"> comptables ou extra comptables, fiscaux ou financiers</w:t>
            </w:r>
          </w:p>
        </w:tc>
      </w:tr>
      <w:tr w:rsidR="00112FAB" w:rsidRPr="00974056" w14:paraId="5749170F" w14:textId="77777777" w:rsidTr="00D01B65">
        <w:tc>
          <w:tcPr>
            <w:tcW w:w="9212" w:type="dxa"/>
          </w:tcPr>
          <w:p w14:paraId="5F99B72E" w14:textId="77777777" w:rsidR="00112FAB" w:rsidRPr="00974056" w:rsidRDefault="00112FAB" w:rsidP="00D01B65">
            <w:pPr>
              <w:numPr>
                <w:ilvl w:val="0"/>
                <w:numId w:val="8"/>
              </w:numPr>
              <w:tabs>
                <w:tab w:val="left" w:pos="6946"/>
              </w:tabs>
              <w:ind w:left="0"/>
              <w:jc w:val="both"/>
              <w:rPr>
                <w:rFonts w:ascii="Arial" w:hAnsi="Arial" w:cs="Arial"/>
                <w:sz w:val="22"/>
                <w:szCs w:val="22"/>
              </w:rPr>
            </w:pPr>
            <w:r w:rsidRPr="00974056">
              <w:rPr>
                <w:rFonts w:ascii="Arial" w:hAnsi="Arial" w:cs="Arial"/>
                <w:sz w:val="22"/>
                <w:szCs w:val="22"/>
              </w:rPr>
              <w:t>Organigramme de l’ensemble du groupe et liste des entités couvertes par la demande d’accord préalable.</w:t>
            </w:r>
          </w:p>
          <w:p w14:paraId="27153E1F" w14:textId="77777777" w:rsidR="00112FAB" w:rsidRPr="00974056" w:rsidRDefault="00112FAB" w:rsidP="00D01B65">
            <w:pPr>
              <w:numPr>
                <w:ilvl w:val="0"/>
                <w:numId w:val="8"/>
              </w:numPr>
              <w:tabs>
                <w:tab w:val="left" w:pos="6946"/>
              </w:tabs>
              <w:ind w:left="0"/>
              <w:jc w:val="both"/>
              <w:rPr>
                <w:rFonts w:ascii="Arial" w:hAnsi="Arial" w:cs="Arial"/>
                <w:sz w:val="22"/>
                <w:szCs w:val="22"/>
              </w:rPr>
            </w:pPr>
            <w:r w:rsidRPr="00974056">
              <w:rPr>
                <w:rFonts w:ascii="Arial" w:hAnsi="Arial" w:cs="Arial"/>
                <w:sz w:val="22"/>
                <w:szCs w:val="22"/>
              </w:rPr>
              <w:t>Description des opérations industrielles ou commerciales du groupe, de son organisation mondiale, de la structure de son capital (chaînes et pourcentages de participation, composition du capital des entités étrangères, conventions d’actionnaires, nature des titres détenus, droits de vote, …), de sa capitalisation, des accords financiers, des activités principales et du ou des lieux où ces activités sont exercées ainsi que des principaux flux de transactions entre les parties.</w:t>
            </w:r>
          </w:p>
          <w:p w14:paraId="74FD0001" w14:textId="77777777" w:rsidR="00112FAB" w:rsidRPr="00974056" w:rsidRDefault="00112FAB" w:rsidP="00D01B65">
            <w:pPr>
              <w:numPr>
                <w:ilvl w:val="0"/>
                <w:numId w:val="8"/>
              </w:numPr>
              <w:tabs>
                <w:tab w:val="left" w:pos="6946"/>
              </w:tabs>
              <w:ind w:left="0"/>
              <w:jc w:val="both"/>
              <w:rPr>
                <w:rFonts w:ascii="Arial" w:hAnsi="Arial" w:cs="Arial"/>
                <w:sz w:val="22"/>
                <w:szCs w:val="22"/>
              </w:rPr>
            </w:pPr>
            <w:r w:rsidRPr="00974056">
              <w:rPr>
                <w:rFonts w:ascii="Arial" w:hAnsi="Arial" w:cs="Arial"/>
                <w:sz w:val="22"/>
                <w:szCs w:val="22"/>
              </w:rPr>
              <w:t>Données financières et fiscales concernant les parties, couvrant les trois dernières années fiscales de chaque partie.</w:t>
            </w:r>
          </w:p>
          <w:p w14:paraId="28F610EA" w14:textId="77777777" w:rsidR="00112FAB" w:rsidRPr="00974056" w:rsidRDefault="00112FAB" w:rsidP="00D01B65">
            <w:pPr>
              <w:numPr>
                <w:ilvl w:val="0"/>
                <w:numId w:val="8"/>
              </w:numPr>
              <w:tabs>
                <w:tab w:val="left" w:pos="6946"/>
              </w:tabs>
              <w:ind w:left="0"/>
              <w:jc w:val="both"/>
              <w:rPr>
                <w:rFonts w:ascii="Arial" w:hAnsi="Arial" w:cs="Arial"/>
                <w:sz w:val="22"/>
                <w:szCs w:val="22"/>
              </w:rPr>
            </w:pPr>
            <w:r w:rsidRPr="00974056">
              <w:rPr>
                <w:rFonts w:ascii="Arial" w:hAnsi="Arial" w:cs="Arial"/>
                <w:sz w:val="22"/>
                <w:szCs w:val="22"/>
              </w:rPr>
              <w:t>Indication, pour les opérations couvertes par l’accord, de la monnaie de chaque partie ainsi que de la devise de règlement des transactions entre les parties.</w:t>
            </w:r>
          </w:p>
          <w:p w14:paraId="02F39FE0" w14:textId="77777777" w:rsidR="00112FAB" w:rsidRPr="00974056" w:rsidRDefault="00112FAB" w:rsidP="00D01B65">
            <w:pPr>
              <w:numPr>
                <w:ilvl w:val="0"/>
                <w:numId w:val="8"/>
              </w:numPr>
              <w:tabs>
                <w:tab w:val="left" w:pos="6946"/>
              </w:tabs>
              <w:ind w:left="0"/>
              <w:jc w:val="both"/>
              <w:rPr>
                <w:rFonts w:ascii="Arial" w:hAnsi="Arial" w:cs="Arial"/>
                <w:sz w:val="22"/>
                <w:szCs w:val="22"/>
              </w:rPr>
            </w:pPr>
            <w:r w:rsidRPr="00974056">
              <w:rPr>
                <w:rFonts w:ascii="Arial" w:hAnsi="Arial" w:cs="Arial"/>
                <w:sz w:val="22"/>
                <w:szCs w:val="22"/>
              </w:rPr>
              <w:t>Accords préalables conclus par d’autres entreprise du groupe ou portant sur d’autres transactions que celles visées par la demande d’APP.</w:t>
            </w:r>
          </w:p>
        </w:tc>
      </w:tr>
    </w:tbl>
    <w:p w14:paraId="2A068D9E" w14:textId="77777777" w:rsidR="00112FAB" w:rsidRPr="00974056" w:rsidRDefault="00112FAB" w:rsidP="00112FAB">
      <w:pPr>
        <w:tabs>
          <w:tab w:val="left" w:pos="6946"/>
        </w:tabs>
        <w:jc w:val="both"/>
        <w:rPr>
          <w:rFonts w:ascii="Arial" w:hAnsi="Arial" w:cs="Arial"/>
          <w:sz w:val="22"/>
          <w:szCs w:val="22"/>
        </w:rPr>
      </w:pPr>
    </w:p>
    <w:p w14:paraId="5873B7D8" w14:textId="77777777" w:rsidR="00112FAB" w:rsidRPr="00974056" w:rsidRDefault="00112FAB" w:rsidP="00112FAB">
      <w:pPr>
        <w:tabs>
          <w:tab w:val="left" w:pos="6946"/>
        </w:tabs>
        <w:jc w:val="both"/>
        <w:rPr>
          <w:rFonts w:ascii="Arial" w:hAnsi="Arial" w:cs="Arial"/>
          <w:sz w:val="22"/>
          <w:szCs w:val="22"/>
        </w:rPr>
      </w:pPr>
    </w:p>
    <w:p w14:paraId="6A60C450"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La méthode de détermination des prix utilisée par l’entreprise doit s’efforcer de s’inspirer de transactions « comparables » existant sur un marché de concurrence. A défaut, il peut être fait état de transactions « similaires ». A défaut, l’entreprise doit démontrer que sa méthode permet d’approcher un prix de pleine concurrence.</w:t>
      </w:r>
    </w:p>
    <w:p w14:paraId="1D583204" w14:textId="77777777" w:rsidR="00112FAB" w:rsidRPr="00974056" w:rsidRDefault="00112FAB" w:rsidP="00112FAB">
      <w:pPr>
        <w:tabs>
          <w:tab w:val="left" w:pos="6946"/>
        </w:tabs>
        <w:jc w:val="both"/>
        <w:rPr>
          <w:rFonts w:ascii="Arial" w:hAnsi="Arial" w:cs="Arial"/>
          <w:sz w:val="22"/>
          <w:szCs w:val="22"/>
        </w:rPr>
      </w:pPr>
    </w:p>
    <w:p w14:paraId="5B838E15"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Les documents mis à la disposition de l’administration peuvent être :</w:t>
      </w:r>
    </w:p>
    <w:p w14:paraId="60EE922B"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d’ordre</w:t>
      </w:r>
      <w:proofErr w:type="gramEnd"/>
      <w:r w:rsidRPr="00974056">
        <w:rPr>
          <w:rFonts w:ascii="Arial" w:hAnsi="Arial" w:cs="Arial"/>
          <w:sz w:val="22"/>
          <w:szCs w:val="22"/>
        </w:rPr>
        <w:t xml:space="preserve"> méthodologique et documentaire (documents internes, contrats),</w:t>
      </w:r>
    </w:p>
    <w:p w14:paraId="3B6A73F5"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d’ordre</w:t>
      </w:r>
      <w:proofErr w:type="gramEnd"/>
      <w:r w:rsidRPr="00974056">
        <w:rPr>
          <w:rFonts w:ascii="Arial" w:hAnsi="Arial" w:cs="Arial"/>
          <w:sz w:val="22"/>
          <w:szCs w:val="22"/>
        </w:rPr>
        <w:t xml:space="preserve"> comptable (extraits de la CG,  de la CAE),</w:t>
      </w:r>
    </w:p>
    <w:p w14:paraId="7DEF4CE6"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d’ordre</w:t>
      </w:r>
      <w:proofErr w:type="gramEnd"/>
      <w:r w:rsidRPr="00974056">
        <w:rPr>
          <w:rFonts w:ascii="Arial" w:hAnsi="Arial" w:cs="Arial"/>
          <w:sz w:val="22"/>
          <w:szCs w:val="22"/>
        </w:rPr>
        <w:t xml:space="preserve"> économique (données sur les marchés ou les fonctions remplies par les entités du groupe : études de marchés, caractéristiques des entités liées, risques encourus, …)</w:t>
      </w:r>
    </w:p>
    <w:p w14:paraId="60661E05" w14:textId="77777777" w:rsidR="00112FAB" w:rsidRPr="00974056" w:rsidRDefault="00112FAB" w:rsidP="00112FAB">
      <w:pPr>
        <w:tabs>
          <w:tab w:val="left" w:pos="6946"/>
        </w:tabs>
        <w:jc w:val="both"/>
        <w:rPr>
          <w:rFonts w:ascii="Arial" w:hAnsi="Arial" w:cs="Arial"/>
          <w:sz w:val="22"/>
          <w:szCs w:val="22"/>
        </w:rPr>
      </w:pPr>
    </w:p>
    <w:p w14:paraId="489A996E"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Des études ou analyses seront également à fournir à l’appui de la demande, concernant :</w:t>
      </w:r>
    </w:p>
    <w:p w14:paraId="6DFCF536"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les</w:t>
      </w:r>
      <w:proofErr w:type="gramEnd"/>
      <w:r w:rsidRPr="00974056">
        <w:rPr>
          <w:rFonts w:ascii="Arial" w:hAnsi="Arial" w:cs="Arial"/>
          <w:sz w:val="22"/>
          <w:szCs w:val="22"/>
        </w:rPr>
        <w:t xml:space="preserve"> parties à l’accord (activités exercées, actifs utilisés, coûts, risques supportés, rentabilité et rendement de l’investissement),</w:t>
      </w:r>
    </w:p>
    <w:p w14:paraId="1C581A2C"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la</w:t>
      </w:r>
      <w:proofErr w:type="gramEnd"/>
      <w:r w:rsidRPr="00974056">
        <w:rPr>
          <w:rFonts w:ascii="Arial" w:hAnsi="Arial" w:cs="Arial"/>
          <w:sz w:val="22"/>
          <w:szCs w:val="22"/>
        </w:rPr>
        <w:t xml:space="preserve"> branche d’activité à l’intérieur des zones géographiques couvertes par l’accord,</w:t>
      </w:r>
    </w:p>
    <w:p w14:paraId="7AF0BFB4"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les</w:t>
      </w:r>
      <w:proofErr w:type="gramEnd"/>
      <w:r w:rsidRPr="00974056">
        <w:rPr>
          <w:rFonts w:ascii="Arial" w:hAnsi="Arial" w:cs="Arial"/>
          <w:sz w:val="22"/>
          <w:szCs w:val="22"/>
        </w:rPr>
        <w:t xml:space="preserve"> concurrents (études de quelques transactions, types d’activité non contrôlées susceptibles d’être comparables ou similaires).</w:t>
      </w:r>
    </w:p>
    <w:p w14:paraId="00F765AA" w14:textId="77777777" w:rsidR="00112FAB" w:rsidRPr="00974056" w:rsidRDefault="00112FAB" w:rsidP="00112FAB">
      <w:pPr>
        <w:tabs>
          <w:tab w:val="left" w:pos="6946"/>
        </w:tabs>
        <w:jc w:val="both"/>
        <w:rPr>
          <w:rFonts w:ascii="Arial" w:hAnsi="Arial" w:cs="Arial"/>
          <w:sz w:val="22"/>
          <w:szCs w:val="22"/>
        </w:rPr>
      </w:pPr>
    </w:p>
    <w:p w14:paraId="2E03D53E"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Contrairement aux États Unis, l’entreprise n’a pas à fournir d’étude conduite par un expert indépendant. Il lui faut cependant, informer l’administration française de l’état des négociations avec l’administration de l’autre État et lui fournir un double de la documentation remise.</w:t>
      </w:r>
    </w:p>
    <w:p w14:paraId="641884FD"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Après la conclusion de l’accord, l’entreprise doit fournir un rapport annuel sur l’application de la méthode effective choisie, sous peine d’une éventuelle résiliation de cet accord ; L’ensemble de ces informations est couvert par le secret fiscal.</w:t>
      </w:r>
    </w:p>
    <w:p w14:paraId="1BB2BE9C" w14:textId="77777777" w:rsidR="00112FAB" w:rsidRPr="00974056" w:rsidRDefault="00112FAB" w:rsidP="00112FAB">
      <w:pPr>
        <w:tabs>
          <w:tab w:val="left" w:pos="6946"/>
        </w:tabs>
        <w:jc w:val="both"/>
        <w:rPr>
          <w:rFonts w:ascii="Arial" w:hAnsi="Arial" w:cs="Arial"/>
          <w:sz w:val="22"/>
          <w:szCs w:val="22"/>
        </w:rPr>
      </w:pPr>
    </w:p>
    <w:p w14:paraId="334716A1" w14:textId="77777777" w:rsidR="00112FAB" w:rsidRPr="00974056" w:rsidRDefault="00112FAB" w:rsidP="00112FAB">
      <w:pPr>
        <w:tabs>
          <w:tab w:val="left" w:pos="6946"/>
        </w:tabs>
        <w:jc w:val="both"/>
        <w:rPr>
          <w:rFonts w:ascii="Arial" w:hAnsi="Arial" w:cs="Arial"/>
          <w:sz w:val="22"/>
          <w:szCs w:val="22"/>
        </w:rPr>
      </w:pPr>
    </w:p>
    <w:p w14:paraId="493BDB8E" w14:textId="77777777" w:rsidR="00112FAB" w:rsidRPr="00974056" w:rsidRDefault="00112FAB" w:rsidP="00112FAB">
      <w:pPr>
        <w:tabs>
          <w:tab w:val="left" w:pos="6946"/>
        </w:tabs>
        <w:jc w:val="both"/>
        <w:rPr>
          <w:rFonts w:ascii="Arial" w:hAnsi="Arial" w:cs="Arial"/>
          <w:b/>
          <w:sz w:val="22"/>
          <w:szCs w:val="22"/>
        </w:rPr>
      </w:pPr>
      <w:r w:rsidRPr="00974056">
        <w:rPr>
          <w:rFonts w:ascii="Arial" w:hAnsi="Arial" w:cs="Arial"/>
          <w:b/>
          <w:sz w:val="22"/>
          <w:szCs w:val="22"/>
        </w:rPr>
        <w:t xml:space="preserve">III – </w:t>
      </w:r>
      <w:r w:rsidRPr="00974056">
        <w:rPr>
          <w:rFonts w:ascii="Arial" w:hAnsi="Arial" w:cs="Arial"/>
          <w:b/>
          <w:sz w:val="22"/>
          <w:szCs w:val="22"/>
          <w:u w:val="single"/>
        </w:rPr>
        <w:t>Délais de négociation des APP</w:t>
      </w:r>
    </w:p>
    <w:p w14:paraId="1862B1DA" w14:textId="77777777" w:rsidR="00112FAB" w:rsidRPr="00974056" w:rsidRDefault="00112FAB" w:rsidP="00112FAB">
      <w:pPr>
        <w:pStyle w:val="Corpsdetexte"/>
        <w:spacing w:after="0"/>
        <w:rPr>
          <w:rFonts w:ascii="Arial" w:hAnsi="Arial" w:cs="Arial"/>
          <w:sz w:val="22"/>
          <w:szCs w:val="22"/>
        </w:rPr>
      </w:pPr>
      <w:r w:rsidRPr="00974056">
        <w:rPr>
          <w:rFonts w:ascii="Arial" w:hAnsi="Arial" w:cs="Arial"/>
          <w:sz w:val="22"/>
          <w:szCs w:val="22"/>
        </w:rPr>
        <w:t>La procédure est engagée à l’initiative de l’entreprise, par une réunion préliminaire dont le but est de déterminer l’opportunité de la demande et les conditions dans lesquelles l’accord pourra être demandé et instruit.</w:t>
      </w:r>
    </w:p>
    <w:p w14:paraId="1D4DB4D1"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 xml:space="preserve">La demande de l’entreprise doit être introduite six mois avant l’ouverture de l’exercice au titre duquel l’APP pourrait s’appliquer pour la première fois. L’instruction ne fixe </w:t>
      </w:r>
      <w:proofErr w:type="gramStart"/>
      <w:r w:rsidRPr="00974056">
        <w:rPr>
          <w:rFonts w:ascii="Arial" w:hAnsi="Arial" w:cs="Arial"/>
          <w:sz w:val="22"/>
          <w:szCs w:val="22"/>
        </w:rPr>
        <w:t>par contre</w:t>
      </w:r>
      <w:proofErr w:type="gramEnd"/>
      <w:r w:rsidRPr="00974056">
        <w:rPr>
          <w:rFonts w:ascii="Arial" w:hAnsi="Arial" w:cs="Arial"/>
          <w:sz w:val="22"/>
          <w:szCs w:val="22"/>
        </w:rPr>
        <w:t xml:space="preserve"> aucune limite pour l’obtention ou le refus de l’administration.</w:t>
      </w:r>
    </w:p>
    <w:p w14:paraId="491E6761"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 xml:space="preserve">La procédure d’APP prend la forme d’un dialogue entre l’administration et l’entreprise. La procédure française étant bilatérale, l’entreprise devra mener parallèlement deux négociations, la seconde par l’intermédiaire de l’entreprise liée. Cependant, une partie de la </w:t>
      </w:r>
      <w:r w:rsidRPr="00974056">
        <w:rPr>
          <w:rFonts w:ascii="Arial" w:hAnsi="Arial" w:cs="Arial"/>
          <w:sz w:val="22"/>
          <w:szCs w:val="22"/>
        </w:rPr>
        <w:lastRenderedPageBreak/>
        <w:t>procédure correspond à une négociation entre les deux administrations fiscales, hors la présence de l’entreprise.</w:t>
      </w:r>
    </w:p>
    <w:p w14:paraId="2E70C995" w14:textId="77777777" w:rsidR="00112FAB" w:rsidRPr="00974056" w:rsidRDefault="00112FAB" w:rsidP="00112FAB">
      <w:pPr>
        <w:tabs>
          <w:tab w:val="left" w:pos="6946"/>
        </w:tabs>
        <w:jc w:val="both"/>
        <w:rPr>
          <w:rFonts w:ascii="Arial" w:hAnsi="Arial" w:cs="Arial"/>
          <w:sz w:val="22"/>
          <w:szCs w:val="22"/>
        </w:rPr>
      </w:pPr>
    </w:p>
    <w:p w14:paraId="37F22EB3"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L’administration française indique que :</w:t>
      </w:r>
    </w:p>
    <w:p w14:paraId="60F64D23"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elle</w:t>
      </w:r>
      <w:proofErr w:type="gramEnd"/>
      <w:r w:rsidRPr="00974056">
        <w:rPr>
          <w:rFonts w:ascii="Arial" w:hAnsi="Arial" w:cs="Arial"/>
          <w:sz w:val="22"/>
          <w:szCs w:val="22"/>
        </w:rPr>
        <w:t xml:space="preserve"> prend d’abord position sur la méthode de détermination du prix de transfert proposée par le contribuable,</w:t>
      </w:r>
    </w:p>
    <w:p w14:paraId="63FA15D3"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elle</w:t>
      </w:r>
      <w:proofErr w:type="gramEnd"/>
      <w:r w:rsidRPr="00974056">
        <w:rPr>
          <w:rFonts w:ascii="Arial" w:hAnsi="Arial" w:cs="Arial"/>
          <w:sz w:val="22"/>
          <w:szCs w:val="22"/>
        </w:rPr>
        <w:t xml:space="preserve"> informe ensuite le contribuable de cette position,</w:t>
      </w:r>
    </w:p>
    <w:p w14:paraId="0C241EE4"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elle</w:t>
      </w:r>
      <w:proofErr w:type="gramEnd"/>
      <w:r w:rsidRPr="00974056">
        <w:rPr>
          <w:rFonts w:ascii="Arial" w:hAnsi="Arial" w:cs="Arial"/>
          <w:sz w:val="22"/>
          <w:szCs w:val="22"/>
        </w:rPr>
        <w:t xml:space="preserve"> entreprend les négociations avec l’autre partie compétente,</w:t>
      </w:r>
    </w:p>
    <w:p w14:paraId="60C1BF22"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elle</w:t>
      </w:r>
      <w:proofErr w:type="gramEnd"/>
      <w:r w:rsidRPr="00974056">
        <w:rPr>
          <w:rFonts w:ascii="Arial" w:hAnsi="Arial" w:cs="Arial"/>
          <w:sz w:val="22"/>
          <w:szCs w:val="22"/>
        </w:rPr>
        <w:t xml:space="preserve"> informe le contribuable, au terme de ses échanges avec cette dernière, de l’échec éventuel de la négociation avec l’autre partie compétente.</w:t>
      </w:r>
    </w:p>
    <w:p w14:paraId="03CE5EEF" w14:textId="77777777" w:rsidR="00112FAB" w:rsidRPr="00974056" w:rsidRDefault="00112FAB" w:rsidP="00112FAB">
      <w:pPr>
        <w:tabs>
          <w:tab w:val="left" w:pos="6946"/>
        </w:tabs>
        <w:jc w:val="both"/>
        <w:rPr>
          <w:rFonts w:ascii="Arial" w:hAnsi="Arial" w:cs="Arial"/>
          <w:sz w:val="22"/>
          <w:szCs w:val="22"/>
        </w:rPr>
      </w:pPr>
    </w:p>
    <w:p w14:paraId="1F1CB9AA"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Les recommandations de l’OCDE sur ces procédures comportent une recommandation pour permettre la participation de l’entreprise aux négociations entre les deux administrations fiscales.</w:t>
      </w:r>
    </w:p>
    <w:p w14:paraId="2C0B6322" w14:textId="77777777" w:rsidR="00112FAB" w:rsidRPr="00974056" w:rsidRDefault="00112FAB" w:rsidP="00112FAB">
      <w:pPr>
        <w:tabs>
          <w:tab w:val="left" w:pos="6946"/>
        </w:tabs>
        <w:jc w:val="both"/>
        <w:rPr>
          <w:rFonts w:ascii="Arial" w:hAnsi="Arial" w:cs="Arial"/>
          <w:sz w:val="22"/>
          <w:szCs w:val="22"/>
        </w:rPr>
      </w:pPr>
    </w:p>
    <w:p w14:paraId="4BE6E7EB" w14:textId="77777777" w:rsidR="00112FAB" w:rsidRPr="00974056" w:rsidRDefault="00112FAB" w:rsidP="00112FAB">
      <w:pPr>
        <w:tabs>
          <w:tab w:val="left" w:pos="6946"/>
        </w:tabs>
        <w:jc w:val="both"/>
        <w:rPr>
          <w:rFonts w:ascii="Arial" w:hAnsi="Arial" w:cs="Arial"/>
          <w:sz w:val="22"/>
          <w:szCs w:val="22"/>
        </w:rPr>
      </w:pPr>
    </w:p>
    <w:p w14:paraId="745BF0AB" w14:textId="77777777" w:rsidR="00112FAB" w:rsidRPr="00974056" w:rsidRDefault="00112FAB" w:rsidP="00112FAB">
      <w:pPr>
        <w:tabs>
          <w:tab w:val="left" w:pos="6946"/>
        </w:tabs>
        <w:jc w:val="both"/>
        <w:rPr>
          <w:rFonts w:ascii="Arial" w:hAnsi="Arial" w:cs="Arial"/>
          <w:b/>
          <w:sz w:val="22"/>
          <w:szCs w:val="22"/>
        </w:rPr>
      </w:pPr>
      <w:r w:rsidRPr="00974056">
        <w:rPr>
          <w:rFonts w:ascii="Arial" w:hAnsi="Arial" w:cs="Arial"/>
          <w:b/>
          <w:sz w:val="22"/>
          <w:szCs w:val="22"/>
        </w:rPr>
        <w:t xml:space="preserve">IV - </w:t>
      </w:r>
      <w:r w:rsidRPr="00974056">
        <w:rPr>
          <w:rFonts w:ascii="Arial" w:hAnsi="Arial" w:cs="Arial"/>
          <w:b/>
          <w:sz w:val="22"/>
          <w:szCs w:val="22"/>
          <w:u w:val="single"/>
        </w:rPr>
        <w:t>APP et contrôle fiscal</w:t>
      </w:r>
    </w:p>
    <w:p w14:paraId="062CC936" w14:textId="77777777" w:rsidR="00112FAB" w:rsidRPr="00974056" w:rsidRDefault="00112FAB" w:rsidP="00112FAB">
      <w:pPr>
        <w:pStyle w:val="Corpsdetexte"/>
        <w:spacing w:after="0"/>
        <w:jc w:val="both"/>
        <w:rPr>
          <w:rFonts w:ascii="Arial" w:hAnsi="Arial" w:cs="Arial"/>
          <w:sz w:val="22"/>
          <w:szCs w:val="22"/>
        </w:rPr>
      </w:pPr>
      <w:r w:rsidRPr="00974056">
        <w:rPr>
          <w:rFonts w:ascii="Arial" w:hAnsi="Arial" w:cs="Arial"/>
          <w:sz w:val="22"/>
          <w:szCs w:val="22"/>
        </w:rPr>
        <w:t>Dans le cadre de l’APP, l’administration française dispose d’informations qui ne doivent être qu’à la disposition du seul bureau des affaires internationales de la DGFIP, ce qui exclut en principe leur utilisation dans le cadre et par un contrôle fiscal. L’administration s’est en outre engagée à ne pas divulguer ces informations à des tiers, si ce n’est à l’administration de l’autre État.</w:t>
      </w:r>
    </w:p>
    <w:p w14:paraId="7F2FBE1B" w14:textId="77777777" w:rsidR="00112FAB" w:rsidRPr="00974056" w:rsidRDefault="00112FAB" w:rsidP="00112FAB">
      <w:pPr>
        <w:tabs>
          <w:tab w:val="left" w:pos="6946"/>
        </w:tabs>
        <w:jc w:val="both"/>
        <w:rPr>
          <w:rFonts w:ascii="Arial" w:hAnsi="Arial" w:cs="Arial"/>
          <w:sz w:val="22"/>
          <w:szCs w:val="22"/>
          <w:u w:val="single"/>
        </w:rPr>
      </w:pPr>
    </w:p>
    <w:p w14:paraId="659D196D" w14:textId="77777777" w:rsidR="00112FAB" w:rsidRPr="00974056" w:rsidRDefault="00112FAB" w:rsidP="00112FAB">
      <w:pPr>
        <w:tabs>
          <w:tab w:val="left" w:pos="6946"/>
        </w:tabs>
        <w:jc w:val="both"/>
        <w:rPr>
          <w:rFonts w:ascii="Arial" w:hAnsi="Arial" w:cs="Arial"/>
          <w:sz w:val="22"/>
          <w:szCs w:val="22"/>
          <w:u w:val="single"/>
        </w:rPr>
      </w:pPr>
    </w:p>
    <w:p w14:paraId="56E5621B" w14:textId="77777777" w:rsidR="00112FAB" w:rsidRPr="00974056" w:rsidRDefault="00112FAB" w:rsidP="00112FAB">
      <w:pPr>
        <w:tabs>
          <w:tab w:val="left" w:pos="6946"/>
        </w:tabs>
        <w:jc w:val="both"/>
        <w:rPr>
          <w:rFonts w:ascii="Arial" w:hAnsi="Arial" w:cs="Arial"/>
          <w:b/>
          <w:sz w:val="22"/>
          <w:szCs w:val="22"/>
        </w:rPr>
      </w:pPr>
      <w:r w:rsidRPr="00974056">
        <w:rPr>
          <w:rFonts w:ascii="Arial" w:hAnsi="Arial" w:cs="Arial"/>
          <w:b/>
          <w:sz w:val="22"/>
          <w:szCs w:val="22"/>
        </w:rPr>
        <w:t xml:space="preserve">V - </w:t>
      </w:r>
      <w:r w:rsidRPr="00974056">
        <w:rPr>
          <w:rFonts w:ascii="Arial" w:hAnsi="Arial" w:cs="Arial"/>
          <w:b/>
          <w:sz w:val="22"/>
          <w:szCs w:val="22"/>
          <w:u w:val="single"/>
        </w:rPr>
        <w:t>Application de l’accord</w:t>
      </w:r>
    </w:p>
    <w:p w14:paraId="38F19B26"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L’instruction fixe la durée entre trois et cinq ans, selon les recommandations de l’OCDE. L’accord peut devenir caduc lorsque :</w:t>
      </w:r>
    </w:p>
    <w:p w14:paraId="27D9C584"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les</w:t>
      </w:r>
      <w:proofErr w:type="gramEnd"/>
      <w:r w:rsidRPr="00974056">
        <w:rPr>
          <w:rFonts w:ascii="Arial" w:hAnsi="Arial" w:cs="Arial"/>
          <w:sz w:val="22"/>
          <w:szCs w:val="22"/>
        </w:rPr>
        <w:t xml:space="preserve"> informations fournies étaient erronées ou incomplètes,</w:t>
      </w:r>
    </w:p>
    <w:p w14:paraId="687B2215"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l’entreprise</w:t>
      </w:r>
      <w:proofErr w:type="gramEnd"/>
      <w:r w:rsidRPr="00974056">
        <w:rPr>
          <w:rFonts w:ascii="Arial" w:hAnsi="Arial" w:cs="Arial"/>
          <w:sz w:val="22"/>
          <w:szCs w:val="22"/>
        </w:rPr>
        <w:t xml:space="preserve"> ne respecte pas les clauses de l’accord</w:t>
      </w:r>
    </w:p>
    <w:p w14:paraId="56D76442" w14:textId="77777777" w:rsidR="00112FAB" w:rsidRPr="00974056" w:rsidRDefault="00112FAB" w:rsidP="00112FAB">
      <w:pPr>
        <w:tabs>
          <w:tab w:val="left" w:pos="6946"/>
        </w:tabs>
        <w:jc w:val="both"/>
        <w:rPr>
          <w:rFonts w:ascii="Arial" w:hAnsi="Arial" w:cs="Arial"/>
          <w:sz w:val="22"/>
          <w:szCs w:val="22"/>
        </w:rPr>
      </w:pPr>
    </w:p>
    <w:p w14:paraId="202E0FA5"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L’accord n’est pas rétroactif.</w:t>
      </w:r>
    </w:p>
    <w:p w14:paraId="221AF45A" w14:textId="77777777" w:rsidR="00112FAB" w:rsidRPr="00974056" w:rsidRDefault="00112FAB" w:rsidP="00112FAB">
      <w:pPr>
        <w:tabs>
          <w:tab w:val="left" w:pos="6946"/>
        </w:tabs>
        <w:jc w:val="both"/>
        <w:rPr>
          <w:rFonts w:ascii="Arial" w:hAnsi="Arial" w:cs="Arial"/>
          <w:sz w:val="22"/>
          <w:szCs w:val="22"/>
        </w:rPr>
      </w:pPr>
    </w:p>
    <w:p w14:paraId="7F1CD824" w14:textId="77777777" w:rsidR="00112FAB" w:rsidRPr="00974056" w:rsidRDefault="00112FAB" w:rsidP="00112FAB">
      <w:pPr>
        <w:tabs>
          <w:tab w:val="left" w:pos="6946"/>
        </w:tabs>
        <w:jc w:val="both"/>
        <w:rPr>
          <w:rFonts w:ascii="Arial" w:hAnsi="Arial" w:cs="Arial"/>
          <w:sz w:val="22"/>
          <w:szCs w:val="22"/>
        </w:rPr>
      </w:pPr>
    </w:p>
    <w:p w14:paraId="109CC6CE" w14:textId="77777777" w:rsidR="00112FAB" w:rsidRPr="00974056" w:rsidRDefault="00112FAB" w:rsidP="00112FAB">
      <w:pPr>
        <w:tabs>
          <w:tab w:val="left" w:pos="6946"/>
        </w:tabs>
        <w:jc w:val="both"/>
        <w:rPr>
          <w:rFonts w:ascii="Arial" w:hAnsi="Arial" w:cs="Arial"/>
          <w:b/>
          <w:sz w:val="22"/>
          <w:szCs w:val="22"/>
          <w:u w:val="single"/>
        </w:rPr>
      </w:pPr>
      <w:r w:rsidRPr="00974056">
        <w:rPr>
          <w:rFonts w:ascii="Arial" w:hAnsi="Arial" w:cs="Arial"/>
          <w:b/>
          <w:sz w:val="22"/>
          <w:szCs w:val="22"/>
        </w:rPr>
        <w:t xml:space="preserve">VI - </w:t>
      </w:r>
      <w:r w:rsidRPr="00974056">
        <w:rPr>
          <w:rFonts w:ascii="Arial" w:hAnsi="Arial" w:cs="Arial"/>
          <w:b/>
          <w:sz w:val="22"/>
          <w:szCs w:val="22"/>
          <w:u w:val="single"/>
        </w:rPr>
        <w:t>L’accord préalable unilatéral</w:t>
      </w:r>
    </w:p>
    <w:p w14:paraId="69838BB3"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L’instruction n° 11a de juin 2005 a introduit deux éléments de mise à jour en matière d‘APP :</w:t>
      </w:r>
    </w:p>
    <w:p w14:paraId="76933B13"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l’extension</w:t>
      </w:r>
      <w:proofErr w:type="gramEnd"/>
      <w:r w:rsidRPr="00974056">
        <w:rPr>
          <w:rFonts w:ascii="Arial" w:hAnsi="Arial" w:cs="Arial"/>
          <w:sz w:val="22"/>
          <w:szCs w:val="22"/>
        </w:rPr>
        <w:t xml:space="preserve"> des garanties de l’article L80 A du LPF</w:t>
      </w:r>
    </w:p>
    <w:p w14:paraId="094E3B12"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l’accord</w:t>
      </w:r>
      <w:proofErr w:type="gramEnd"/>
      <w:r w:rsidRPr="00974056">
        <w:rPr>
          <w:rFonts w:ascii="Arial" w:hAnsi="Arial" w:cs="Arial"/>
          <w:sz w:val="22"/>
          <w:szCs w:val="22"/>
        </w:rPr>
        <w:t xml:space="preserve"> unilatéral</w:t>
      </w:r>
    </w:p>
    <w:p w14:paraId="193CDC10" w14:textId="77777777" w:rsidR="00112FAB" w:rsidRPr="00974056" w:rsidRDefault="00112FAB" w:rsidP="00112FAB">
      <w:pPr>
        <w:tabs>
          <w:tab w:val="left" w:pos="6946"/>
        </w:tabs>
        <w:jc w:val="both"/>
        <w:rPr>
          <w:rFonts w:ascii="Arial" w:hAnsi="Arial" w:cs="Arial"/>
          <w:sz w:val="22"/>
          <w:szCs w:val="22"/>
        </w:rPr>
      </w:pPr>
    </w:p>
    <w:p w14:paraId="4ED2FFF8" w14:textId="77777777" w:rsidR="00112FAB" w:rsidRPr="00974056" w:rsidRDefault="00112FAB" w:rsidP="00112FA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Arial" w:hAnsi="Arial" w:cs="Arial"/>
          <w:b/>
          <w:sz w:val="22"/>
          <w:szCs w:val="22"/>
        </w:rPr>
      </w:pPr>
      <w:r w:rsidRPr="00974056">
        <w:rPr>
          <w:rFonts w:ascii="Arial" w:hAnsi="Arial" w:cs="Arial"/>
          <w:b/>
          <w:sz w:val="22"/>
          <w:szCs w:val="22"/>
        </w:rPr>
        <w:t>Article L80 A</w:t>
      </w:r>
    </w:p>
    <w:p w14:paraId="0FB2A2BD" w14:textId="77777777" w:rsidR="00112FAB" w:rsidRPr="0062222E" w:rsidRDefault="00112FAB" w:rsidP="00112FAB">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i/>
          <w:szCs w:val="22"/>
        </w:rPr>
      </w:pPr>
      <w:r w:rsidRPr="0062222E">
        <w:rPr>
          <w:i/>
          <w:szCs w:val="22"/>
        </w:rPr>
        <w:t>Il ne sera procédé à aucun rehaussement d'impositions antérieures si la cause du rehaussement poursuivi par l'administration est un différend sur l'interprétation par le redevable de bonne foi du texte fiscal et s'il est démontré que l'interprétation sur laquelle est fondée la première décision a été, à l'époque, formellement admise par l'administration.</w:t>
      </w:r>
    </w:p>
    <w:p w14:paraId="5319F7BD" w14:textId="77777777" w:rsidR="00112FAB" w:rsidRPr="0062222E" w:rsidRDefault="00112FAB" w:rsidP="00112FAB">
      <w:pPr>
        <w:widowControl w:val="0"/>
        <w:pBdr>
          <w:top w:val="single" w:sz="4" w:space="1" w:color="auto"/>
          <w:left w:val="single" w:sz="4" w:space="4" w:color="auto"/>
          <w:bottom w:val="single" w:sz="4" w:space="1" w:color="auto"/>
          <w:right w:val="single" w:sz="4" w:space="4"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i/>
          <w:szCs w:val="22"/>
        </w:rPr>
      </w:pPr>
      <w:r w:rsidRPr="0062222E">
        <w:rPr>
          <w:i/>
          <w:szCs w:val="22"/>
        </w:rPr>
        <w:t>Lorsque le redevable a appliqué un texte fiscal selon l'interprétation que l'administration avait fait connaître par ses instructions ou circulaires publiées et qu'elle n'avait pas rapportée à la date des opérations en cause, elle ne peut poursuivre aucun rehaussement en soutenant une interprétation différente.</w:t>
      </w:r>
    </w:p>
    <w:p w14:paraId="2641E7A7" w14:textId="77777777" w:rsidR="00112FAB" w:rsidRPr="0062222E" w:rsidRDefault="00112FAB" w:rsidP="00112FAB">
      <w:pPr>
        <w:tabs>
          <w:tab w:val="left" w:pos="6946"/>
        </w:tabs>
        <w:jc w:val="both"/>
      </w:pPr>
    </w:p>
    <w:p w14:paraId="4960AAEA" w14:textId="77777777" w:rsidR="00112FAB" w:rsidRPr="00974056" w:rsidRDefault="00112FAB" w:rsidP="00112FAB">
      <w:pPr>
        <w:tabs>
          <w:tab w:val="left" w:pos="6946"/>
        </w:tabs>
        <w:jc w:val="both"/>
        <w:rPr>
          <w:rFonts w:ascii="Arial" w:hAnsi="Arial" w:cs="Arial"/>
          <w:sz w:val="22"/>
          <w:szCs w:val="22"/>
        </w:rPr>
      </w:pPr>
    </w:p>
    <w:p w14:paraId="1C89A428"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Pour ce qui concerne l’accord unilatéral, l’avantage est qu’il correspond à une procédure accélérée et allégée, la négociation bilatérale entre les deux administrations disparaissant. Cette disposition correspond bien aux besoins des PME.</w:t>
      </w:r>
    </w:p>
    <w:p w14:paraId="676B6181"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Néanmoins, cette documentation sera limitée aux documents suivants :</w:t>
      </w:r>
    </w:p>
    <w:p w14:paraId="1D887CF0" w14:textId="77777777" w:rsidR="00112FAB" w:rsidRPr="00974056" w:rsidRDefault="00112FAB" w:rsidP="00112FAB">
      <w:pPr>
        <w:numPr>
          <w:ilvl w:val="0"/>
          <w:numId w:val="8"/>
        </w:numPr>
        <w:tabs>
          <w:tab w:val="left" w:pos="6946"/>
        </w:tabs>
        <w:ind w:left="567"/>
        <w:jc w:val="both"/>
        <w:rPr>
          <w:rFonts w:ascii="Arial" w:hAnsi="Arial" w:cs="Arial"/>
          <w:sz w:val="22"/>
          <w:szCs w:val="22"/>
        </w:rPr>
      </w:pPr>
      <w:proofErr w:type="gramStart"/>
      <w:r w:rsidRPr="00974056">
        <w:rPr>
          <w:rFonts w:ascii="Arial" w:hAnsi="Arial" w:cs="Arial"/>
          <w:sz w:val="22"/>
          <w:szCs w:val="22"/>
        </w:rPr>
        <w:t>l’organigramme</w:t>
      </w:r>
      <w:proofErr w:type="gramEnd"/>
      <w:r w:rsidRPr="00974056">
        <w:rPr>
          <w:rFonts w:ascii="Arial" w:hAnsi="Arial" w:cs="Arial"/>
          <w:sz w:val="22"/>
          <w:szCs w:val="22"/>
        </w:rPr>
        <w:t xml:space="preserve"> juridique du groupe ;</w:t>
      </w:r>
    </w:p>
    <w:p w14:paraId="182DCC52" w14:textId="77777777" w:rsidR="00112FAB" w:rsidRPr="00974056" w:rsidRDefault="00112FAB" w:rsidP="00112FAB">
      <w:pPr>
        <w:numPr>
          <w:ilvl w:val="0"/>
          <w:numId w:val="8"/>
        </w:numPr>
        <w:tabs>
          <w:tab w:val="left" w:pos="6946"/>
        </w:tabs>
        <w:ind w:left="567"/>
        <w:jc w:val="both"/>
        <w:rPr>
          <w:rFonts w:ascii="Arial" w:hAnsi="Arial" w:cs="Arial"/>
          <w:sz w:val="22"/>
          <w:szCs w:val="22"/>
        </w:rPr>
      </w:pPr>
      <w:proofErr w:type="gramStart"/>
      <w:r w:rsidRPr="00974056">
        <w:rPr>
          <w:rFonts w:ascii="Arial" w:hAnsi="Arial" w:cs="Arial"/>
          <w:sz w:val="22"/>
          <w:szCs w:val="22"/>
        </w:rPr>
        <w:lastRenderedPageBreak/>
        <w:t>la</w:t>
      </w:r>
      <w:proofErr w:type="gramEnd"/>
      <w:r w:rsidRPr="00974056">
        <w:rPr>
          <w:rFonts w:ascii="Arial" w:hAnsi="Arial" w:cs="Arial"/>
          <w:sz w:val="22"/>
          <w:szCs w:val="22"/>
        </w:rPr>
        <w:t xml:space="preserve"> liste des transactions et des prix pratiqués entre les entreprises liées ;</w:t>
      </w:r>
    </w:p>
    <w:p w14:paraId="3004240E" w14:textId="77777777" w:rsidR="00112FAB" w:rsidRPr="00974056" w:rsidRDefault="00112FAB" w:rsidP="00112FAB">
      <w:pPr>
        <w:numPr>
          <w:ilvl w:val="0"/>
          <w:numId w:val="8"/>
        </w:numPr>
        <w:tabs>
          <w:tab w:val="left" w:pos="6946"/>
        </w:tabs>
        <w:ind w:left="567"/>
        <w:jc w:val="both"/>
        <w:rPr>
          <w:rFonts w:ascii="Arial" w:hAnsi="Arial" w:cs="Arial"/>
          <w:sz w:val="22"/>
          <w:szCs w:val="22"/>
        </w:rPr>
      </w:pPr>
      <w:proofErr w:type="gramStart"/>
      <w:r w:rsidRPr="00974056">
        <w:rPr>
          <w:rFonts w:ascii="Arial" w:hAnsi="Arial" w:cs="Arial"/>
          <w:sz w:val="22"/>
          <w:szCs w:val="22"/>
        </w:rPr>
        <w:t>l’analyse</w:t>
      </w:r>
      <w:proofErr w:type="gramEnd"/>
      <w:r w:rsidRPr="00974056">
        <w:rPr>
          <w:rFonts w:ascii="Arial" w:hAnsi="Arial" w:cs="Arial"/>
          <w:sz w:val="22"/>
          <w:szCs w:val="22"/>
        </w:rPr>
        <w:t xml:space="preserve"> fonctionnelle ;</w:t>
      </w:r>
    </w:p>
    <w:p w14:paraId="29E804C1" w14:textId="77777777" w:rsidR="00112FAB" w:rsidRPr="00974056" w:rsidRDefault="00112FAB" w:rsidP="00112FAB">
      <w:pPr>
        <w:numPr>
          <w:ilvl w:val="0"/>
          <w:numId w:val="8"/>
        </w:numPr>
        <w:tabs>
          <w:tab w:val="left" w:pos="6946"/>
        </w:tabs>
        <w:ind w:left="567"/>
        <w:jc w:val="both"/>
        <w:rPr>
          <w:rFonts w:ascii="Arial" w:hAnsi="Arial" w:cs="Arial"/>
          <w:sz w:val="22"/>
          <w:szCs w:val="22"/>
        </w:rPr>
      </w:pPr>
      <w:proofErr w:type="gramStart"/>
      <w:r w:rsidRPr="00974056">
        <w:rPr>
          <w:rFonts w:ascii="Arial" w:hAnsi="Arial" w:cs="Arial"/>
          <w:sz w:val="22"/>
          <w:szCs w:val="22"/>
        </w:rPr>
        <w:t>la</w:t>
      </w:r>
      <w:proofErr w:type="gramEnd"/>
      <w:r w:rsidRPr="00974056">
        <w:rPr>
          <w:rFonts w:ascii="Arial" w:hAnsi="Arial" w:cs="Arial"/>
          <w:sz w:val="22"/>
          <w:szCs w:val="22"/>
        </w:rPr>
        <w:t xml:space="preserve"> description et la justification de la méthode de prix choisie ;</w:t>
      </w:r>
    </w:p>
    <w:p w14:paraId="450B2785" w14:textId="77777777" w:rsidR="00112FAB" w:rsidRPr="00974056" w:rsidRDefault="00112FAB" w:rsidP="00112FAB">
      <w:pPr>
        <w:numPr>
          <w:ilvl w:val="0"/>
          <w:numId w:val="8"/>
        </w:numPr>
        <w:tabs>
          <w:tab w:val="left" w:pos="6946"/>
        </w:tabs>
        <w:ind w:left="567"/>
        <w:jc w:val="both"/>
        <w:rPr>
          <w:rFonts w:ascii="Arial" w:hAnsi="Arial" w:cs="Arial"/>
          <w:sz w:val="22"/>
          <w:szCs w:val="22"/>
        </w:rPr>
      </w:pPr>
      <w:proofErr w:type="gramStart"/>
      <w:r w:rsidRPr="00974056">
        <w:rPr>
          <w:rFonts w:ascii="Arial" w:hAnsi="Arial" w:cs="Arial"/>
          <w:sz w:val="22"/>
          <w:szCs w:val="22"/>
        </w:rPr>
        <w:t>la</w:t>
      </w:r>
      <w:proofErr w:type="gramEnd"/>
      <w:r w:rsidRPr="00974056">
        <w:rPr>
          <w:rFonts w:ascii="Arial" w:hAnsi="Arial" w:cs="Arial"/>
          <w:sz w:val="22"/>
          <w:szCs w:val="22"/>
        </w:rPr>
        <w:t xml:space="preserve"> liasse fiscale des sociétés étrangères concernées.</w:t>
      </w:r>
    </w:p>
    <w:p w14:paraId="57F7F720" w14:textId="77777777" w:rsidR="00112FAB" w:rsidRPr="00974056" w:rsidRDefault="00112FAB" w:rsidP="00112FAB">
      <w:pPr>
        <w:tabs>
          <w:tab w:val="left" w:pos="6946"/>
        </w:tabs>
        <w:jc w:val="both"/>
        <w:rPr>
          <w:rFonts w:ascii="Arial" w:hAnsi="Arial" w:cs="Arial"/>
          <w:sz w:val="22"/>
          <w:szCs w:val="22"/>
        </w:rPr>
      </w:pPr>
    </w:p>
    <w:p w14:paraId="5ED07059"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Un inconvénient important est attaché à cette procédure allégée : le risque de double imposition persiste, puisque seule l’administration française est engagée.</w:t>
      </w:r>
    </w:p>
    <w:p w14:paraId="7D72EB7B" w14:textId="77777777" w:rsidR="00112FAB" w:rsidRPr="00974056" w:rsidRDefault="00112FAB" w:rsidP="00112FAB">
      <w:pPr>
        <w:tabs>
          <w:tab w:val="left" w:pos="6946"/>
        </w:tabs>
        <w:jc w:val="both"/>
        <w:rPr>
          <w:rFonts w:ascii="Arial" w:hAnsi="Arial" w:cs="Arial"/>
          <w:sz w:val="22"/>
          <w:szCs w:val="22"/>
        </w:rPr>
      </w:pPr>
    </w:p>
    <w:p w14:paraId="3CC0D621"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L’Union Européenne examine désormais avec attention les APP, le risque étant qu’ils soient constitutifs d’une aide d’état.</w:t>
      </w:r>
    </w:p>
    <w:p w14:paraId="4CE380FC"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L’article 107 du Traité interdit en principe les aides octroyées par les personnes publiques aux entreprises ; sauf dérogations prévues par les traités, sont incompatibles avec le marché intérieur, dans la mesure où elles affectent les échanges entre États membres, les aides accordées par les États ou au moyen de ressources d'État sous quelque forme que ce soit qui faussent ou qui menacent de fausser la concurrence en favorisant certaines entreprises ou certaines productions.</w:t>
      </w:r>
    </w:p>
    <w:p w14:paraId="4ED82AF3" w14:textId="77777777" w:rsidR="00112FAB" w:rsidRPr="00974056" w:rsidRDefault="00112FAB" w:rsidP="00112FAB">
      <w:pPr>
        <w:tabs>
          <w:tab w:val="left" w:pos="6946"/>
        </w:tabs>
        <w:jc w:val="both"/>
        <w:rPr>
          <w:rFonts w:ascii="Arial" w:hAnsi="Arial" w:cs="Arial"/>
          <w:sz w:val="22"/>
          <w:szCs w:val="22"/>
        </w:rPr>
      </w:pPr>
      <w:r w:rsidRPr="00974056">
        <w:rPr>
          <w:rFonts w:ascii="Arial" w:hAnsi="Arial" w:cs="Arial"/>
          <w:sz w:val="22"/>
          <w:szCs w:val="22"/>
        </w:rPr>
        <w:t>On peut, en conséquence, qualifier une aide d’aide d’État lorsque les 4 critères suivants sont remplis :</w:t>
      </w:r>
    </w:p>
    <w:p w14:paraId="55F4793A"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une</w:t>
      </w:r>
      <w:proofErr w:type="gramEnd"/>
      <w:r w:rsidRPr="00974056">
        <w:rPr>
          <w:rFonts w:ascii="Arial" w:hAnsi="Arial" w:cs="Arial"/>
          <w:sz w:val="22"/>
          <w:szCs w:val="22"/>
        </w:rPr>
        <w:t xml:space="preserve"> aide accordée à une entreprise,</w:t>
      </w:r>
    </w:p>
    <w:p w14:paraId="1EDB94D1"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par</w:t>
      </w:r>
      <w:proofErr w:type="gramEnd"/>
      <w:r w:rsidRPr="00974056">
        <w:rPr>
          <w:rFonts w:ascii="Arial" w:hAnsi="Arial" w:cs="Arial"/>
          <w:sz w:val="22"/>
          <w:szCs w:val="22"/>
        </w:rPr>
        <w:t xml:space="preserve"> l’État au moyen de ressources publiques,</w:t>
      </w:r>
    </w:p>
    <w:p w14:paraId="68E8DB3B"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procurant</w:t>
      </w:r>
      <w:proofErr w:type="gramEnd"/>
      <w:r w:rsidRPr="00974056">
        <w:rPr>
          <w:rFonts w:ascii="Arial" w:hAnsi="Arial" w:cs="Arial"/>
          <w:sz w:val="22"/>
          <w:szCs w:val="22"/>
        </w:rPr>
        <w:t xml:space="preserve"> un avantage sélectif, et</w:t>
      </w:r>
    </w:p>
    <w:p w14:paraId="482F674F" w14:textId="77777777" w:rsidR="00112FAB" w:rsidRPr="00974056" w:rsidRDefault="00112FAB" w:rsidP="00112FAB">
      <w:pPr>
        <w:numPr>
          <w:ilvl w:val="0"/>
          <w:numId w:val="8"/>
        </w:numPr>
        <w:tabs>
          <w:tab w:val="left" w:pos="6946"/>
        </w:tabs>
        <w:jc w:val="both"/>
        <w:rPr>
          <w:rFonts w:ascii="Arial" w:hAnsi="Arial" w:cs="Arial"/>
          <w:sz w:val="22"/>
          <w:szCs w:val="22"/>
        </w:rPr>
      </w:pPr>
      <w:proofErr w:type="gramStart"/>
      <w:r w:rsidRPr="00974056">
        <w:rPr>
          <w:rFonts w:ascii="Arial" w:hAnsi="Arial" w:cs="Arial"/>
          <w:sz w:val="22"/>
          <w:szCs w:val="22"/>
        </w:rPr>
        <w:t>affectant</w:t>
      </w:r>
      <w:proofErr w:type="gramEnd"/>
      <w:r w:rsidRPr="00974056">
        <w:rPr>
          <w:rFonts w:ascii="Arial" w:hAnsi="Arial" w:cs="Arial"/>
          <w:sz w:val="22"/>
          <w:szCs w:val="22"/>
        </w:rPr>
        <w:t xml:space="preserve"> les échanges entre États membres et la concurrence.</w:t>
      </w:r>
    </w:p>
    <w:p w14:paraId="5D9B2BB9" w14:textId="77777777" w:rsidR="00112FAB" w:rsidRPr="00974056" w:rsidRDefault="00112FAB" w:rsidP="00112FAB">
      <w:pPr>
        <w:widowControl w:val="0"/>
        <w:autoSpaceDE w:val="0"/>
        <w:autoSpaceDN w:val="0"/>
        <w:adjustRightInd w:val="0"/>
        <w:jc w:val="both"/>
        <w:rPr>
          <w:rFonts w:ascii="Arial" w:hAnsi="Arial" w:cs="Arial"/>
          <w:sz w:val="22"/>
          <w:szCs w:val="22"/>
        </w:rPr>
      </w:pPr>
    </w:p>
    <w:p w14:paraId="24E932DF" w14:textId="77777777" w:rsidR="00112FAB" w:rsidRPr="00974056" w:rsidRDefault="00112FAB" w:rsidP="00112FAB">
      <w:pPr>
        <w:widowControl w:val="0"/>
        <w:autoSpaceDE w:val="0"/>
        <w:autoSpaceDN w:val="0"/>
        <w:adjustRightInd w:val="0"/>
        <w:rPr>
          <w:rFonts w:ascii="Arial" w:hAnsi="Arial" w:cs="Arial"/>
          <w:sz w:val="22"/>
          <w:szCs w:val="22"/>
        </w:rPr>
      </w:pPr>
    </w:p>
    <w:p w14:paraId="2151669C" w14:textId="77777777" w:rsidR="00112FAB" w:rsidRPr="00974056" w:rsidRDefault="00112FAB" w:rsidP="00112FAB">
      <w:pPr>
        <w:widowControl w:val="0"/>
        <w:autoSpaceDE w:val="0"/>
        <w:autoSpaceDN w:val="0"/>
        <w:adjustRightInd w:val="0"/>
        <w:rPr>
          <w:rFonts w:ascii="Arial" w:hAnsi="Arial" w:cs="Arial"/>
          <w:sz w:val="22"/>
          <w:szCs w:val="22"/>
        </w:rPr>
      </w:pPr>
    </w:p>
    <w:p w14:paraId="4ADA4118" w14:textId="77777777" w:rsidR="00112FAB" w:rsidRPr="00974056" w:rsidRDefault="00112FAB" w:rsidP="00112FAB">
      <w:pPr>
        <w:widowControl w:val="0"/>
        <w:autoSpaceDE w:val="0"/>
        <w:autoSpaceDN w:val="0"/>
        <w:adjustRightInd w:val="0"/>
        <w:rPr>
          <w:rFonts w:ascii="Arial" w:hAnsi="Arial" w:cs="Arial"/>
          <w:sz w:val="22"/>
          <w:szCs w:val="22"/>
        </w:rPr>
      </w:pPr>
    </w:p>
    <w:p w14:paraId="32000811" w14:textId="77777777" w:rsidR="00112FAB" w:rsidRPr="0072429A" w:rsidRDefault="00112FAB" w:rsidP="00112FAB">
      <w:pPr>
        <w:widowControl w:val="0"/>
        <w:autoSpaceDE w:val="0"/>
        <w:autoSpaceDN w:val="0"/>
        <w:adjustRightInd w:val="0"/>
        <w:rPr>
          <w:szCs w:val="21"/>
        </w:rPr>
      </w:pPr>
    </w:p>
    <w:p w14:paraId="670C3A92" w14:textId="77777777" w:rsidR="00B5772F" w:rsidRDefault="00B5772F"/>
    <w:sectPr w:rsidR="00B5772F" w:rsidSect="00E55C27">
      <w:pgSz w:w="11900" w:h="16840"/>
      <w:pgMar w:top="1418" w:right="1418" w:bottom="1418" w:left="1418"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1C2E40" w14:textId="77777777" w:rsidR="0062257F" w:rsidRDefault="0062257F" w:rsidP="00112FAB">
      <w:r>
        <w:separator/>
      </w:r>
    </w:p>
  </w:endnote>
  <w:endnote w:type="continuationSeparator" w:id="0">
    <w:p w14:paraId="2DE57119" w14:textId="77777777" w:rsidR="0062257F" w:rsidRDefault="0062257F" w:rsidP="00112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MT">
    <w:altName w:val="Arial"/>
    <w:panose1 w:val="020B0604020202020204"/>
    <w:charset w:val="4D"/>
    <w:family w:val="swiss"/>
    <w:notTrueType/>
    <w:pitch w:val="default"/>
    <w:sig w:usb0="03000000"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OpenSans-LightItalic">
    <w:altName w:val="Calibri"/>
    <w:panose1 w:val="020B0604020202020204"/>
    <w:charset w:val="00"/>
    <w:family w:val="auto"/>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6C5F3" w14:textId="77777777" w:rsidR="00112FAB" w:rsidRDefault="00112FAB" w:rsidP="00EF4F1A">
    <w:pPr>
      <w:pStyle w:val="Pieddepage"/>
      <w:framePr w:wrap="around" w:vAnchor="text" w:hAnchor="margin" w:xAlign="right" w:y="1"/>
      <w:rPr>
        <w:rStyle w:val="Numrodepage"/>
        <w:rFonts w:eastAsia="MS Gothic"/>
      </w:rPr>
    </w:pPr>
    <w:r>
      <w:rPr>
        <w:rStyle w:val="Numrodepage"/>
        <w:rFonts w:eastAsia="MS Gothic"/>
      </w:rPr>
      <w:fldChar w:fldCharType="begin"/>
    </w:r>
    <w:r>
      <w:rPr>
        <w:rStyle w:val="Numrodepage"/>
        <w:rFonts w:eastAsia="MS Gothic"/>
      </w:rPr>
      <w:instrText xml:space="preserve">PAGE  </w:instrText>
    </w:r>
    <w:r>
      <w:rPr>
        <w:rStyle w:val="Numrodepage"/>
        <w:rFonts w:eastAsia="MS Gothic"/>
      </w:rPr>
      <w:fldChar w:fldCharType="end"/>
    </w:r>
  </w:p>
  <w:p w14:paraId="0AE4E408" w14:textId="77777777" w:rsidR="00112FAB" w:rsidRDefault="00112FAB" w:rsidP="00EF4F1A">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F557AC" w14:textId="77777777" w:rsidR="00112FAB" w:rsidRDefault="00112FAB" w:rsidP="00EF4F1A">
    <w:pPr>
      <w:pStyle w:val="Pieddepage"/>
      <w:framePr w:wrap="around" w:vAnchor="text" w:hAnchor="margin" w:xAlign="right" w:y="1"/>
      <w:rPr>
        <w:rStyle w:val="Numrodepage"/>
        <w:rFonts w:eastAsia="MS Gothic"/>
      </w:rPr>
    </w:pPr>
    <w:r>
      <w:rPr>
        <w:rStyle w:val="Numrodepage"/>
        <w:rFonts w:eastAsia="MS Gothic"/>
      </w:rPr>
      <w:fldChar w:fldCharType="begin"/>
    </w:r>
    <w:r>
      <w:rPr>
        <w:rStyle w:val="Numrodepage"/>
        <w:rFonts w:eastAsia="MS Gothic"/>
      </w:rPr>
      <w:instrText xml:space="preserve">PAGE  </w:instrText>
    </w:r>
    <w:r>
      <w:rPr>
        <w:rStyle w:val="Numrodepage"/>
        <w:rFonts w:eastAsia="MS Gothic"/>
      </w:rPr>
      <w:fldChar w:fldCharType="separate"/>
    </w:r>
    <w:r>
      <w:rPr>
        <w:rStyle w:val="Numrodepage"/>
        <w:rFonts w:eastAsia="MS Gothic"/>
        <w:noProof/>
      </w:rPr>
      <w:t>1</w:t>
    </w:r>
    <w:r>
      <w:rPr>
        <w:rStyle w:val="Numrodepage"/>
        <w:rFonts w:eastAsia="MS Gothic"/>
      </w:rPr>
      <w:fldChar w:fldCharType="end"/>
    </w:r>
  </w:p>
  <w:p w14:paraId="73312D89" w14:textId="77777777" w:rsidR="00112FAB" w:rsidRDefault="00112FAB" w:rsidP="00EF4F1A">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79FF4A" w14:textId="77777777" w:rsidR="0062257F" w:rsidRDefault="0062257F" w:rsidP="00112FAB">
      <w:r>
        <w:separator/>
      </w:r>
    </w:p>
  </w:footnote>
  <w:footnote w:type="continuationSeparator" w:id="0">
    <w:p w14:paraId="276D9593" w14:textId="77777777" w:rsidR="0062257F" w:rsidRDefault="0062257F" w:rsidP="00112FAB">
      <w:r>
        <w:continuationSeparator/>
      </w:r>
    </w:p>
  </w:footnote>
  <w:footnote w:id="1">
    <w:p w14:paraId="5FF4373C" w14:textId="430E353F" w:rsidR="00536241" w:rsidRDefault="00536241">
      <w:pPr>
        <w:pStyle w:val="Notedebasdepage"/>
      </w:pPr>
      <w:r>
        <w:rPr>
          <w:rStyle w:val="Appelnotedebasdep"/>
        </w:rPr>
        <w:footnoteRef/>
      </w:r>
      <w:r>
        <w:t xml:space="preserve"> </w:t>
      </w:r>
      <w:r w:rsidRPr="00536241">
        <w:t>https://www.oecd.org/content/dam/oecd/fr/publications/reports/2022/01/oecd-transfer-pricing-guidelines-for-multinational-enterprises-and-tax-administrations-2022_57104b3a/5357f003-fr.pdf</w:t>
      </w:r>
    </w:p>
  </w:footnote>
  <w:footnote w:id="2">
    <w:p w14:paraId="0C72EF57" w14:textId="119BB33D" w:rsidR="00B8728F" w:rsidRDefault="00B8728F">
      <w:pPr>
        <w:pStyle w:val="Notedebasdepage"/>
      </w:pPr>
      <w:r>
        <w:rPr>
          <w:rStyle w:val="Appelnotedebasdep"/>
        </w:rPr>
        <w:footnoteRef/>
      </w:r>
      <w:r>
        <w:t xml:space="preserve"> </w:t>
      </w:r>
      <w:r w:rsidRPr="00B8728F">
        <w:t>https://www.oecd.org/fr/publications/serials/oecd-g20-base-erosion-and-profit-shifting-project_g1g46cef.html</w:t>
      </w:r>
    </w:p>
  </w:footnote>
  <w:footnote w:id="3">
    <w:p w14:paraId="58915B1B" w14:textId="359294F3" w:rsidR="00EF60DA" w:rsidRPr="00EF60DA" w:rsidRDefault="00EF60DA" w:rsidP="00EF60DA">
      <w:pPr>
        <w:widowControl w:val="0"/>
        <w:autoSpaceDE w:val="0"/>
        <w:autoSpaceDN w:val="0"/>
        <w:adjustRightInd w:val="0"/>
        <w:jc w:val="both"/>
        <w:rPr>
          <w:rFonts w:ascii="Arial" w:hAnsi="Arial" w:cs="Arial"/>
          <w:b/>
          <w:bCs/>
          <w:sz w:val="22"/>
          <w:szCs w:val="22"/>
        </w:rPr>
      </w:pPr>
      <w:r>
        <w:rPr>
          <w:rStyle w:val="Appelnotedebasdep"/>
        </w:rPr>
        <w:footnoteRef/>
      </w:r>
      <w:r>
        <w:t xml:space="preserve"> </w:t>
      </w:r>
      <w:r w:rsidR="00B80843" w:rsidRPr="00B80843">
        <w:t>https://bofip.impots.gouv.fr/bofip/4332-PGP.html/identifiant%3DBOI-CF-IOR-60-50-20120912</w:t>
      </w:r>
    </w:p>
  </w:footnote>
  <w:footnote w:id="4">
    <w:p w14:paraId="4B669024" w14:textId="77777777" w:rsidR="00112FAB" w:rsidRDefault="00112FAB" w:rsidP="00112FAB">
      <w:pPr>
        <w:pStyle w:val="Notedebasdepage"/>
      </w:pPr>
      <w:r>
        <w:rPr>
          <w:rStyle w:val="Appelnotedebasdep"/>
        </w:rPr>
        <w:footnoteRef/>
      </w:r>
      <w:r>
        <w:t xml:space="preserve"> </w:t>
      </w:r>
      <w:r w:rsidRPr="00136DE2">
        <w:t>https://www.lexplicite.fr/obligation-documentaire-en-matiere-de-prix-de-transfert/</w:t>
      </w:r>
    </w:p>
  </w:footnote>
  <w:footnote w:id="5">
    <w:p w14:paraId="484375D8" w14:textId="12D4CE62" w:rsidR="00127496" w:rsidRDefault="00127496">
      <w:pPr>
        <w:pStyle w:val="Notedebasdepage"/>
      </w:pPr>
      <w:r>
        <w:rPr>
          <w:rStyle w:val="Appelnotedebasdep"/>
        </w:rPr>
        <w:footnoteRef/>
      </w:r>
      <w:r>
        <w:t xml:space="preserve"> </w:t>
      </w:r>
      <w:r w:rsidRPr="00127496">
        <w:t>https://www.oecd.org/en/topics/base-erosion-and-profit-shifting-beps.html</w:t>
      </w:r>
    </w:p>
  </w:footnote>
  <w:footnote w:id="6">
    <w:p w14:paraId="3D29551E" w14:textId="6218CD8C" w:rsidR="002C4DC2" w:rsidRDefault="002C4DC2">
      <w:pPr>
        <w:pStyle w:val="Notedebasdepage"/>
      </w:pPr>
      <w:r>
        <w:rPr>
          <w:rStyle w:val="Appelnotedebasdep"/>
        </w:rPr>
        <w:footnoteRef/>
      </w:r>
      <w:r>
        <w:t xml:space="preserve"> </w:t>
      </w:r>
      <w:r w:rsidRPr="002C4DC2">
        <w:t>https://taxation-customs.ec.europa.eu/document/download/bb85897b-4914-44a5-8a7d-4a37d37e1b9a_en</w:t>
      </w:r>
    </w:p>
  </w:footnote>
  <w:footnote w:id="7">
    <w:p w14:paraId="57150251" w14:textId="77777777" w:rsidR="00112FAB" w:rsidRDefault="00112FAB" w:rsidP="00112FAB">
      <w:pPr>
        <w:pStyle w:val="Notedebasdepage"/>
      </w:pPr>
      <w:r>
        <w:rPr>
          <w:rStyle w:val="Appelnotedebasdep"/>
        </w:rPr>
        <w:footnoteRef/>
      </w:r>
      <w:r>
        <w:t xml:space="preserve"> </w:t>
      </w:r>
      <w:r w:rsidRPr="002E58BB">
        <w:t>https://www.oecd.org/fr/fiscalite/beps/instructions-relatives-a-la-mise-en-oeuvre-de-la-declaration-pays-par-pays-beps-action-13.pdf</w:t>
      </w:r>
    </w:p>
  </w:footnote>
  <w:footnote w:id="8">
    <w:p w14:paraId="76BAC7DF" w14:textId="68BADE39" w:rsidR="008D14F5" w:rsidRPr="008D14F5" w:rsidRDefault="008D14F5" w:rsidP="008D14F5">
      <w:pPr>
        <w:jc w:val="both"/>
        <w:rPr>
          <w:rFonts w:ascii="MS Gothic" w:eastAsia="MS Gothic" w:hAnsi="MS Gothic" w:cs="MS Gothic"/>
          <w:i/>
          <w:iCs/>
          <w:sz w:val="22"/>
          <w:szCs w:val="22"/>
          <w:lang w:val="en-US"/>
        </w:rPr>
      </w:pPr>
      <w:r>
        <w:rPr>
          <w:rStyle w:val="Appelnotedebasdep"/>
        </w:rPr>
        <w:footnoteRef/>
      </w:r>
      <w:r w:rsidRPr="008D14F5">
        <w:rPr>
          <w:lang w:val="en-US"/>
        </w:rPr>
        <w:t xml:space="preserve"> </w:t>
      </w:r>
      <w:r w:rsidRPr="00A77A59">
        <w:rPr>
          <w:rFonts w:ascii="OpenSans-LightItalic" w:hAnsi="OpenSans-LightItalic" w:cs="OpenSans-LightItalic"/>
          <w:i/>
          <w:iCs/>
          <w:color w:val="0F424C"/>
          <w:sz w:val="22"/>
          <w:szCs w:val="22"/>
          <w:lang w:val="en-US"/>
        </w:rPr>
        <w:t>Projet de directive "on Business in Europe: Framework for Income Taxation (BEFIT)" {SWD(2023) 308 final} - </w:t>
      </w:r>
      <w:r w:rsidRPr="00A77A59">
        <w:rPr>
          <w:rFonts w:ascii="MS Gothic" w:eastAsia="MS Gothic" w:hAnsi="MS Gothic" w:cs="MS Gothic" w:hint="eastAsia"/>
          <w:i/>
          <w:iCs/>
          <w:sz w:val="22"/>
          <w:szCs w:val="22"/>
          <w:lang w:val="en-US"/>
        </w:rPr>
        <w:t> </w:t>
      </w:r>
      <w:r w:rsidRPr="00A77A59">
        <w:rPr>
          <w:rFonts w:ascii="OpenSans-LightItalic" w:hAnsi="OpenSans-LightItalic" w:cs="OpenSans-LightItalic"/>
          <w:i/>
          <w:iCs/>
          <w:color w:val="0F424C"/>
          <w:sz w:val="22"/>
          <w:szCs w:val="22"/>
          <w:lang w:val="en-US"/>
        </w:rPr>
        <w:t>{SWD(2023) 309 final}, 2023/0321 (CNS) - 12.09.2023</w:t>
      </w:r>
      <w:r w:rsidRPr="00A77A59">
        <w:rPr>
          <w:rFonts w:ascii="MS Gothic" w:eastAsia="MS Gothic" w:hAnsi="MS Gothic" w:cs="MS Gothic" w:hint="eastAsia"/>
          <w:i/>
          <w:iCs/>
          <w:sz w:val="22"/>
          <w:szCs w:val="22"/>
          <w:lang w:val="en-US"/>
        </w:rPr>
        <w:t> </w:t>
      </w:r>
    </w:p>
  </w:footnote>
  <w:footnote w:id="9">
    <w:p w14:paraId="20C042CE" w14:textId="6F30A73A" w:rsidR="008D14F5" w:rsidRPr="000E2052" w:rsidRDefault="008D14F5" w:rsidP="008D14F5">
      <w:pPr>
        <w:jc w:val="both"/>
        <w:rPr>
          <w:rFonts w:ascii="MS Gothic" w:eastAsia="MS Gothic" w:hAnsi="MS Gothic" w:cs="MS Gothic"/>
          <w:i/>
          <w:iCs/>
          <w:sz w:val="22"/>
          <w:szCs w:val="22"/>
        </w:rPr>
      </w:pPr>
      <w:r>
        <w:rPr>
          <w:rStyle w:val="Appelnotedebasdep"/>
        </w:rPr>
        <w:footnoteRef/>
      </w:r>
      <w:r w:rsidRPr="000E2052">
        <w:t xml:space="preserve"> </w:t>
      </w:r>
      <w:r w:rsidRPr="00E124BD">
        <w:rPr>
          <w:rFonts w:ascii="OpenSans-LightItalic" w:hAnsi="OpenSans-LightItalic" w:cs="OpenSans-LightItalic"/>
          <w:i/>
          <w:iCs/>
          <w:color w:val="0F424C"/>
          <w:sz w:val="22"/>
          <w:szCs w:val="22"/>
        </w:rPr>
        <w:t xml:space="preserve"> Projet de directive sur les prix de transfert {</w:t>
      </w:r>
      <w:proofErr w:type="gramStart"/>
      <w:r w:rsidRPr="00E124BD">
        <w:rPr>
          <w:rFonts w:ascii="OpenSans-LightItalic" w:hAnsi="OpenSans-LightItalic" w:cs="OpenSans-LightItalic"/>
          <w:i/>
          <w:iCs/>
          <w:color w:val="0F424C"/>
          <w:sz w:val="22"/>
          <w:szCs w:val="22"/>
        </w:rPr>
        <w:t>SWD(</w:t>
      </w:r>
      <w:proofErr w:type="gramEnd"/>
      <w:r w:rsidRPr="00E124BD">
        <w:rPr>
          <w:rFonts w:ascii="OpenSans-LightItalic" w:hAnsi="OpenSans-LightItalic" w:cs="OpenSans-LightItalic"/>
          <w:i/>
          <w:iCs/>
          <w:color w:val="0F424C"/>
          <w:sz w:val="22"/>
          <w:szCs w:val="22"/>
        </w:rPr>
        <w:t>2023) 308-309 final} , 2023/0322 (CNS) - 12.09.2023</w:t>
      </w:r>
    </w:p>
    <w:p w14:paraId="7CD8A6BD" w14:textId="0ACF9D19" w:rsidR="008D14F5" w:rsidRDefault="008D14F5">
      <w:pPr>
        <w:pStyle w:val="Notedebasdepage"/>
      </w:pPr>
    </w:p>
  </w:footnote>
  <w:footnote w:id="10">
    <w:p w14:paraId="0D9FE50E" w14:textId="4C3A27AF" w:rsidR="00A45155" w:rsidRDefault="00A45155">
      <w:pPr>
        <w:pStyle w:val="Notedebasdepage"/>
      </w:pPr>
      <w:r>
        <w:rPr>
          <w:rStyle w:val="Appelnotedebasdep"/>
        </w:rPr>
        <w:footnoteRef/>
      </w:r>
      <w:r>
        <w:t xml:space="preserve"> </w:t>
      </w:r>
      <w:r w:rsidRPr="00A45155">
        <w:t>https://bofip.impots.gouv.fr/bofip/1053-PGP.html/identifiant%3DBOI-SJ-RES-20-10-20180718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0"/>
    <w:lvl w:ilvl="0">
      <w:numFmt w:val="bullet"/>
      <w:lvlText w:val="-"/>
      <w:lvlJc w:val="left"/>
      <w:pPr>
        <w:tabs>
          <w:tab w:val="num" w:pos="360"/>
        </w:tabs>
        <w:ind w:left="360" w:hanging="360"/>
      </w:pPr>
      <w:rPr>
        <w:rFonts w:ascii="Times New Roman" w:hAnsi="Times New Roman" w:hint="default"/>
      </w:rPr>
    </w:lvl>
  </w:abstractNum>
  <w:abstractNum w:abstractNumId="1" w15:restartNumberingAfterBreak="0">
    <w:nsid w:val="014D1AC5"/>
    <w:multiLevelType w:val="hybridMultilevel"/>
    <w:tmpl w:val="E0DE582E"/>
    <w:lvl w:ilvl="0" w:tplc="E77E5518">
      <w:start w:val="2"/>
      <w:numFmt w:val="bullet"/>
      <w:lvlText w:val="-"/>
      <w:lvlJc w:val="left"/>
      <w:pPr>
        <w:ind w:left="720" w:hanging="360"/>
      </w:pPr>
      <w:rPr>
        <w:rFonts w:ascii="Arial" w:eastAsia="Times New Roman" w:hAnsi="Arial" w:cs="Times New Roman" w:hint="default"/>
        <w:b/>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B0243D5"/>
    <w:multiLevelType w:val="multilevel"/>
    <w:tmpl w:val="E4B20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42265D"/>
    <w:multiLevelType w:val="hybridMultilevel"/>
    <w:tmpl w:val="C47A1D76"/>
    <w:lvl w:ilvl="0" w:tplc="333AD836">
      <w:start w:val="1"/>
      <w:numFmt w:val="bullet"/>
      <w:lvlText w:val="-"/>
      <w:lvlJc w:val="left"/>
      <w:pPr>
        <w:tabs>
          <w:tab w:val="num" w:pos="720"/>
        </w:tabs>
        <w:ind w:left="720" w:hanging="360"/>
      </w:pPr>
      <w:rPr>
        <w:rFonts w:ascii="ArialMT" w:eastAsia="Times New Roman" w:hAnsi="ArialMT" w:hint="default"/>
      </w:rPr>
    </w:lvl>
    <w:lvl w:ilvl="1" w:tplc="0003040C" w:tentative="1">
      <w:start w:val="1"/>
      <w:numFmt w:val="bullet"/>
      <w:lvlText w:val="o"/>
      <w:lvlJc w:val="left"/>
      <w:pPr>
        <w:tabs>
          <w:tab w:val="num" w:pos="1440"/>
        </w:tabs>
        <w:ind w:left="1440" w:hanging="360"/>
      </w:pPr>
      <w:rPr>
        <w:rFonts w:ascii="Courier New" w:hAnsi="Courier New" w:hint="default"/>
      </w:rPr>
    </w:lvl>
    <w:lvl w:ilvl="2" w:tplc="0005040C" w:tentative="1">
      <w:start w:val="1"/>
      <w:numFmt w:val="bullet"/>
      <w:lvlText w:val=""/>
      <w:lvlJc w:val="left"/>
      <w:pPr>
        <w:tabs>
          <w:tab w:val="num" w:pos="2160"/>
        </w:tabs>
        <w:ind w:left="2160" w:hanging="360"/>
      </w:pPr>
      <w:rPr>
        <w:rFonts w:ascii="Wingdings" w:hAnsi="Wingdings" w:hint="default"/>
      </w:rPr>
    </w:lvl>
    <w:lvl w:ilvl="3" w:tplc="0001040C" w:tentative="1">
      <w:start w:val="1"/>
      <w:numFmt w:val="bullet"/>
      <w:lvlText w:val=""/>
      <w:lvlJc w:val="left"/>
      <w:pPr>
        <w:tabs>
          <w:tab w:val="num" w:pos="2880"/>
        </w:tabs>
        <w:ind w:left="2880" w:hanging="360"/>
      </w:pPr>
      <w:rPr>
        <w:rFonts w:ascii="Symbol" w:hAnsi="Symbol" w:hint="default"/>
      </w:rPr>
    </w:lvl>
    <w:lvl w:ilvl="4" w:tplc="0003040C" w:tentative="1">
      <w:start w:val="1"/>
      <w:numFmt w:val="bullet"/>
      <w:lvlText w:val="o"/>
      <w:lvlJc w:val="left"/>
      <w:pPr>
        <w:tabs>
          <w:tab w:val="num" w:pos="3600"/>
        </w:tabs>
        <w:ind w:left="3600" w:hanging="360"/>
      </w:pPr>
      <w:rPr>
        <w:rFonts w:ascii="Courier New" w:hAnsi="Courier New" w:hint="default"/>
      </w:rPr>
    </w:lvl>
    <w:lvl w:ilvl="5" w:tplc="0005040C" w:tentative="1">
      <w:start w:val="1"/>
      <w:numFmt w:val="bullet"/>
      <w:lvlText w:val=""/>
      <w:lvlJc w:val="left"/>
      <w:pPr>
        <w:tabs>
          <w:tab w:val="num" w:pos="4320"/>
        </w:tabs>
        <w:ind w:left="4320" w:hanging="360"/>
      </w:pPr>
      <w:rPr>
        <w:rFonts w:ascii="Wingdings" w:hAnsi="Wingdings" w:hint="default"/>
      </w:rPr>
    </w:lvl>
    <w:lvl w:ilvl="6" w:tplc="0001040C" w:tentative="1">
      <w:start w:val="1"/>
      <w:numFmt w:val="bullet"/>
      <w:lvlText w:val=""/>
      <w:lvlJc w:val="left"/>
      <w:pPr>
        <w:tabs>
          <w:tab w:val="num" w:pos="5040"/>
        </w:tabs>
        <w:ind w:left="5040" w:hanging="360"/>
      </w:pPr>
      <w:rPr>
        <w:rFonts w:ascii="Symbol" w:hAnsi="Symbol" w:hint="default"/>
      </w:rPr>
    </w:lvl>
    <w:lvl w:ilvl="7" w:tplc="0003040C" w:tentative="1">
      <w:start w:val="1"/>
      <w:numFmt w:val="bullet"/>
      <w:lvlText w:val="o"/>
      <w:lvlJc w:val="left"/>
      <w:pPr>
        <w:tabs>
          <w:tab w:val="num" w:pos="5760"/>
        </w:tabs>
        <w:ind w:left="5760" w:hanging="360"/>
      </w:pPr>
      <w:rPr>
        <w:rFonts w:ascii="Courier New" w:hAnsi="Courier New" w:hint="default"/>
      </w:rPr>
    </w:lvl>
    <w:lvl w:ilvl="8" w:tplc="0005040C"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48C3A9E"/>
    <w:multiLevelType w:val="hybridMultilevel"/>
    <w:tmpl w:val="E9B2DFA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6592C0C"/>
    <w:multiLevelType w:val="hybridMultilevel"/>
    <w:tmpl w:val="9214B302"/>
    <w:lvl w:ilvl="0" w:tplc="D5022F30">
      <w:start w:val="1"/>
      <w:numFmt w:val="bullet"/>
      <w:lvlText w:val="-"/>
      <w:lvlJc w:val="left"/>
      <w:pPr>
        <w:ind w:left="720" w:hanging="360"/>
      </w:pPr>
      <w:rPr>
        <w:rFonts w:ascii="Arial" w:eastAsia="MS Mincho" w:hAnsi="Arial" w:cs="Ari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8043430"/>
    <w:multiLevelType w:val="hybridMultilevel"/>
    <w:tmpl w:val="CA7440DE"/>
    <w:lvl w:ilvl="0" w:tplc="A58C6BD8">
      <w:numFmt w:val="bullet"/>
      <w:lvlText w:val="-"/>
      <w:lvlJc w:val="left"/>
      <w:pPr>
        <w:ind w:left="720" w:hanging="360"/>
      </w:pPr>
      <w:rPr>
        <w:rFonts w:ascii="Arial" w:eastAsia="Times New Roman" w:hAnsi="Arial"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1B804BC"/>
    <w:multiLevelType w:val="hybridMultilevel"/>
    <w:tmpl w:val="4B126F6A"/>
    <w:lvl w:ilvl="0" w:tplc="00344876">
      <w:numFmt w:val="bullet"/>
      <w:lvlText w:val="-"/>
      <w:lvlJc w:val="left"/>
      <w:pPr>
        <w:ind w:left="720" w:hanging="360"/>
      </w:pPr>
      <w:rPr>
        <w:rFonts w:ascii="Arial" w:eastAsia="Times New Roman" w:hAnsi="Arial"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70F5F7F"/>
    <w:multiLevelType w:val="hybridMultilevel"/>
    <w:tmpl w:val="B7804C4E"/>
    <w:lvl w:ilvl="0" w:tplc="471C73EC">
      <w:start w:val="57"/>
      <w:numFmt w:val="bullet"/>
      <w:lvlText w:val="-"/>
      <w:lvlJc w:val="left"/>
      <w:pPr>
        <w:ind w:left="720" w:hanging="360"/>
      </w:pPr>
      <w:rPr>
        <w:rFonts w:ascii="Arial" w:eastAsia="Times New Roman" w:hAnsi="Aria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5DCB7AE3"/>
    <w:multiLevelType w:val="hybridMultilevel"/>
    <w:tmpl w:val="3A52C572"/>
    <w:lvl w:ilvl="0" w:tplc="040C0017">
      <w:start w:val="1"/>
      <w:numFmt w:val="lowerLetter"/>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75D249D2"/>
    <w:multiLevelType w:val="hybridMultilevel"/>
    <w:tmpl w:val="7A22E91E"/>
    <w:lvl w:ilvl="0" w:tplc="2AD6C984">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7B442D6D"/>
    <w:multiLevelType w:val="hybridMultilevel"/>
    <w:tmpl w:val="6CB016CE"/>
    <w:lvl w:ilvl="0" w:tplc="F5D44E08">
      <w:numFmt w:val="bullet"/>
      <w:lvlText w:val="-"/>
      <w:lvlJc w:val="left"/>
      <w:pPr>
        <w:tabs>
          <w:tab w:val="num" w:pos="720"/>
        </w:tabs>
        <w:ind w:left="720" w:hanging="360"/>
      </w:pPr>
      <w:rPr>
        <w:rFonts w:ascii="Georgia" w:eastAsia="Times New Roman" w:hAnsi="Georgia" w:hint="default"/>
      </w:rPr>
    </w:lvl>
    <w:lvl w:ilvl="1" w:tplc="0003040C" w:tentative="1">
      <w:start w:val="1"/>
      <w:numFmt w:val="bullet"/>
      <w:lvlText w:val="o"/>
      <w:lvlJc w:val="left"/>
      <w:pPr>
        <w:tabs>
          <w:tab w:val="num" w:pos="1440"/>
        </w:tabs>
        <w:ind w:left="1440" w:hanging="360"/>
      </w:pPr>
      <w:rPr>
        <w:rFonts w:ascii="Courier New" w:hAnsi="Courier New" w:hint="default"/>
      </w:rPr>
    </w:lvl>
    <w:lvl w:ilvl="2" w:tplc="0005040C" w:tentative="1">
      <w:start w:val="1"/>
      <w:numFmt w:val="bullet"/>
      <w:lvlText w:val=""/>
      <w:lvlJc w:val="left"/>
      <w:pPr>
        <w:tabs>
          <w:tab w:val="num" w:pos="2160"/>
        </w:tabs>
        <w:ind w:left="2160" w:hanging="360"/>
      </w:pPr>
      <w:rPr>
        <w:rFonts w:ascii="Wingdings" w:hAnsi="Wingdings" w:hint="default"/>
      </w:rPr>
    </w:lvl>
    <w:lvl w:ilvl="3" w:tplc="0001040C" w:tentative="1">
      <w:start w:val="1"/>
      <w:numFmt w:val="bullet"/>
      <w:lvlText w:val=""/>
      <w:lvlJc w:val="left"/>
      <w:pPr>
        <w:tabs>
          <w:tab w:val="num" w:pos="2880"/>
        </w:tabs>
        <w:ind w:left="2880" w:hanging="360"/>
      </w:pPr>
      <w:rPr>
        <w:rFonts w:ascii="Symbol" w:hAnsi="Symbol" w:hint="default"/>
      </w:rPr>
    </w:lvl>
    <w:lvl w:ilvl="4" w:tplc="0003040C" w:tentative="1">
      <w:start w:val="1"/>
      <w:numFmt w:val="bullet"/>
      <w:lvlText w:val="o"/>
      <w:lvlJc w:val="left"/>
      <w:pPr>
        <w:tabs>
          <w:tab w:val="num" w:pos="3600"/>
        </w:tabs>
        <w:ind w:left="3600" w:hanging="360"/>
      </w:pPr>
      <w:rPr>
        <w:rFonts w:ascii="Courier New" w:hAnsi="Courier New" w:hint="default"/>
      </w:rPr>
    </w:lvl>
    <w:lvl w:ilvl="5" w:tplc="0005040C" w:tentative="1">
      <w:start w:val="1"/>
      <w:numFmt w:val="bullet"/>
      <w:lvlText w:val=""/>
      <w:lvlJc w:val="left"/>
      <w:pPr>
        <w:tabs>
          <w:tab w:val="num" w:pos="4320"/>
        </w:tabs>
        <w:ind w:left="4320" w:hanging="360"/>
      </w:pPr>
      <w:rPr>
        <w:rFonts w:ascii="Wingdings" w:hAnsi="Wingdings" w:hint="default"/>
      </w:rPr>
    </w:lvl>
    <w:lvl w:ilvl="6" w:tplc="0001040C" w:tentative="1">
      <w:start w:val="1"/>
      <w:numFmt w:val="bullet"/>
      <w:lvlText w:val=""/>
      <w:lvlJc w:val="left"/>
      <w:pPr>
        <w:tabs>
          <w:tab w:val="num" w:pos="5040"/>
        </w:tabs>
        <w:ind w:left="5040" w:hanging="360"/>
      </w:pPr>
      <w:rPr>
        <w:rFonts w:ascii="Symbol" w:hAnsi="Symbol" w:hint="default"/>
      </w:rPr>
    </w:lvl>
    <w:lvl w:ilvl="7" w:tplc="0003040C" w:tentative="1">
      <w:start w:val="1"/>
      <w:numFmt w:val="bullet"/>
      <w:lvlText w:val="o"/>
      <w:lvlJc w:val="left"/>
      <w:pPr>
        <w:tabs>
          <w:tab w:val="num" w:pos="5760"/>
        </w:tabs>
        <w:ind w:left="5760" w:hanging="360"/>
      </w:pPr>
      <w:rPr>
        <w:rFonts w:ascii="Courier New" w:hAnsi="Courier New" w:hint="default"/>
      </w:rPr>
    </w:lvl>
    <w:lvl w:ilvl="8" w:tplc="0005040C"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D0870FC"/>
    <w:multiLevelType w:val="hybridMultilevel"/>
    <w:tmpl w:val="190E92AC"/>
    <w:lvl w:ilvl="0" w:tplc="ED16E77C">
      <w:numFmt w:val="bullet"/>
      <w:lvlText w:val="-"/>
      <w:lvlJc w:val="left"/>
      <w:pPr>
        <w:ind w:left="720" w:hanging="360"/>
      </w:pPr>
      <w:rPr>
        <w:rFonts w:ascii="Arial" w:eastAsia="Times New Roman" w:hAnsi="Arial"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45913559">
    <w:abstractNumId w:val="11"/>
  </w:num>
  <w:num w:numId="2" w16cid:durableId="968630082">
    <w:abstractNumId w:val="7"/>
  </w:num>
  <w:num w:numId="3" w16cid:durableId="1357850119">
    <w:abstractNumId w:val="1"/>
  </w:num>
  <w:num w:numId="4" w16cid:durableId="2059891871">
    <w:abstractNumId w:val="8"/>
  </w:num>
  <w:num w:numId="5" w16cid:durableId="68888458">
    <w:abstractNumId w:val="12"/>
  </w:num>
  <w:num w:numId="6" w16cid:durableId="394012648">
    <w:abstractNumId w:val="6"/>
  </w:num>
  <w:num w:numId="7" w16cid:durableId="331686326">
    <w:abstractNumId w:val="9"/>
  </w:num>
  <w:num w:numId="8" w16cid:durableId="19286838">
    <w:abstractNumId w:val="0"/>
  </w:num>
  <w:num w:numId="9" w16cid:durableId="1781952845">
    <w:abstractNumId w:val="5"/>
  </w:num>
  <w:num w:numId="10" w16cid:durableId="100421175">
    <w:abstractNumId w:val="3"/>
  </w:num>
  <w:num w:numId="11" w16cid:durableId="1373382299">
    <w:abstractNumId w:val="4"/>
  </w:num>
  <w:num w:numId="12" w16cid:durableId="378362122">
    <w:abstractNumId w:val="2"/>
  </w:num>
  <w:num w:numId="13" w16cid:durableId="19446074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FAB"/>
    <w:rsid w:val="00000496"/>
    <w:rsid w:val="00023208"/>
    <w:rsid w:val="0005778F"/>
    <w:rsid w:val="0009692A"/>
    <w:rsid w:val="000A44CB"/>
    <w:rsid w:val="000D3D30"/>
    <w:rsid w:val="000E2052"/>
    <w:rsid w:val="000E78FB"/>
    <w:rsid w:val="00100859"/>
    <w:rsid w:val="00112FAB"/>
    <w:rsid w:val="00127496"/>
    <w:rsid w:val="00162440"/>
    <w:rsid w:val="00191E73"/>
    <w:rsid w:val="002B2FDF"/>
    <w:rsid w:val="002B3080"/>
    <w:rsid w:val="002C4DC2"/>
    <w:rsid w:val="002D1BFE"/>
    <w:rsid w:val="00302CB6"/>
    <w:rsid w:val="00345B55"/>
    <w:rsid w:val="003902BA"/>
    <w:rsid w:val="003B2B4E"/>
    <w:rsid w:val="003E3183"/>
    <w:rsid w:val="00456755"/>
    <w:rsid w:val="00494AF6"/>
    <w:rsid w:val="004A35CB"/>
    <w:rsid w:val="004A3800"/>
    <w:rsid w:val="004A6A27"/>
    <w:rsid w:val="004C0595"/>
    <w:rsid w:val="004E3607"/>
    <w:rsid w:val="00536241"/>
    <w:rsid w:val="005538C0"/>
    <w:rsid w:val="0059183C"/>
    <w:rsid w:val="005A26E0"/>
    <w:rsid w:val="005F00A2"/>
    <w:rsid w:val="0062257F"/>
    <w:rsid w:val="00640557"/>
    <w:rsid w:val="00654F24"/>
    <w:rsid w:val="00657477"/>
    <w:rsid w:val="00677CC8"/>
    <w:rsid w:val="006C7C80"/>
    <w:rsid w:val="00725D56"/>
    <w:rsid w:val="0073628A"/>
    <w:rsid w:val="007B3313"/>
    <w:rsid w:val="007D72EB"/>
    <w:rsid w:val="007E59E4"/>
    <w:rsid w:val="00804CBC"/>
    <w:rsid w:val="008A29D6"/>
    <w:rsid w:val="008D14F5"/>
    <w:rsid w:val="008D6C8A"/>
    <w:rsid w:val="008F7A72"/>
    <w:rsid w:val="009268A2"/>
    <w:rsid w:val="009446B2"/>
    <w:rsid w:val="00975AAF"/>
    <w:rsid w:val="009F5F00"/>
    <w:rsid w:val="00A20781"/>
    <w:rsid w:val="00A45155"/>
    <w:rsid w:val="00A505FB"/>
    <w:rsid w:val="00A65D28"/>
    <w:rsid w:val="00AA3033"/>
    <w:rsid w:val="00AA6D5C"/>
    <w:rsid w:val="00B25BEE"/>
    <w:rsid w:val="00B5772F"/>
    <w:rsid w:val="00B60841"/>
    <w:rsid w:val="00B80843"/>
    <w:rsid w:val="00B8728F"/>
    <w:rsid w:val="00B93F3B"/>
    <w:rsid w:val="00BA24B6"/>
    <w:rsid w:val="00BB0254"/>
    <w:rsid w:val="00BE656B"/>
    <w:rsid w:val="00C1305E"/>
    <w:rsid w:val="00C17273"/>
    <w:rsid w:val="00C33A50"/>
    <w:rsid w:val="00C6044A"/>
    <w:rsid w:val="00C91BDC"/>
    <w:rsid w:val="00CA625F"/>
    <w:rsid w:val="00CD13F6"/>
    <w:rsid w:val="00CD356C"/>
    <w:rsid w:val="00CE1F77"/>
    <w:rsid w:val="00CE4B9B"/>
    <w:rsid w:val="00CF3184"/>
    <w:rsid w:val="00D21FB5"/>
    <w:rsid w:val="00E21E0C"/>
    <w:rsid w:val="00E37A9F"/>
    <w:rsid w:val="00E54236"/>
    <w:rsid w:val="00E55C27"/>
    <w:rsid w:val="00E964E5"/>
    <w:rsid w:val="00EF60DA"/>
    <w:rsid w:val="00F10B4A"/>
    <w:rsid w:val="00F62278"/>
    <w:rsid w:val="00FD1B3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5F859"/>
  <w14:defaultImageDpi w14:val="32767"/>
  <w15:chartTrackingRefBased/>
  <w15:docId w15:val="{0B58161B-285B-114C-9DA6-420E63CB0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112FAB"/>
    <w:rPr>
      <w:rFonts w:ascii="Times New Roman" w:eastAsia="Times New Roman" w:hAnsi="Times New Roman" w:cs="Times New Roman"/>
      <w:lang w:eastAsia="fr-FR"/>
    </w:rPr>
  </w:style>
  <w:style w:type="paragraph" w:styleId="Titre1">
    <w:name w:val="heading 1"/>
    <w:basedOn w:val="Normal"/>
    <w:next w:val="Normal"/>
    <w:link w:val="Titre1Car"/>
    <w:qFormat/>
    <w:rsid w:val="00112FAB"/>
    <w:pPr>
      <w:keepNext/>
      <w:jc w:val="both"/>
      <w:outlineLvl w:val="0"/>
    </w:pPr>
    <w:rPr>
      <w:rFonts w:ascii="Times" w:eastAsia="Times" w:hAnsi="Times"/>
      <w:b/>
      <w:szCs w:val="20"/>
      <w:u w:val="single"/>
    </w:rPr>
  </w:style>
  <w:style w:type="paragraph" w:styleId="Titre2">
    <w:name w:val="heading 2"/>
    <w:basedOn w:val="Normal"/>
    <w:next w:val="Normal"/>
    <w:link w:val="Titre2Car"/>
    <w:uiPriority w:val="9"/>
    <w:qFormat/>
    <w:rsid w:val="00112FAB"/>
    <w:pPr>
      <w:keepNext/>
      <w:spacing w:before="240" w:after="60"/>
      <w:outlineLvl w:val="1"/>
    </w:pPr>
    <w:rPr>
      <w:rFonts w:ascii="Calibri" w:eastAsia="MS Gothic" w:hAnsi="Calibri"/>
      <w:b/>
      <w:bCs/>
      <w:i/>
      <w:i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112FAB"/>
    <w:rPr>
      <w:rFonts w:ascii="Times" w:eastAsia="Times" w:hAnsi="Times" w:cs="Times New Roman"/>
      <w:b/>
      <w:szCs w:val="20"/>
      <w:u w:val="single"/>
      <w:lang w:eastAsia="fr-FR"/>
    </w:rPr>
  </w:style>
  <w:style w:type="character" w:customStyle="1" w:styleId="Titre2Car">
    <w:name w:val="Titre 2 Car"/>
    <w:basedOn w:val="Policepardfaut"/>
    <w:link w:val="Titre2"/>
    <w:uiPriority w:val="9"/>
    <w:rsid w:val="00112FAB"/>
    <w:rPr>
      <w:rFonts w:ascii="Calibri" w:eastAsia="MS Gothic" w:hAnsi="Calibri" w:cs="Times New Roman"/>
      <w:b/>
      <w:bCs/>
      <w:i/>
      <w:iCs/>
      <w:sz w:val="28"/>
      <w:szCs w:val="28"/>
      <w:lang w:eastAsia="fr-FR"/>
    </w:rPr>
  </w:style>
  <w:style w:type="paragraph" w:styleId="Pieddepage">
    <w:name w:val="footer"/>
    <w:basedOn w:val="Normal"/>
    <w:link w:val="PieddepageCar"/>
    <w:semiHidden/>
    <w:rsid w:val="00112FAB"/>
    <w:pPr>
      <w:tabs>
        <w:tab w:val="center" w:pos="4536"/>
        <w:tab w:val="right" w:pos="9072"/>
      </w:tabs>
    </w:pPr>
  </w:style>
  <w:style w:type="character" w:customStyle="1" w:styleId="PieddepageCar">
    <w:name w:val="Pied de page Car"/>
    <w:basedOn w:val="Policepardfaut"/>
    <w:link w:val="Pieddepage"/>
    <w:semiHidden/>
    <w:rsid w:val="00112FAB"/>
    <w:rPr>
      <w:rFonts w:ascii="Times New Roman" w:eastAsia="Times New Roman" w:hAnsi="Times New Roman" w:cs="Times New Roman"/>
      <w:lang w:eastAsia="fr-FR"/>
    </w:rPr>
  </w:style>
  <w:style w:type="character" w:styleId="Numrodepage">
    <w:name w:val="page number"/>
    <w:basedOn w:val="Policepardfaut"/>
    <w:rsid w:val="00112FAB"/>
  </w:style>
  <w:style w:type="paragraph" w:styleId="En-tte">
    <w:name w:val="header"/>
    <w:basedOn w:val="Normal"/>
    <w:link w:val="En-tteCar"/>
    <w:uiPriority w:val="99"/>
    <w:unhideWhenUsed/>
    <w:rsid w:val="00112FAB"/>
    <w:pPr>
      <w:tabs>
        <w:tab w:val="center" w:pos="4536"/>
        <w:tab w:val="right" w:pos="9072"/>
      </w:tabs>
    </w:pPr>
  </w:style>
  <w:style w:type="character" w:customStyle="1" w:styleId="En-tteCar">
    <w:name w:val="En-tête Car"/>
    <w:basedOn w:val="Policepardfaut"/>
    <w:link w:val="En-tte"/>
    <w:uiPriority w:val="99"/>
    <w:rsid w:val="00112FAB"/>
    <w:rPr>
      <w:rFonts w:ascii="Times New Roman" w:eastAsia="Times New Roman" w:hAnsi="Times New Roman" w:cs="Times New Roman"/>
      <w:lang w:eastAsia="fr-FR"/>
    </w:rPr>
  </w:style>
  <w:style w:type="character" w:styleId="Lienhypertexte">
    <w:name w:val="Hyperlink"/>
    <w:uiPriority w:val="99"/>
    <w:unhideWhenUsed/>
    <w:rsid w:val="00112FAB"/>
    <w:rPr>
      <w:color w:val="0000FF"/>
      <w:u w:val="single"/>
    </w:rPr>
  </w:style>
  <w:style w:type="paragraph" w:styleId="Corpsdetexte2">
    <w:name w:val="Body Text 2"/>
    <w:basedOn w:val="Normal"/>
    <w:link w:val="Corpsdetexte2Car"/>
    <w:rsid w:val="00112FAB"/>
    <w:pPr>
      <w:jc w:val="both"/>
    </w:pPr>
    <w:rPr>
      <w:rFonts w:ascii="Times" w:eastAsia="Times" w:hAnsi="Times"/>
      <w:szCs w:val="20"/>
    </w:rPr>
  </w:style>
  <w:style w:type="character" w:customStyle="1" w:styleId="Corpsdetexte2Car">
    <w:name w:val="Corps de texte 2 Car"/>
    <w:basedOn w:val="Policepardfaut"/>
    <w:link w:val="Corpsdetexte2"/>
    <w:rsid w:val="00112FAB"/>
    <w:rPr>
      <w:rFonts w:ascii="Times" w:eastAsia="Times" w:hAnsi="Times" w:cs="Times New Roman"/>
      <w:szCs w:val="20"/>
      <w:lang w:eastAsia="fr-FR"/>
    </w:rPr>
  </w:style>
  <w:style w:type="paragraph" w:styleId="Corpsdetexte">
    <w:name w:val="Body Text"/>
    <w:basedOn w:val="Normal"/>
    <w:link w:val="CorpsdetexteCar"/>
    <w:uiPriority w:val="99"/>
    <w:unhideWhenUsed/>
    <w:rsid w:val="00112FAB"/>
    <w:pPr>
      <w:spacing w:after="120"/>
    </w:pPr>
  </w:style>
  <w:style w:type="character" w:customStyle="1" w:styleId="CorpsdetexteCar">
    <w:name w:val="Corps de texte Car"/>
    <w:basedOn w:val="Policepardfaut"/>
    <w:link w:val="Corpsdetexte"/>
    <w:uiPriority w:val="99"/>
    <w:rsid w:val="00112FAB"/>
    <w:rPr>
      <w:rFonts w:ascii="Times New Roman" w:eastAsia="Times New Roman" w:hAnsi="Times New Roman" w:cs="Times New Roman"/>
      <w:lang w:eastAsia="fr-FR"/>
    </w:rPr>
  </w:style>
  <w:style w:type="table" w:styleId="Grilledutableau">
    <w:name w:val="Table Grid"/>
    <w:basedOn w:val="TableauNormal"/>
    <w:uiPriority w:val="59"/>
    <w:rsid w:val="00112FAB"/>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uiPriority w:val="99"/>
    <w:semiHidden/>
    <w:unhideWhenUsed/>
    <w:rsid w:val="00112FAB"/>
    <w:rPr>
      <w:color w:val="954F72"/>
      <w:u w:val="single"/>
    </w:rPr>
  </w:style>
  <w:style w:type="paragraph" w:styleId="Notedebasdepage">
    <w:name w:val="footnote text"/>
    <w:basedOn w:val="Normal"/>
    <w:link w:val="NotedebasdepageCar"/>
    <w:uiPriority w:val="99"/>
    <w:semiHidden/>
    <w:unhideWhenUsed/>
    <w:rsid w:val="00112FAB"/>
    <w:rPr>
      <w:sz w:val="20"/>
      <w:szCs w:val="20"/>
    </w:rPr>
  </w:style>
  <w:style w:type="character" w:customStyle="1" w:styleId="NotedebasdepageCar">
    <w:name w:val="Note de bas de page Car"/>
    <w:basedOn w:val="Policepardfaut"/>
    <w:link w:val="Notedebasdepage"/>
    <w:uiPriority w:val="99"/>
    <w:semiHidden/>
    <w:rsid w:val="00112FAB"/>
    <w:rPr>
      <w:rFonts w:ascii="Times New Roman" w:eastAsia="Times New Roman" w:hAnsi="Times New Roman" w:cs="Times New Roman"/>
      <w:sz w:val="20"/>
      <w:szCs w:val="20"/>
      <w:lang w:eastAsia="fr-FR"/>
    </w:rPr>
  </w:style>
  <w:style w:type="character" w:styleId="Appelnotedebasdep">
    <w:name w:val="footnote reference"/>
    <w:uiPriority w:val="99"/>
    <w:semiHidden/>
    <w:unhideWhenUsed/>
    <w:rsid w:val="00112FAB"/>
    <w:rPr>
      <w:vertAlign w:val="superscript"/>
    </w:rPr>
  </w:style>
  <w:style w:type="paragraph" w:styleId="NormalWeb">
    <w:name w:val="Normal (Web)"/>
    <w:basedOn w:val="Normal"/>
    <w:uiPriority w:val="99"/>
    <w:unhideWhenUsed/>
    <w:rsid w:val="00112FAB"/>
    <w:pPr>
      <w:spacing w:before="100" w:beforeAutospacing="1" w:after="100" w:afterAutospacing="1"/>
    </w:pPr>
  </w:style>
  <w:style w:type="character" w:styleId="lev">
    <w:name w:val="Strong"/>
    <w:uiPriority w:val="22"/>
    <w:qFormat/>
    <w:rsid w:val="00112FAB"/>
    <w:rPr>
      <w:b/>
      <w:bCs/>
    </w:rPr>
  </w:style>
  <w:style w:type="character" w:styleId="Accentuation">
    <w:name w:val="Emphasis"/>
    <w:uiPriority w:val="20"/>
    <w:qFormat/>
    <w:rsid w:val="00112FAB"/>
    <w:rPr>
      <w:i/>
      <w:iCs/>
    </w:rPr>
  </w:style>
  <w:style w:type="paragraph" w:styleId="Rvision">
    <w:name w:val="Revision"/>
    <w:hidden/>
    <w:uiPriority w:val="71"/>
    <w:rsid w:val="00112FAB"/>
    <w:rPr>
      <w:rFonts w:ascii="Times New Roman" w:eastAsia="Times New Roman" w:hAnsi="Times New Roman" w:cs="Times New Roman"/>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iff"/><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21</Pages>
  <Words>9033</Words>
  <Characters>49683</Characters>
  <Application>Microsoft Office Word</Application>
  <DocSecurity>0</DocSecurity>
  <Lines>414</Lines>
  <Paragraphs>117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58599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françois turq</dc:creator>
  <cp:keywords/>
  <dc:description/>
  <cp:lastModifiedBy>françois turq</cp:lastModifiedBy>
  <cp:revision>19</cp:revision>
  <cp:lastPrinted>2022-02-24T17:13:00Z</cp:lastPrinted>
  <dcterms:created xsi:type="dcterms:W3CDTF">2025-02-03T07:48:00Z</dcterms:created>
  <dcterms:modified xsi:type="dcterms:W3CDTF">2025-02-09T07:34:00Z</dcterms:modified>
</cp:coreProperties>
</file>