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2DE2BC" w14:textId="39D2E1CD" w:rsidR="00766A2D" w:rsidRPr="00E44D6B" w:rsidRDefault="00766A2D" w:rsidP="00766A2D">
      <w:pPr>
        <w:rPr>
          <w:i/>
          <w:iCs/>
        </w:rPr>
      </w:pPr>
      <w:r w:rsidRPr="00E44D6B">
        <w:rPr>
          <w:i/>
          <w:iCs/>
        </w:rPr>
        <w:t xml:space="preserve">Correction </w:t>
      </w:r>
      <w:r>
        <w:rPr>
          <w:i/>
          <w:iCs/>
        </w:rPr>
        <w:t>du DST 1 du 10 mars 2025</w:t>
      </w:r>
    </w:p>
    <w:p w14:paraId="56600D7A" w14:textId="77777777" w:rsidR="00766A2D" w:rsidRDefault="00766A2D" w:rsidP="00766A2D">
      <w:pPr>
        <w:pStyle w:val="Titre1"/>
      </w:pPr>
      <w:r>
        <w:t>SUJET 1 </w:t>
      </w:r>
    </w:p>
    <w:p w14:paraId="3DF1F097" w14:textId="77777777" w:rsidR="00766A2D" w:rsidRDefault="00766A2D" w:rsidP="00766A2D"/>
    <w:p w14:paraId="05A7A095" w14:textId="77777777" w:rsidR="00766A2D" w:rsidRDefault="00766A2D" w:rsidP="00766A2D">
      <w:pPr>
        <w:numPr>
          <w:ilvl w:val="0"/>
          <w:numId w:val="1"/>
        </w:numPr>
        <w:spacing w:after="0" w:line="240" w:lineRule="auto"/>
        <w:jc w:val="left"/>
        <w:rPr>
          <w:rFonts w:cs="Arial"/>
          <w:b/>
          <w:bCs/>
        </w:rPr>
      </w:pPr>
      <w:r>
        <w:rPr>
          <w:rFonts w:cs="Arial"/>
          <w:b/>
          <w:bCs/>
        </w:rPr>
        <w:t>À partir de ce document, commentez l’évolution de la démographie française, en quoi est-elle différente de celle de l’Allemagne ? 5 points</w:t>
      </w:r>
    </w:p>
    <w:p w14:paraId="0AC831CC" w14:textId="77777777" w:rsidR="00766A2D" w:rsidRDefault="00766A2D" w:rsidP="00766A2D">
      <w:pPr>
        <w:spacing w:after="0" w:line="240" w:lineRule="auto"/>
        <w:jc w:val="left"/>
        <w:rPr>
          <w:rFonts w:cs="Arial"/>
          <w:b/>
          <w:bCs/>
        </w:rPr>
      </w:pPr>
    </w:p>
    <w:p w14:paraId="3D2B2565" w14:textId="77777777" w:rsidR="00766A2D" w:rsidRDefault="00766A2D" w:rsidP="00766A2D">
      <w:pPr>
        <w:spacing w:after="0" w:line="240" w:lineRule="auto"/>
        <w:jc w:val="left"/>
        <w:rPr>
          <w:rFonts w:cs="Arial"/>
        </w:rPr>
      </w:pPr>
      <w:r w:rsidRPr="00111427">
        <w:rPr>
          <w:rFonts w:cs="Arial"/>
          <w:b/>
          <w:bCs/>
        </w:rPr>
        <w:sym w:font="Wingdings" w:char="F0E8"/>
      </w:r>
      <w:r w:rsidRPr="00E86883">
        <w:rPr>
          <w:rFonts w:cs="Arial"/>
        </w:rPr>
        <w:t>Ils doivent d’abord décrire précisément les étape</w:t>
      </w:r>
      <w:r>
        <w:rPr>
          <w:rFonts w:cs="Arial"/>
        </w:rPr>
        <w:t>s visibles sur le graphique, surtout au 19</w:t>
      </w:r>
      <w:r w:rsidRPr="00FA0808">
        <w:rPr>
          <w:rFonts w:cs="Arial"/>
          <w:vertAlign w:val="superscript"/>
        </w:rPr>
        <w:t>e</w:t>
      </w:r>
      <w:r>
        <w:rPr>
          <w:rFonts w:cs="Arial"/>
        </w:rPr>
        <w:t xml:space="preserve"> siècle où l’on voit deux transitions démographiques très distinctes. Les deux pays partent d’abord d’une natalité et mortalité très haute, autour de 30 décès et naissances pour 1000 habitants pour la France et 35 naissances pour 1000 habitants et 25 décès pour 1000 habitants en Allemagne. De ce fait, la France possède un accroissement naturel beaucoup plus faible que celui de l’Allemagne au début du 19</w:t>
      </w:r>
      <w:r w:rsidRPr="001B332C">
        <w:rPr>
          <w:rFonts w:cs="Arial"/>
          <w:vertAlign w:val="superscript"/>
        </w:rPr>
        <w:t>e</w:t>
      </w:r>
      <w:r>
        <w:rPr>
          <w:rFonts w:cs="Arial"/>
        </w:rPr>
        <w:t xml:space="preserve"> siècle. Cependant, durant tout le 19</w:t>
      </w:r>
      <w:r w:rsidRPr="00D00F23">
        <w:rPr>
          <w:rFonts w:cs="Arial"/>
          <w:vertAlign w:val="superscript"/>
        </w:rPr>
        <w:t>e</w:t>
      </w:r>
      <w:r>
        <w:rPr>
          <w:rFonts w:cs="Arial"/>
        </w:rPr>
        <w:t xml:space="preserve"> siècle, la France va connaitre une </w:t>
      </w:r>
      <w:r w:rsidRPr="00D00F23">
        <w:rPr>
          <w:rFonts w:cs="Arial"/>
          <w:b/>
          <w:bCs/>
        </w:rPr>
        <w:t>baisse importante et simultanée</w:t>
      </w:r>
      <w:r>
        <w:rPr>
          <w:rFonts w:cs="Arial"/>
        </w:rPr>
        <w:t xml:space="preserve"> de son taux brut de natalité et de mortalité, passant de 30 décès et naissances pour mille habitants au début du siècle à 20 décès et naissances pour mille habitants en 1900. </w:t>
      </w:r>
      <w:r w:rsidRPr="002368C1">
        <w:rPr>
          <w:rFonts w:cs="Arial"/>
          <w:b/>
          <w:bCs/>
        </w:rPr>
        <w:t>L’accroissement naturel de la France reste donc très faible</w:t>
      </w:r>
      <w:r>
        <w:rPr>
          <w:rFonts w:cs="Arial"/>
        </w:rPr>
        <w:t>. Contrairement à l’Allemagne où sa natalité reste très élevée au 19</w:t>
      </w:r>
      <w:r w:rsidRPr="0001014D">
        <w:rPr>
          <w:rFonts w:cs="Arial"/>
          <w:vertAlign w:val="superscript"/>
        </w:rPr>
        <w:t>e</w:t>
      </w:r>
      <w:r>
        <w:rPr>
          <w:rFonts w:cs="Arial"/>
        </w:rPr>
        <w:t xml:space="preserve"> siècle, ne passant la barre des 30 naissances pour mille habitants qu’en 1900. Son taux de mortalité lui baisse dès la deuxième moitié du 19</w:t>
      </w:r>
      <w:r w:rsidRPr="002C5026">
        <w:rPr>
          <w:rFonts w:cs="Arial"/>
          <w:vertAlign w:val="superscript"/>
        </w:rPr>
        <w:t>e</w:t>
      </w:r>
      <w:r>
        <w:rPr>
          <w:rFonts w:cs="Arial"/>
        </w:rPr>
        <w:t xml:space="preserve"> siècle. L’écart entre le taux brut de natalité toujours important et le taux brut de mortalité permet </w:t>
      </w:r>
      <w:r w:rsidRPr="004868D4">
        <w:rPr>
          <w:rFonts w:cs="Arial"/>
          <w:b/>
          <w:bCs/>
        </w:rPr>
        <w:t>un accroissement naturel très important</w:t>
      </w:r>
      <w:r>
        <w:rPr>
          <w:rFonts w:cs="Arial"/>
        </w:rPr>
        <w:t xml:space="preserve">. L’Allemagne a sans doute connu un accroissement de sa population de façon très rapide. </w:t>
      </w:r>
    </w:p>
    <w:p w14:paraId="3B4655B4" w14:textId="77777777" w:rsidR="00766A2D" w:rsidRDefault="00766A2D" w:rsidP="00766A2D">
      <w:pPr>
        <w:spacing w:after="0" w:line="240" w:lineRule="auto"/>
        <w:jc w:val="left"/>
        <w:rPr>
          <w:rFonts w:cs="Arial"/>
        </w:rPr>
      </w:pPr>
    </w:p>
    <w:p w14:paraId="1452B535" w14:textId="77777777" w:rsidR="00766A2D" w:rsidRDefault="00766A2D" w:rsidP="00766A2D">
      <w:pPr>
        <w:spacing w:after="0" w:line="240" w:lineRule="auto"/>
        <w:jc w:val="left"/>
        <w:rPr>
          <w:rFonts w:cs="Arial"/>
        </w:rPr>
      </w:pPr>
      <w:r w:rsidRPr="002368C1">
        <w:rPr>
          <w:rFonts w:cs="Arial"/>
        </w:rPr>
        <w:sym w:font="Wingdings" w:char="F0E8"/>
      </w:r>
      <w:r>
        <w:rPr>
          <w:rFonts w:cs="Arial"/>
        </w:rPr>
        <w:t xml:space="preserve">Ils peuvent également décrire les différents accidents démographiques : les deux guerres mondiales qui entrainent une chute importante des naissances et une hausse très importante des décès, les données manquantes durant l’Allemagne nazie. </w:t>
      </w:r>
      <w:r w:rsidRPr="00A15179">
        <w:rPr>
          <w:rFonts w:cs="Arial"/>
          <w:b/>
          <w:bCs/>
        </w:rPr>
        <w:t>Attention s’ils associent ces accidents à de la perte de population, ce n’est pas totalement vrai puisqu’ici seuls les mouvements naturels sont pris en compte</w:t>
      </w:r>
      <w:r>
        <w:rPr>
          <w:rFonts w:cs="Arial"/>
        </w:rPr>
        <w:t xml:space="preserve">. </w:t>
      </w:r>
    </w:p>
    <w:p w14:paraId="43FE6B6D" w14:textId="77777777" w:rsidR="00766A2D" w:rsidRDefault="00766A2D" w:rsidP="00766A2D">
      <w:pPr>
        <w:spacing w:after="0" w:line="240" w:lineRule="auto"/>
        <w:jc w:val="left"/>
        <w:rPr>
          <w:rFonts w:cs="Arial"/>
        </w:rPr>
      </w:pPr>
    </w:p>
    <w:p w14:paraId="126BFEC8" w14:textId="77777777" w:rsidR="00766A2D" w:rsidRDefault="00766A2D" w:rsidP="00766A2D">
      <w:pPr>
        <w:spacing w:after="0" w:line="240" w:lineRule="auto"/>
        <w:jc w:val="left"/>
        <w:rPr>
          <w:rFonts w:cs="Arial"/>
        </w:rPr>
      </w:pPr>
      <w:r w:rsidRPr="00FE20DB">
        <w:rPr>
          <w:rFonts w:cs="Arial"/>
        </w:rPr>
        <w:sym w:font="Wingdings" w:char="F0E8"/>
      </w:r>
      <w:r>
        <w:rPr>
          <w:rFonts w:cs="Arial"/>
        </w:rPr>
        <w:t xml:space="preserve">Ensuite après la Seconde Guerre mondiale, les deux pays se trouvent dans une situation très distincte. La France comme l’Allemagne connaissent un « baby-boom » important, qui est lié au rattrapage des naissances. Cependant, contrairement à l’entre deux guerre, le taux de natalité de l’Allemagne baisse très rapidement et de façon continue durant la période, passant de 15 naissances pour mille habitants après la Seconde Guerre mondiale à moins de 10 naissances pour mille habitants dans les années 2000. La France elle connait un baby-boom avec une natalité plutôt élevée pendant 20 ans, bien que le taux brut de natalité baisse durant la période, il baisse de façon plus lente, se maintenant autour de 15-20 naissances pour mille habitants et reste très au-dessus du taux brut de mortalité. La baisse s’amorce à partir des années 1970, mais se stabilise au-dessus de 10 naissances pour mille habitants. La différence entre les deux pays est surtout marquée par un « inversement » des rôles, l’Allemagne entre dans un régime démographique où son accroissement naturel est nul, il meurt plus d’individu qu’il n’en nait. Au contraire, la France arrive à maintenir un accroissement naturel important. </w:t>
      </w:r>
      <w:r w:rsidRPr="00D27E6C">
        <w:rPr>
          <w:rFonts w:cs="Arial"/>
          <w:b/>
          <w:bCs/>
        </w:rPr>
        <w:t>Idem que pour les accidents démographiques comme les différents conflits, ils ne doivent pas dire que l’Allemagne perd des habitants durant la période, c’est faux, seuls les mouvements naturels sont pris en compte ici</w:t>
      </w:r>
      <w:r>
        <w:rPr>
          <w:rFonts w:cs="Arial"/>
        </w:rPr>
        <w:t xml:space="preserve">. </w:t>
      </w:r>
    </w:p>
    <w:p w14:paraId="5419EB63" w14:textId="77777777" w:rsidR="00766A2D" w:rsidRDefault="00766A2D" w:rsidP="00766A2D">
      <w:pPr>
        <w:spacing w:after="0" w:line="240" w:lineRule="auto"/>
        <w:jc w:val="left"/>
        <w:rPr>
          <w:rFonts w:cs="Arial"/>
        </w:rPr>
      </w:pPr>
    </w:p>
    <w:p w14:paraId="01681FAB" w14:textId="77777777" w:rsidR="00766A2D" w:rsidRDefault="00766A2D" w:rsidP="00766A2D">
      <w:pPr>
        <w:spacing w:after="0" w:line="240" w:lineRule="auto"/>
        <w:jc w:val="left"/>
        <w:rPr>
          <w:rFonts w:cs="Arial"/>
        </w:rPr>
      </w:pPr>
      <w:r w:rsidRPr="00A053BC">
        <w:rPr>
          <w:rFonts w:cs="Arial"/>
        </w:rPr>
        <w:sym w:font="Wingdings" w:char="F0E8"/>
      </w:r>
      <w:r>
        <w:rPr>
          <w:rFonts w:cs="Arial"/>
        </w:rPr>
        <w:t xml:space="preserve">Ils peuvent également s’appuyer sur le cours sur la transition démographique pour faire leur commentaire. Ce qui est une bonne chose, car ils peuvent dire notamment que l’Allemagne suit une trajectoire classique de la transition démographique, avec d’abord une </w:t>
      </w:r>
      <w:r>
        <w:rPr>
          <w:rFonts w:cs="Arial"/>
        </w:rPr>
        <w:lastRenderedPageBreak/>
        <w:t xml:space="preserve">baisse du taux brut de mortalité avant celle de la natalité, ce qui engendre un accroissement naturel important. Au contraire, la France connait une baisse simultanée du taux brut de mortalité et de natalité, ce qui entraine un accroissement naturel très faible. </w:t>
      </w:r>
    </w:p>
    <w:p w14:paraId="1293896A" w14:textId="77777777" w:rsidR="00766A2D" w:rsidRDefault="00766A2D" w:rsidP="00766A2D">
      <w:pPr>
        <w:spacing w:after="0" w:line="240" w:lineRule="auto"/>
        <w:jc w:val="left"/>
        <w:rPr>
          <w:rFonts w:cs="Arial"/>
        </w:rPr>
      </w:pPr>
    </w:p>
    <w:p w14:paraId="410B5404" w14:textId="77777777" w:rsidR="00766A2D" w:rsidRDefault="00766A2D" w:rsidP="00766A2D">
      <w:pPr>
        <w:pStyle w:val="Paragraphedeliste"/>
        <w:numPr>
          <w:ilvl w:val="0"/>
          <w:numId w:val="1"/>
        </w:numPr>
        <w:spacing w:after="0" w:line="240" w:lineRule="auto"/>
        <w:jc w:val="left"/>
        <w:rPr>
          <w:rFonts w:cs="Arial"/>
          <w:b/>
          <w:bCs/>
        </w:rPr>
      </w:pPr>
      <w:r w:rsidRPr="00A64712">
        <w:rPr>
          <w:rFonts w:cs="Arial"/>
          <w:b/>
          <w:bCs/>
        </w:rPr>
        <w:t xml:space="preserve">Commentez la pyramide des âges de 1954 en retraçant les générations et les différentes évolutions de la démographie française. </w:t>
      </w:r>
      <w:r>
        <w:rPr>
          <w:rFonts w:cs="Arial"/>
          <w:b/>
          <w:bCs/>
        </w:rPr>
        <w:t>5 points</w:t>
      </w:r>
    </w:p>
    <w:p w14:paraId="6AA2FEBF" w14:textId="77777777" w:rsidR="00766A2D" w:rsidRDefault="00766A2D" w:rsidP="00766A2D">
      <w:pPr>
        <w:spacing w:after="0" w:line="240" w:lineRule="auto"/>
        <w:jc w:val="left"/>
        <w:rPr>
          <w:rFonts w:cs="Arial"/>
          <w:b/>
          <w:bCs/>
        </w:rPr>
      </w:pPr>
    </w:p>
    <w:p w14:paraId="0A13CD17" w14:textId="77777777" w:rsidR="00766A2D" w:rsidRDefault="00766A2D" w:rsidP="00766A2D">
      <w:pPr>
        <w:spacing w:after="0" w:line="240" w:lineRule="auto"/>
        <w:jc w:val="left"/>
        <w:rPr>
          <w:rFonts w:cs="Arial"/>
        </w:rPr>
      </w:pPr>
      <w:r w:rsidRPr="0024278F">
        <w:rPr>
          <w:rFonts w:cs="Arial"/>
          <w:b/>
          <w:bCs/>
        </w:rPr>
        <w:sym w:font="Wingdings" w:char="F0E8"/>
      </w:r>
      <w:r>
        <w:rPr>
          <w:rFonts w:cs="Arial"/>
        </w:rPr>
        <w:t xml:space="preserve">Ils doivent d’abord commenter l’allure générale de la pyramide : est-ce une pyramide jeune ou plutôt âgée ? Ici on constate que la pyramide de la France en 1954 est une pyramide plutôt « accidentée », mais avec une base importante, notamment chez les moins de 10 ans (environ 400 000 individus), ce qui indique que la population est plutôt jeune. </w:t>
      </w:r>
    </w:p>
    <w:p w14:paraId="34AFADD1" w14:textId="77777777" w:rsidR="00766A2D" w:rsidRDefault="00766A2D" w:rsidP="00766A2D">
      <w:pPr>
        <w:spacing w:after="0" w:line="240" w:lineRule="auto"/>
        <w:jc w:val="left"/>
        <w:rPr>
          <w:rFonts w:cs="Arial"/>
        </w:rPr>
      </w:pPr>
    </w:p>
    <w:p w14:paraId="52AC092F" w14:textId="77777777" w:rsidR="00766A2D" w:rsidRDefault="00766A2D" w:rsidP="00766A2D">
      <w:pPr>
        <w:spacing w:after="0" w:line="240" w:lineRule="auto"/>
        <w:jc w:val="left"/>
        <w:rPr>
          <w:rFonts w:cs="Arial"/>
        </w:rPr>
      </w:pPr>
      <w:r w:rsidRPr="005B0971">
        <w:rPr>
          <w:rFonts w:cs="Arial"/>
        </w:rPr>
        <w:sym w:font="Wingdings" w:char="F0E8"/>
      </w:r>
      <w:r>
        <w:rPr>
          <w:rFonts w:cs="Arial"/>
        </w:rPr>
        <w:t>Après avoir décrit l’allure générale, ils doivent décrire les différentes générations. La pyramide de 1954 a été largement décrite en cours. Ils peuvent partir du haut vers le bas ou l’inverse. Il s’agit d’abord pour eux de voir que l’on peut voir les effets du baby-boom chez les enfants de moins de 10 ans, ce qui donne cette allure très jeune à la pyramide des âges. Les effectifs sont surtout importants pour ceux nés juste après la Seconde guerre mondiale entre 1945 et 1950. Par la suite, il y a une première « </w:t>
      </w:r>
      <w:r w:rsidRPr="00D74B19">
        <w:rPr>
          <w:rFonts w:cs="Arial"/>
          <w:b/>
          <w:bCs/>
        </w:rPr>
        <w:t>classe creuse</w:t>
      </w:r>
      <w:r>
        <w:rPr>
          <w:rFonts w:cs="Arial"/>
        </w:rPr>
        <w:t xml:space="preserve"> », chez les individus nés pendant la Seconde Guerre mondiale (autour de 300 000 individus), cela correspond aux déficits des naissances liés à la séparation des couples notamment (Service de travail obligatoire, prison en Allemagne) et plus largement le contexte défavorable à l’arrivée d’enfant. Les générations précédentes, celles nées dans les années 1930 sont légèrement plus nombreuses, environ 320 000 individus âgés de 20 à 30 ans environ. Cependant, elles ne sont pas aussi nombreuses que les enfants nés pendant le baby-boom, car durant cette période, la France avait une fécondité extrêmement basse par rapport aux autres pays européens. Elle était le plus vieux pays du monde. On peut constater un léger rattrapage des naissances après la Première Guerre mondiale (les générations de 1918-1920), mais ce rattrapage ne dure pas dans le temps contrairement au baby-boom des années 1950. L’autre « classe creuse » correspond aux générations nées pendant la Première Guerre mondiale, là encore le déficit est lié à la séparation des couples. Cependant, cette génération est déjà plus réduite en 1954, comme ce sont des individus âgés de 40 ans, la mortalité n’étant pas encore au niveau actuel, cette classe creuse est d’autant plus marquée. Le haut de la pyramide se caractérise par un déséquilibre important entre les sexes. Les hommes sont moins nombreux que les femmes, ce déséquilibre est particulièrement présent chez les individus âgés de 60 à 70 ans. Cela est en partie dû à l’espérance de vie masculine qui est plus faible que celle des femmes. Il s’agit également des générations qui avaient environ 20 ans au moment de la Première Guerre mondiale et qui par conséquent ont été fortement impactées par le conflit. Il manque donc environ 100 000 hommes dans ces classes d’âges par rapport aux femmes pour ces deux raisons. </w:t>
      </w:r>
    </w:p>
    <w:p w14:paraId="2CE93D3F" w14:textId="77777777" w:rsidR="00766A2D" w:rsidRDefault="00766A2D" w:rsidP="00766A2D">
      <w:pPr>
        <w:spacing w:after="0" w:line="240" w:lineRule="auto"/>
        <w:jc w:val="left"/>
        <w:rPr>
          <w:rFonts w:cs="Arial"/>
        </w:rPr>
      </w:pPr>
    </w:p>
    <w:p w14:paraId="0ADF6651" w14:textId="77777777" w:rsidR="00766A2D" w:rsidRDefault="00766A2D" w:rsidP="00766A2D">
      <w:pPr>
        <w:spacing w:after="0" w:line="240" w:lineRule="auto"/>
        <w:jc w:val="left"/>
        <w:rPr>
          <w:rFonts w:cs="Arial"/>
        </w:rPr>
      </w:pPr>
      <w:r w:rsidRPr="00644726">
        <w:rPr>
          <w:rFonts w:cs="Arial"/>
        </w:rPr>
        <w:sym w:font="Wingdings" w:char="F0E8"/>
      </w:r>
      <w:r>
        <w:rPr>
          <w:rFonts w:cs="Arial"/>
        </w:rPr>
        <w:t xml:space="preserve">Le plus important est qu’ils arrivent à structurer le commentaire de la pyramide et qu’ils arrivent à relier les différentes évolutions de la démographie française avec les générations. </w:t>
      </w:r>
    </w:p>
    <w:p w14:paraId="3764EF64" w14:textId="77777777" w:rsidR="00766A2D" w:rsidRDefault="00766A2D" w:rsidP="00766A2D">
      <w:pPr>
        <w:spacing w:after="0" w:line="240" w:lineRule="auto"/>
        <w:jc w:val="left"/>
        <w:rPr>
          <w:rFonts w:cs="Arial"/>
        </w:rPr>
      </w:pPr>
    </w:p>
    <w:p w14:paraId="3640B17C" w14:textId="77777777" w:rsidR="00766A2D" w:rsidRDefault="00766A2D" w:rsidP="00766A2D">
      <w:pPr>
        <w:spacing w:after="0" w:line="240" w:lineRule="auto"/>
        <w:jc w:val="left"/>
        <w:rPr>
          <w:rFonts w:cs="Arial"/>
        </w:rPr>
      </w:pPr>
      <w:r w:rsidRPr="00C7403F">
        <w:rPr>
          <w:rFonts w:cs="Arial"/>
        </w:rPr>
        <w:sym w:font="Wingdings" w:char="F0E8"/>
      </w:r>
      <w:r>
        <w:rPr>
          <w:rFonts w:cs="Arial"/>
        </w:rPr>
        <w:t xml:space="preserve">Ci-dessous la pyramide légendée (ils l’ont vu en cours) </w:t>
      </w:r>
    </w:p>
    <w:p w14:paraId="6AE5B9EF" w14:textId="77777777" w:rsidR="00766A2D" w:rsidRDefault="00766A2D" w:rsidP="00766A2D">
      <w:pPr>
        <w:spacing w:after="0" w:line="240" w:lineRule="auto"/>
        <w:jc w:val="left"/>
        <w:rPr>
          <w:rFonts w:cs="Arial"/>
        </w:rPr>
      </w:pPr>
    </w:p>
    <w:p w14:paraId="0A1B0881" w14:textId="77777777" w:rsidR="00766A2D" w:rsidRDefault="00766A2D" w:rsidP="00766A2D">
      <w:pPr>
        <w:spacing w:after="0" w:line="240" w:lineRule="auto"/>
        <w:jc w:val="left"/>
        <w:rPr>
          <w:rFonts w:cs="Arial"/>
        </w:rPr>
      </w:pPr>
      <w:r>
        <w:rPr>
          <w:rFonts w:cs="Arial"/>
          <w:noProof/>
        </w:rPr>
        <w:lastRenderedPageBreak/>
        <w:drawing>
          <wp:inline distT="0" distB="0" distL="0" distR="0" wp14:anchorId="67E15B6B" wp14:editId="4B7D0C29">
            <wp:extent cx="5760720" cy="3744595"/>
            <wp:effectExtent l="0" t="0" r="0" b="8255"/>
            <wp:docPr id="1" name="Image 1" descr="Une image contenant graph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graphique&#10;&#10;Description générée automatiquement"/>
                    <pic:cNvPicPr/>
                  </pic:nvPicPr>
                  <pic:blipFill>
                    <a:blip r:embed="rId5">
                      <a:extLst>
                        <a:ext uri="{28A0092B-C50C-407E-A947-70E740481C1C}">
                          <a14:useLocalDpi xmlns:a14="http://schemas.microsoft.com/office/drawing/2010/main" val="0"/>
                        </a:ext>
                      </a:extLst>
                    </a:blip>
                    <a:stretch>
                      <a:fillRect/>
                    </a:stretch>
                  </pic:blipFill>
                  <pic:spPr>
                    <a:xfrm>
                      <a:off x="0" y="0"/>
                      <a:ext cx="5760720" cy="3744595"/>
                    </a:xfrm>
                    <a:prstGeom prst="rect">
                      <a:avLst/>
                    </a:prstGeom>
                  </pic:spPr>
                </pic:pic>
              </a:graphicData>
            </a:graphic>
          </wp:inline>
        </w:drawing>
      </w:r>
    </w:p>
    <w:p w14:paraId="4A21E7F2" w14:textId="77777777" w:rsidR="00766A2D" w:rsidRDefault="00766A2D" w:rsidP="00766A2D">
      <w:pPr>
        <w:spacing w:after="0" w:line="240" w:lineRule="auto"/>
        <w:jc w:val="left"/>
        <w:rPr>
          <w:rFonts w:cs="Arial"/>
        </w:rPr>
      </w:pPr>
    </w:p>
    <w:p w14:paraId="11CC19C4" w14:textId="77777777" w:rsidR="00766A2D" w:rsidRDefault="00766A2D" w:rsidP="00766A2D">
      <w:pPr>
        <w:spacing w:after="0" w:line="240" w:lineRule="auto"/>
        <w:jc w:val="left"/>
        <w:rPr>
          <w:rFonts w:cs="Arial"/>
        </w:rPr>
      </w:pPr>
    </w:p>
    <w:p w14:paraId="5E05286D" w14:textId="77777777" w:rsidR="00766A2D" w:rsidRDefault="00766A2D" w:rsidP="00766A2D">
      <w:pPr>
        <w:spacing w:after="0" w:line="240" w:lineRule="auto"/>
        <w:jc w:val="left"/>
        <w:rPr>
          <w:rFonts w:cs="Arial"/>
        </w:rPr>
      </w:pPr>
    </w:p>
    <w:p w14:paraId="06ECCE98" w14:textId="77777777" w:rsidR="00766A2D" w:rsidRPr="006970B7" w:rsidRDefault="00766A2D" w:rsidP="00766A2D">
      <w:pPr>
        <w:numPr>
          <w:ilvl w:val="0"/>
          <w:numId w:val="2"/>
        </w:numPr>
        <w:spacing w:after="0" w:line="240" w:lineRule="auto"/>
        <w:jc w:val="left"/>
        <w:rPr>
          <w:rFonts w:ascii="Calibri" w:hAnsi="Calibri"/>
          <w:b/>
          <w:bCs/>
          <w:color w:val="538135"/>
          <w:sz w:val="22"/>
        </w:rPr>
      </w:pPr>
      <w:r>
        <w:rPr>
          <w:b/>
          <w:bCs/>
        </w:rPr>
        <w:t>À</w:t>
      </w:r>
      <w:r w:rsidRPr="006970B7">
        <w:rPr>
          <w:b/>
          <w:bCs/>
        </w:rPr>
        <w:t xml:space="preserve"> partir des données sur l’Allemagne et le Burundi, complétez les cases vides du tableau 1.</w:t>
      </w:r>
    </w:p>
    <w:p w14:paraId="45BE4D66" w14:textId="77777777" w:rsidR="00766A2D" w:rsidRPr="006970B7" w:rsidRDefault="00766A2D" w:rsidP="00766A2D">
      <w:pPr>
        <w:ind w:left="720"/>
        <w:rPr>
          <w:b/>
          <w:bCs/>
          <w:szCs w:val="24"/>
        </w:rPr>
      </w:pPr>
      <w:r w:rsidRPr="006970B7">
        <w:rPr>
          <w:b/>
          <w:bCs/>
          <w:szCs w:val="24"/>
        </w:rPr>
        <w:t xml:space="preserve">Vous détaillerez </w:t>
      </w:r>
      <w:r w:rsidRPr="006970B7">
        <w:rPr>
          <w:b/>
          <w:bCs/>
          <w:szCs w:val="24"/>
          <w:u w:val="single"/>
        </w:rPr>
        <w:t>tous</w:t>
      </w:r>
      <w:r w:rsidRPr="006970B7">
        <w:rPr>
          <w:b/>
          <w:bCs/>
          <w:szCs w:val="24"/>
        </w:rPr>
        <w:t xml:space="preserve"> vos calculs sur votre feuille et les résultats seront recopiés ci-dessous dans les tableaux 1 et 2.</w:t>
      </w:r>
    </w:p>
    <w:p w14:paraId="30AC1407" w14:textId="77777777" w:rsidR="00766A2D" w:rsidRPr="006970B7" w:rsidRDefault="00766A2D" w:rsidP="00766A2D">
      <w:pPr>
        <w:ind w:left="720"/>
        <w:rPr>
          <w:b/>
          <w:bCs/>
          <w:szCs w:val="24"/>
        </w:rPr>
      </w:pPr>
      <w:r w:rsidRPr="006970B7">
        <w:rPr>
          <w:b/>
          <w:bCs/>
          <w:szCs w:val="24"/>
        </w:rPr>
        <w:t>Les résultats seront donnés avec 1 décimale</w:t>
      </w:r>
    </w:p>
    <w:p w14:paraId="54891F71" w14:textId="77777777" w:rsidR="00766A2D" w:rsidRPr="006970B7" w:rsidRDefault="00766A2D" w:rsidP="00766A2D">
      <w:pPr>
        <w:ind w:left="720"/>
        <w:rPr>
          <w:b/>
          <w:bCs/>
          <w:szCs w:val="24"/>
        </w:rPr>
      </w:pPr>
      <w:r w:rsidRPr="006970B7">
        <w:rPr>
          <w:b/>
          <w:bCs/>
          <w:szCs w:val="24"/>
        </w:rPr>
        <w:t>Chaque résultat doit être correctement présenté et interprét</w:t>
      </w:r>
      <w:r>
        <w:rPr>
          <w:b/>
          <w:bCs/>
          <w:szCs w:val="24"/>
        </w:rPr>
        <w:t>é 10 points (un par calcul)</w:t>
      </w:r>
    </w:p>
    <w:p w14:paraId="2B881628" w14:textId="77777777" w:rsidR="00766A2D" w:rsidRDefault="00766A2D" w:rsidP="00766A2D">
      <w:pPr>
        <w:rPr>
          <w:rFonts w:cs="Arial"/>
        </w:rPr>
      </w:pPr>
    </w:p>
    <w:p w14:paraId="1EC6C9C9" w14:textId="77777777" w:rsidR="00766A2D" w:rsidRPr="00202559" w:rsidRDefault="00766A2D" w:rsidP="00766A2D">
      <w:pPr>
        <w:rPr>
          <w:rFonts w:cs="Arial"/>
        </w:rPr>
      </w:pPr>
    </w:p>
    <w:p w14:paraId="4B37E1E9" w14:textId="77777777" w:rsidR="00766A2D" w:rsidRPr="006970B7" w:rsidRDefault="00766A2D" w:rsidP="00766A2D">
      <w:pPr>
        <w:pStyle w:val="Paragraphedeliste"/>
      </w:pPr>
      <w:r>
        <w:t>Tableau 1. Caractéristiques de la population de l’Allemagne et du Burundi en 2015 et 2016</w:t>
      </w:r>
    </w:p>
    <w:tbl>
      <w:tblPr>
        <w:tblW w:w="9943" w:type="dxa"/>
        <w:jc w:val="center"/>
        <w:tblCellMar>
          <w:left w:w="70" w:type="dxa"/>
          <w:right w:w="70" w:type="dxa"/>
        </w:tblCellMar>
        <w:tblLook w:val="04A0" w:firstRow="1" w:lastRow="0" w:firstColumn="1" w:lastColumn="0" w:noHBand="0" w:noVBand="1"/>
      </w:tblPr>
      <w:tblGrid>
        <w:gridCol w:w="1289"/>
        <w:gridCol w:w="1261"/>
        <w:gridCol w:w="1322"/>
        <w:gridCol w:w="1531"/>
        <w:gridCol w:w="1677"/>
        <w:gridCol w:w="1589"/>
        <w:gridCol w:w="1233"/>
        <w:gridCol w:w="146"/>
      </w:tblGrid>
      <w:tr w:rsidR="00766A2D" w14:paraId="108BD4A6" w14:textId="77777777" w:rsidTr="003D7F19">
        <w:trPr>
          <w:trHeight w:val="528"/>
          <w:jc w:val="center"/>
        </w:trPr>
        <w:tc>
          <w:tcPr>
            <w:tcW w:w="1289" w:type="dxa"/>
            <w:tcBorders>
              <w:top w:val="single" w:sz="4" w:space="0" w:color="auto"/>
              <w:left w:val="single" w:sz="4" w:space="0" w:color="auto"/>
              <w:bottom w:val="single" w:sz="4" w:space="0" w:color="auto"/>
              <w:right w:val="single" w:sz="4" w:space="0" w:color="auto"/>
            </w:tcBorders>
            <w:noWrap/>
            <w:vAlign w:val="center"/>
            <w:hideMark/>
          </w:tcPr>
          <w:p w14:paraId="39E282D5" w14:textId="77777777" w:rsidR="00766A2D" w:rsidRDefault="00766A2D" w:rsidP="003D7F19"/>
        </w:tc>
        <w:tc>
          <w:tcPr>
            <w:tcW w:w="1174" w:type="dxa"/>
            <w:tcBorders>
              <w:top w:val="single" w:sz="4" w:space="0" w:color="auto"/>
              <w:left w:val="nil"/>
              <w:bottom w:val="single" w:sz="4" w:space="0" w:color="auto"/>
              <w:right w:val="single" w:sz="4" w:space="0" w:color="auto"/>
            </w:tcBorders>
            <w:vAlign w:val="center"/>
            <w:hideMark/>
          </w:tcPr>
          <w:p w14:paraId="41C20164" w14:textId="77777777" w:rsidR="00766A2D" w:rsidRPr="006970B7" w:rsidRDefault="00766A2D" w:rsidP="003D7F19">
            <w:pPr>
              <w:jc w:val="center"/>
              <w:rPr>
                <w:rFonts w:cs="Calibri"/>
                <w:b/>
                <w:bCs/>
                <w:sz w:val="22"/>
              </w:rPr>
            </w:pPr>
            <w:r w:rsidRPr="006970B7">
              <w:rPr>
                <w:rFonts w:cs="Calibri"/>
                <w:b/>
                <w:bCs/>
              </w:rPr>
              <w:t>Population 01/01/2015</w:t>
            </w:r>
          </w:p>
        </w:tc>
        <w:tc>
          <w:tcPr>
            <w:tcW w:w="1322" w:type="dxa"/>
            <w:tcBorders>
              <w:top w:val="single" w:sz="4" w:space="0" w:color="auto"/>
              <w:left w:val="nil"/>
              <w:bottom w:val="single" w:sz="4" w:space="0" w:color="auto"/>
              <w:right w:val="single" w:sz="4" w:space="0" w:color="auto"/>
            </w:tcBorders>
            <w:vAlign w:val="center"/>
            <w:hideMark/>
          </w:tcPr>
          <w:p w14:paraId="4ABC3544" w14:textId="77777777" w:rsidR="00766A2D" w:rsidRPr="006970B7" w:rsidRDefault="00766A2D" w:rsidP="003D7F19">
            <w:pPr>
              <w:jc w:val="center"/>
              <w:rPr>
                <w:rFonts w:cs="Calibri"/>
                <w:b/>
                <w:bCs/>
              </w:rPr>
            </w:pPr>
            <w:r w:rsidRPr="006970B7">
              <w:rPr>
                <w:rFonts w:cs="Calibri"/>
                <w:b/>
                <w:bCs/>
              </w:rPr>
              <w:t>Population 01/01/2016</w:t>
            </w:r>
          </w:p>
        </w:tc>
        <w:tc>
          <w:tcPr>
            <w:tcW w:w="1531" w:type="dxa"/>
            <w:tcBorders>
              <w:top w:val="single" w:sz="4" w:space="0" w:color="auto"/>
              <w:left w:val="nil"/>
              <w:bottom w:val="single" w:sz="4" w:space="0" w:color="auto"/>
              <w:right w:val="single" w:sz="4" w:space="0" w:color="auto"/>
            </w:tcBorders>
            <w:vAlign w:val="center"/>
            <w:hideMark/>
          </w:tcPr>
          <w:p w14:paraId="315446AC" w14:textId="77777777" w:rsidR="00766A2D" w:rsidRPr="006970B7" w:rsidRDefault="00766A2D" w:rsidP="003D7F19">
            <w:pPr>
              <w:jc w:val="center"/>
              <w:rPr>
                <w:rFonts w:cs="Calibri"/>
                <w:b/>
                <w:bCs/>
              </w:rPr>
            </w:pPr>
            <w:r w:rsidRPr="006970B7">
              <w:rPr>
                <w:rFonts w:cs="Calibri"/>
                <w:b/>
                <w:bCs/>
              </w:rPr>
              <w:t>Naissances</w:t>
            </w:r>
          </w:p>
          <w:p w14:paraId="09280D94" w14:textId="77777777" w:rsidR="00766A2D" w:rsidRPr="006970B7" w:rsidRDefault="00766A2D" w:rsidP="003D7F19">
            <w:pPr>
              <w:jc w:val="center"/>
              <w:rPr>
                <w:rFonts w:cs="Calibri"/>
                <w:b/>
                <w:bCs/>
              </w:rPr>
            </w:pPr>
            <w:r w:rsidRPr="006970B7">
              <w:rPr>
                <w:rFonts w:cs="Calibri"/>
                <w:b/>
                <w:bCs/>
              </w:rPr>
              <w:t>en 2015</w:t>
            </w:r>
          </w:p>
        </w:tc>
        <w:tc>
          <w:tcPr>
            <w:tcW w:w="1677" w:type="dxa"/>
            <w:tcBorders>
              <w:top w:val="single" w:sz="4" w:space="0" w:color="auto"/>
              <w:left w:val="nil"/>
              <w:bottom w:val="single" w:sz="4" w:space="0" w:color="auto"/>
              <w:right w:val="single" w:sz="4" w:space="0" w:color="auto"/>
            </w:tcBorders>
            <w:noWrap/>
            <w:vAlign w:val="center"/>
            <w:hideMark/>
          </w:tcPr>
          <w:p w14:paraId="609D991E" w14:textId="77777777" w:rsidR="00766A2D" w:rsidRPr="006970B7" w:rsidRDefault="00766A2D" w:rsidP="003D7F19">
            <w:pPr>
              <w:jc w:val="center"/>
              <w:rPr>
                <w:rFonts w:cs="Calibri"/>
                <w:b/>
                <w:bCs/>
              </w:rPr>
            </w:pPr>
            <w:r w:rsidRPr="006970B7">
              <w:rPr>
                <w:rFonts w:cs="Calibri"/>
                <w:b/>
                <w:bCs/>
              </w:rPr>
              <w:t>Décès</w:t>
            </w:r>
          </w:p>
          <w:p w14:paraId="1907F023" w14:textId="77777777" w:rsidR="00766A2D" w:rsidRPr="006970B7" w:rsidRDefault="00766A2D" w:rsidP="003D7F19">
            <w:pPr>
              <w:jc w:val="center"/>
              <w:rPr>
                <w:rFonts w:cs="Calibri"/>
                <w:b/>
                <w:bCs/>
              </w:rPr>
            </w:pPr>
            <w:r w:rsidRPr="006970B7">
              <w:rPr>
                <w:rFonts w:cs="Calibri"/>
                <w:b/>
                <w:bCs/>
              </w:rPr>
              <w:t>en 2015</w:t>
            </w:r>
          </w:p>
        </w:tc>
        <w:tc>
          <w:tcPr>
            <w:tcW w:w="1589" w:type="dxa"/>
            <w:tcBorders>
              <w:top w:val="single" w:sz="4" w:space="0" w:color="auto"/>
              <w:left w:val="nil"/>
              <w:bottom w:val="single" w:sz="4" w:space="0" w:color="auto"/>
              <w:right w:val="single" w:sz="4" w:space="0" w:color="auto"/>
            </w:tcBorders>
            <w:vAlign w:val="center"/>
            <w:hideMark/>
          </w:tcPr>
          <w:p w14:paraId="60943931" w14:textId="77777777" w:rsidR="00766A2D" w:rsidRPr="006970B7" w:rsidRDefault="00766A2D" w:rsidP="003D7F19">
            <w:pPr>
              <w:jc w:val="center"/>
              <w:rPr>
                <w:rFonts w:cs="Calibri"/>
                <w:b/>
                <w:bCs/>
              </w:rPr>
            </w:pPr>
            <w:r w:rsidRPr="006970B7">
              <w:rPr>
                <w:rFonts w:cs="Calibri"/>
                <w:b/>
                <w:bCs/>
              </w:rPr>
              <w:t>Solde naturel</w:t>
            </w:r>
          </w:p>
          <w:p w14:paraId="3162FBC5" w14:textId="77777777" w:rsidR="00766A2D" w:rsidRPr="006970B7" w:rsidRDefault="00766A2D" w:rsidP="003D7F19">
            <w:pPr>
              <w:jc w:val="center"/>
              <w:rPr>
                <w:rFonts w:cs="Calibri"/>
                <w:b/>
                <w:bCs/>
              </w:rPr>
            </w:pPr>
            <w:r w:rsidRPr="006970B7">
              <w:rPr>
                <w:rFonts w:cs="Calibri"/>
                <w:b/>
                <w:bCs/>
              </w:rPr>
              <w:t>en 2015</w:t>
            </w:r>
          </w:p>
        </w:tc>
        <w:tc>
          <w:tcPr>
            <w:tcW w:w="1193" w:type="dxa"/>
            <w:tcBorders>
              <w:top w:val="single" w:sz="4" w:space="0" w:color="auto"/>
              <w:left w:val="nil"/>
              <w:bottom w:val="single" w:sz="4" w:space="0" w:color="auto"/>
              <w:right w:val="nil"/>
            </w:tcBorders>
            <w:vAlign w:val="center"/>
            <w:hideMark/>
          </w:tcPr>
          <w:p w14:paraId="3D618EC8" w14:textId="77777777" w:rsidR="00766A2D" w:rsidRPr="006970B7" w:rsidRDefault="00766A2D" w:rsidP="003D7F19">
            <w:pPr>
              <w:jc w:val="center"/>
              <w:rPr>
                <w:rFonts w:cs="Calibri"/>
                <w:b/>
                <w:bCs/>
              </w:rPr>
            </w:pPr>
            <w:r w:rsidRPr="006970B7">
              <w:rPr>
                <w:rFonts w:cs="Calibri"/>
                <w:b/>
                <w:bCs/>
              </w:rPr>
              <w:t>Solde migratoire</w:t>
            </w:r>
          </w:p>
          <w:p w14:paraId="62AF5CCE" w14:textId="77777777" w:rsidR="00766A2D" w:rsidRPr="006970B7" w:rsidRDefault="00766A2D" w:rsidP="003D7F19">
            <w:pPr>
              <w:jc w:val="center"/>
              <w:rPr>
                <w:rFonts w:cs="Calibri"/>
                <w:b/>
                <w:bCs/>
              </w:rPr>
            </w:pPr>
            <w:r w:rsidRPr="006970B7">
              <w:rPr>
                <w:rFonts w:cs="Calibri"/>
                <w:b/>
                <w:bCs/>
              </w:rPr>
              <w:t>en 2015</w:t>
            </w:r>
          </w:p>
        </w:tc>
        <w:tc>
          <w:tcPr>
            <w:tcW w:w="168" w:type="dxa"/>
            <w:tcBorders>
              <w:top w:val="single" w:sz="4" w:space="0" w:color="auto"/>
              <w:left w:val="nil"/>
              <w:bottom w:val="single" w:sz="4" w:space="0" w:color="auto"/>
              <w:right w:val="single" w:sz="4" w:space="0" w:color="auto"/>
            </w:tcBorders>
          </w:tcPr>
          <w:p w14:paraId="7C8835FB" w14:textId="77777777" w:rsidR="00766A2D" w:rsidRDefault="00766A2D" w:rsidP="003D7F19">
            <w:pPr>
              <w:jc w:val="center"/>
              <w:rPr>
                <w:rFonts w:cs="Arial"/>
                <w:b/>
                <w:bCs/>
              </w:rPr>
            </w:pPr>
          </w:p>
        </w:tc>
      </w:tr>
      <w:tr w:rsidR="00766A2D" w14:paraId="4B616FCF" w14:textId="77777777" w:rsidTr="003D7F19">
        <w:trPr>
          <w:trHeight w:val="567"/>
          <w:jc w:val="center"/>
        </w:trPr>
        <w:tc>
          <w:tcPr>
            <w:tcW w:w="1289" w:type="dxa"/>
            <w:tcBorders>
              <w:top w:val="nil"/>
              <w:left w:val="single" w:sz="4" w:space="0" w:color="auto"/>
              <w:bottom w:val="single" w:sz="4" w:space="0" w:color="auto"/>
              <w:right w:val="single" w:sz="4" w:space="0" w:color="auto"/>
            </w:tcBorders>
            <w:noWrap/>
            <w:vAlign w:val="center"/>
            <w:hideMark/>
          </w:tcPr>
          <w:p w14:paraId="5F699E86" w14:textId="77777777" w:rsidR="00766A2D" w:rsidRPr="006970B7" w:rsidRDefault="00766A2D" w:rsidP="003D7F19">
            <w:pPr>
              <w:jc w:val="center"/>
              <w:rPr>
                <w:rFonts w:ascii="Calibri" w:hAnsi="Calibri" w:cs="Calibri"/>
                <w:b/>
              </w:rPr>
            </w:pPr>
            <w:r w:rsidRPr="006970B7">
              <w:rPr>
                <w:rFonts w:cs="Calibri"/>
                <w:b/>
              </w:rPr>
              <w:t>Allemagne</w:t>
            </w:r>
          </w:p>
        </w:tc>
        <w:tc>
          <w:tcPr>
            <w:tcW w:w="1174" w:type="dxa"/>
            <w:tcBorders>
              <w:top w:val="nil"/>
              <w:left w:val="nil"/>
              <w:bottom w:val="single" w:sz="4" w:space="0" w:color="auto"/>
              <w:right w:val="single" w:sz="4" w:space="0" w:color="auto"/>
            </w:tcBorders>
            <w:noWrap/>
            <w:vAlign w:val="center"/>
            <w:hideMark/>
          </w:tcPr>
          <w:p w14:paraId="71F359B0" w14:textId="77777777" w:rsidR="00766A2D" w:rsidRPr="006970B7" w:rsidRDefault="00766A2D" w:rsidP="003D7F19">
            <w:pPr>
              <w:jc w:val="center"/>
              <w:rPr>
                <w:rFonts w:cs="Calibri"/>
              </w:rPr>
            </w:pPr>
            <w:r w:rsidRPr="006970B7">
              <w:rPr>
                <w:rFonts w:cs="Calibri"/>
              </w:rPr>
              <w:t>82 348 669</w:t>
            </w:r>
          </w:p>
        </w:tc>
        <w:tc>
          <w:tcPr>
            <w:tcW w:w="1322" w:type="dxa"/>
            <w:tcBorders>
              <w:top w:val="nil"/>
              <w:left w:val="nil"/>
              <w:bottom w:val="single" w:sz="4" w:space="0" w:color="auto"/>
              <w:right w:val="single" w:sz="4" w:space="0" w:color="auto"/>
            </w:tcBorders>
            <w:noWrap/>
            <w:vAlign w:val="center"/>
            <w:hideMark/>
          </w:tcPr>
          <w:p w14:paraId="1FC49B11" w14:textId="77777777" w:rsidR="00766A2D" w:rsidRPr="005A3945" w:rsidRDefault="00766A2D" w:rsidP="003D7F19">
            <w:pPr>
              <w:rPr>
                <w:rFonts w:cs="Calibri"/>
                <w:b/>
                <w:bCs/>
              </w:rPr>
            </w:pPr>
            <w:r w:rsidRPr="005A3945">
              <w:rPr>
                <w:rFonts w:cs="Calibri"/>
                <w:b/>
                <w:bCs/>
                <w:color w:val="FF0000"/>
              </w:rPr>
              <w:t>83 010 789</w:t>
            </w:r>
          </w:p>
        </w:tc>
        <w:tc>
          <w:tcPr>
            <w:tcW w:w="1531" w:type="dxa"/>
            <w:tcBorders>
              <w:top w:val="nil"/>
              <w:left w:val="nil"/>
              <w:bottom w:val="single" w:sz="4" w:space="0" w:color="auto"/>
              <w:right w:val="single" w:sz="4" w:space="0" w:color="auto"/>
            </w:tcBorders>
            <w:noWrap/>
            <w:vAlign w:val="center"/>
            <w:hideMark/>
          </w:tcPr>
          <w:p w14:paraId="547DA4D4" w14:textId="77777777" w:rsidR="00766A2D" w:rsidRPr="006970B7" w:rsidRDefault="00766A2D" w:rsidP="003D7F19">
            <w:pPr>
              <w:jc w:val="center"/>
              <w:rPr>
                <w:rFonts w:cs="Calibri"/>
                <w:sz w:val="22"/>
              </w:rPr>
            </w:pPr>
            <w:r w:rsidRPr="006970B7">
              <w:rPr>
                <w:rFonts w:cs="Calibri"/>
              </w:rPr>
              <w:t>735 179</w:t>
            </w:r>
          </w:p>
        </w:tc>
        <w:tc>
          <w:tcPr>
            <w:tcW w:w="1677" w:type="dxa"/>
            <w:tcBorders>
              <w:top w:val="nil"/>
              <w:left w:val="nil"/>
              <w:bottom w:val="single" w:sz="4" w:space="0" w:color="auto"/>
              <w:right w:val="single" w:sz="4" w:space="0" w:color="auto"/>
            </w:tcBorders>
            <w:noWrap/>
            <w:vAlign w:val="center"/>
            <w:hideMark/>
          </w:tcPr>
          <w:p w14:paraId="7329480E" w14:textId="77777777" w:rsidR="00766A2D" w:rsidRPr="006970B7" w:rsidRDefault="00766A2D" w:rsidP="003D7F19">
            <w:pPr>
              <w:jc w:val="center"/>
              <w:rPr>
                <w:rFonts w:cs="Calibri"/>
              </w:rPr>
            </w:pPr>
            <w:r w:rsidRPr="006970B7">
              <w:rPr>
                <w:rFonts w:cs="Calibri"/>
              </w:rPr>
              <w:t>923 059</w:t>
            </w:r>
          </w:p>
        </w:tc>
        <w:tc>
          <w:tcPr>
            <w:tcW w:w="1589" w:type="dxa"/>
            <w:tcBorders>
              <w:top w:val="nil"/>
              <w:left w:val="nil"/>
              <w:bottom w:val="single" w:sz="4" w:space="0" w:color="auto"/>
              <w:right w:val="single" w:sz="4" w:space="0" w:color="auto"/>
            </w:tcBorders>
            <w:noWrap/>
            <w:vAlign w:val="center"/>
            <w:hideMark/>
          </w:tcPr>
          <w:p w14:paraId="11BE48A2" w14:textId="77777777" w:rsidR="00766A2D" w:rsidRPr="00256C54" w:rsidRDefault="00766A2D" w:rsidP="003D7F19">
            <w:pPr>
              <w:rPr>
                <w:rFonts w:cs="Calibri"/>
                <w:b/>
                <w:bCs/>
              </w:rPr>
            </w:pPr>
            <w:r w:rsidRPr="00256C54">
              <w:rPr>
                <w:rFonts w:cs="Calibri"/>
                <w:b/>
                <w:bCs/>
                <w:color w:val="FF0000"/>
              </w:rPr>
              <w:t>-187 880</w:t>
            </w:r>
          </w:p>
        </w:tc>
        <w:tc>
          <w:tcPr>
            <w:tcW w:w="1193" w:type="dxa"/>
            <w:tcBorders>
              <w:top w:val="nil"/>
              <w:left w:val="nil"/>
              <w:bottom w:val="single" w:sz="4" w:space="0" w:color="auto"/>
              <w:right w:val="nil"/>
            </w:tcBorders>
            <w:vAlign w:val="center"/>
            <w:hideMark/>
          </w:tcPr>
          <w:p w14:paraId="4BF538F5" w14:textId="77777777" w:rsidR="00766A2D" w:rsidRPr="006970B7" w:rsidRDefault="00766A2D" w:rsidP="003D7F19">
            <w:pPr>
              <w:jc w:val="center"/>
              <w:rPr>
                <w:rFonts w:cs="Calibri"/>
                <w:sz w:val="22"/>
              </w:rPr>
            </w:pPr>
            <w:r w:rsidRPr="006970B7">
              <w:rPr>
                <w:rFonts w:cs="Calibri"/>
              </w:rPr>
              <w:t>850 000</w:t>
            </w:r>
          </w:p>
        </w:tc>
        <w:tc>
          <w:tcPr>
            <w:tcW w:w="168" w:type="dxa"/>
            <w:tcBorders>
              <w:top w:val="nil"/>
              <w:left w:val="nil"/>
              <w:bottom w:val="single" w:sz="4" w:space="0" w:color="auto"/>
              <w:right w:val="single" w:sz="4" w:space="0" w:color="auto"/>
            </w:tcBorders>
          </w:tcPr>
          <w:p w14:paraId="1996DB22" w14:textId="77777777" w:rsidR="00766A2D" w:rsidRDefault="00766A2D" w:rsidP="003D7F19">
            <w:pPr>
              <w:jc w:val="center"/>
              <w:rPr>
                <w:rFonts w:cs="Arial"/>
              </w:rPr>
            </w:pPr>
          </w:p>
        </w:tc>
      </w:tr>
      <w:tr w:rsidR="00766A2D" w14:paraId="382DF376" w14:textId="77777777" w:rsidTr="003D7F19">
        <w:trPr>
          <w:trHeight w:val="567"/>
          <w:jc w:val="center"/>
        </w:trPr>
        <w:tc>
          <w:tcPr>
            <w:tcW w:w="1289" w:type="dxa"/>
            <w:tcBorders>
              <w:top w:val="nil"/>
              <w:left w:val="single" w:sz="4" w:space="0" w:color="auto"/>
              <w:bottom w:val="single" w:sz="4" w:space="0" w:color="auto"/>
              <w:right w:val="single" w:sz="4" w:space="0" w:color="auto"/>
            </w:tcBorders>
            <w:noWrap/>
            <w:vAlign w:val="center"/>
            <w:hideMark/>
          </w:tcPr>
          <w:p w14:paraId="740B2479" w14:textId="77777777" w:rsidR="00766A2D" w:rsidRPr="006970B7" w:rsidRDefault="00766A2D" w:rsidP="003D7F19">
            <w:pPr>
              <w:jc w:val="center"/>
              <w:rPr>
                <w:rFonts w:ascii="Calibri" w:hAnsi="Calibri" w:cs="Calibri"/>
                <w:b/>
              </w:rPr>
            </w:pPr>
            <w:r w:rsidRPr="006970B7">
              <w:rPr>
                <w:rFonts w:cs="Calibri"/>
                <w:b/>
              </w:rPr>
              <w:t>Burundi</w:t>
            </w:r>
          </w:p>
        </w:tc>
        <w:tc>
          <w:tcPr>
            <w:tcW w:w="1174" w:type="dxa"/>
            <w:tcBorders>
              <w:top w:val="nil"/>
              <w:left w:val="nil"/>
              <w:bottom w:val="single" w:sz="4" w:space="0" w:color="auto"/>
              <w:right w:val="single" w:sz="4" w:space="0" w:color="auto"/>
            </w:tcBorders>
            <w:noWrap/>
            <w:vAlign w:val="center"/>
            <w:hideMark/>
          </w:tcPr>
          <w:p w14:paraId="6A8332B6" w14:textId="77777777" w:rsidR="00766A2D" w:rsidRPr="006970B7" w:rsidRDefault="00766A2D" w:rsidP="003D7F19">
            <w:pPr>
              <w:jc w:val="center"/>
              <w:rPr>
                <w:rFonts w:cs="Calibri"/>
              </w:rPr>
            </w:pPr>
            <w:r w:rsidRPr="006970B7">
              <w:rPr>
                <w:rFonts w:cs="Calibri"/>
              </w:rPr>
              <w:t>10 524 117</w:t>
            </w:r>
          </w:p>
        </w:tc>
        <w:tc>
          <w:tcPr>
            <w:tcW w:w="1322" w:type="dxa"/>
            <w:tcBorders>
              <w:top w:val="nil"/>
              <w:left w:val="nil"/>
              <w:bottom w:val="single" w:sz="4" w:space="0" w:color="auto"/>
              <w:right w:val="single" w:sz="4" w:space="0" w:color="auto"/>
            </w:tcBorders>
            <w:noWrap/>
            <w:vAlign w:val="center"/>
            <w:hideMark/>
          </w:tcPr>
          <w:p w14:paraId="463D5A97" w14:textId="77777777" w:rsidR="00766A2D" w:rsidRPr="006970B7" w:rsidRDefault="00766A2D" w:rsidP="003D7F19">
            <w:pPr>
              <w:jc w:val="center"/>
              <w:rPr>
                <w:rFonts w:cs="Calibri"/>
              </w:rPr>
            </w:pPr>
            <w:r w:rsidRPr="006970B7">
              <w:rPr>
                <w:rFonts w:cs="Calibri"/>
              </w:rPr>
              <w:t>10 848 965</w:t>
            </w:r>
          </w:p>
        </w:tc>
        <w:tc>
          <w:tcPr>
            <w:tcW w:w="1531" w:type="dxa"/>
            <w:tcBorders>
              <w:top w:val="nil"/>
              <w:left w:val="nil"/>
              <w:bottom w:val="single" w:sz="4" w:space="0" w:color="auto"/>
              <w:right w:val="single" w:sz="4" w:space="0" w:color="auto"/>
            </w:tcBorders>
            <w:noWrap/>
            <w:vAlign w:val="center"/>
            <w:hideMark/>
          </w:tcPr>
          <w:p w14:paraId="3AC930F7" w14:textId="77777777" w:rsidR="00766A2D" w:rsidRPr="006970B7" w:rsidRDefault="00766A2D" w:rsidP="003D7F19">
            <w:pPr>
              <w:jc w:val="center"/>
              <w:rPr>
                <w:rFonts w:cs="Calibri"/>
              </w:rPr>
            </w:pPr>
            <w:r w:rsidRPr="006970B7">
              <w:rPr>
                <w:rFonts w:cs="Calibri"/>
              </w:rPr>
              <w:t>435 121</w:t>
            </w:r>
          </w:p>
        </w:tc>
        <w:tc>
          <w:tcPr>
            <w:tcW w:w="1677" w:type="dxa"/>
            <w:tcBorders>
              <w:top w:val="nil"/>
              <w:left w:val="nil"/>
              <w:bottom w:val="single" w:sz="4" w:space="0" w:color="auto"/>
              <w:right w:val="single" w:sz="4" w:space="0" w:color="auto"/>
            </w:tcBorders>
            <w:noWrap/>
            <w:vAlign w:val="center"/>
            <w:hideMark/>
          </w:tcPr>
          <w:p w14:paraId="536852F7" w14:textId="77777777" w:rsidR="00766A2D" w:rsidRPr="006970B7" w:rsidRDefault="00766A2D" w:rsidP="003D7F19">
            <w:pPr>
              <w:jc w:val="center"/>
              <w:rPr>
                <w:rFonts w:cs="Calibri"/>
              </w:rPr>
            </w:pPr>
            <w:r w:rsidRPr="006970B7">
              <w:rPr>
                <w:rFonts w:cs="Calibri"/>
              </w:rPr>
              <w:t>112 518</w:t>
            </w:r>
          </w:p>
        </w:tc>
        <w:tc>
          <w:tcPr>
            <w:tcW w:w="1589" w:type="dxa"/>
            <w:tcBorders>
              <w:top w:val="nil"/>
              <w:left w:val="nil"/>
              <w:bottom w:val="single" w:sz="4" w:space="0" w:color="auto"/>
              <w:right w:val="single" w:sz="4" w:space="0" w:color="auto"/>
            </w:tcBorders>
            <w:noWrap/>
            <w:vAlign w:val="center"/>
            <w:hideMark/>
          </w:tcPr>
          <w:p w14:paraId="6443A266" w14:textId="77777777" w:rsidR="00766A2D" w:rsidRPr="00E84DFF" w:rsidRDefault="00766A2D" w:rsidP="003D7F19">
            <w:pPr>
              <w:rPr>
                <w:rFonts w:cs="Calibri"/>
                <w:b/>
                <w:bCs/>
              </w:rPr>
            </w:pPr>
            <w:r w:rsidRPr="00E84DFF">
              <w:rPr>
                <w:rFonts w:cs="Calibri"/>
                <w:b/>
                <w:bCs/>
                <w:color w:val="FF0000"/>
              </w:rPr>
              <w:t xml:space="preserve">322 603 </w:t>
            </w:r>
          </w:p>
        </w:tc>
        <w:tc>
          <w:tcPr>
            <w:tcW w:w="1193" w:type="dxa"/>
            <w:tcBorders>
              <w:top w:val="nil"/>
              <w:left w:val="nil"/>
              <w:bottom w:val="single" w:sz="4" w:space="0" w:color="auto"/>
              <w:right w:val="nil"/>
            </w:tcBorders>
            <w:vAlign w:val="center"/>
          </w:tcPr>
          <w:p w14:paraId="11BA06A3" w14:textId="77777777" w:rsidR="00766A2D" w:rsidRPr="00A37203" w:rsidRDefault="00766A2D" w:rsidP="003D7F19">
            <w:pPr>
              <w:jc w:val="center"/>
              <w:rPr>
                <w:rFonts w:cs="Calibri"/>
                <w:b/>
                <w:bCs/>
                <w:sz w:val="22"/>
              </w:rPr>
            </w:pPr>
            <w:r w:rsidRPr="00A37203">
              <w:rPr>
                <w:rFonts w:cs="Calibri"/>
                <w:b/>
                <w:bCs/>
                <w:color w:val="FF0000"/>
                <w:sz w:val="22"/>
              </w:rPr>
              <w:t>2 245</w:t>
            </w:r>
          </w:p>
        </w:tc>
        <w:tc>
          <w:tcPr>
            <w:tcW w:w="168" w:type="dxa"/>
            <w:tcBorders>
              <w:top w:val="nil"/>
              <w:left w:val="nil"/>
              <w:bottom w:val="single" w:sz="4" w:space="0" w:color="auto"/>
              <w:right w:val="single" w:sz="4" w:space="0" w:color="auto"/>
            </w:tcBorders>
          </w:tcPr>
          <w:p w14:paraId="289D5E0D" w14:textId="77777777" w:rsidR="00766A2D" w:rsidRDefault="00766A2D" w:rsidP="003D7F19">
            <w:pPr>
              <w:jc w:val="center"/>
              <w:rPr>
                <w:rFonts w:cs="Arial"/>
              </w:rPr>
            </w:pPr>
          </w:p>
        </w:tc>
      </w:tr>
    </w:tbl>
    <w:p w14:paraId="55E1CE6E" w14:textId="77777777" w:rsidR="00766A2D" w:rsidRPr="006970B7" w:rsidRDefault="00766A2D" w:rsidP="00766A2D">
      <w:pPr>
        <w:pStyle w:val="Paragraphedeliste"/>
        <w:rPr>
          <w:i/>
        </w:rPr>
      </w:pPr>
      <w:r>
        <w:rPr>
          <w:i/>
        </w:rPr>
        <w:t>Source : World Population Prospects 2017</w:t>
      </w:r>
    </w:p>
    <w:p w14:paraId="52B946A0" w14:textId="77777777" w:rsidR="00766A2D" w:rsidRDefault="00766A2D" w:rsidP="00766A2D">
      <w:pPr>
        <w:pStyle w:val="Paragraphedeliste"/>
        <w:rPr>
          <w:i/>
        </w:rPr>
      </w:pPr>
    </w:p>
    <w:p w14:paraId="28D73AD9" w14:textId="77777777" w:rsidR="00766A2D" w:rsidRDefault="00766A2D" w:rsidP="00766A2D">
      <w:pPr>
        <w:pStyle w:val="Paragraphedeliste"/>
        <w:rPr>
          <w:i/>
        </w:rPr>
      </w:pPr>
      <w:r>
        <w:lastRenderedPageBreak/>
        <w:t>Tableau 1 (suite).</w:t>
      </w:r>
    </w:p>
    <w:tbl>
      <w:tblPr>
        <w:tblW w:w="7220" w:type="dxa"/>
        <w:tblCellMar>
          <w:left w:w="70" w:type="dxa"/>
          <w:right w:w="70" w:type="dxa"/>
        </w:tblCellMar>
        <w:tblLook w:val="04A0" w:firstRow="1" w:lastRow="0" w:firstColumn="1" w:lastColumn="0" w:noHBand="0" w:noVBand="1"/>
      </w:tblPr>
      <w:tblGrid>
        <w:gridCol w:w="1234"/>
        <w:gridCol w:w="1200"/>
        <w:gridCol w:w="1200"/>
        <w:gridCol w:w="1793"/>
        <w:gridCol w:w="1793"/>
      </w:tblGrid>
      <w:tr w:rsidR="00766A2D" w:rsidRPr="0071647C" w14:paraId="7007766E" w14:textId="3FA08070" w:rsidTr="00766A2D">
        <w:trPr>
          <w:trHeight w:val="960"/>
        </w:trPr>
        <w:tc>
          <w:tcPr>
            <w:tcW w:w="123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3F95EB0" w14:textId="77777777" w:rsidR="00766A2D" w:rsidRPr="0071647C" w:rsidRDefault="00766A2D" w:rsidP="003D7F19">
            <w:pPr>
              <w:spacing w:after="0" w:line="240" w:lineRule="auto"/>
              <w:jc w:val="center"/>
              <w:rPr>
                <w:rFonts w:eastAsia="Times New Roman" w:cs="Times New Roman"/>
                <w:b/>
                <w:bCs/>
                <w:color w:val="000000"/>
                <w:szCs w:val="24"/>
                <w:lang w:eastAsia="fr-FR"/>
              </w:rPr>
            </w:pPr>
            <w:r w:rsidRPr="0071647C">
              <w:rPr>
                <w:rFonts w:eastAsia="Times New Roman" w:cs="Calibri"/>
                <w:b/>
                <w:bCs/>
                <w:color w:val="000000"/>
                <w:szCs w:val="24"/>
                <w:lang w:eastAsia="fr-FR"/>
              </w:rPr>
              <w:t>2015</w:t>
            </w:r>
          </w:p>
        </w:tc>
        <w:tc>
          <w:tcPr>
            <w:tcW w:w="1200" w:type="dxa"/>
            <w:tcBorders>
              <w:top w:val="single" w:sz="8" w:space="0" w:color="auto"/>
              <w:left w:val="nil"/>
              <w:bottom w:val="single" w:sz="8" w:space="0" w:color="auto"/>
              <w:right w:val="single" w:sz="8" w:space="0" w:color="auto"/>
            </w:tcBorders>
            <w:shd w:val="clear" w:color="auto" w:fill="auto"/>
            <w:vAlign w:val="center"/>
            <w:hideMark/>
          </w:tcPr>
          <w:p w14:paraId="70B26731" w14:textId="77777777" w:rsidR="00766A2D" w:rsidRPr="0071647C" w:rsidRDefault="00766A2D" w:rsidP="003D7F19">
            <w:pPr>
              <w:spacing w:after="0" w:line="240" w:lineRule="auto"/>
              <w:jc w:val="center"/>
              <w:rPr>
                <w:rFonts w:eastAsia="Times New Roman" w:cs="Times New Roman"/>
                <w:b/>
                <w:bCs/>
                <w:color w:val="000000"/>
                <w:szCs w:val="24"/>
                <w:lang w:eastAsia="fr-FR"/>
              </w:rPr>
            </w:pPr>
            <w:r w:rsidRPr="0071647C">
              <w:rPr>
                <w:rFonts w:eastAsia="Times New Roman" w:cs="Calibri"/>
                <w:b/>
                <w:bCs/>
                <w:color w:val="000000"/>
                <w:szCs w:val="24"/>
                <w:lang w:eastAsia="fr-FR"/>
              </w:rPr>
              <w:t>Taux de natalité</w:t>
            </w:r>
          </w:p>
        </w:tc>
        <w:tc>
          <w:tcPr>
            <w:tcW w:w="1200" w:type="dxa"/>
            <w:tcBorders>
              <w:top w:val="single" w:sz="8" w:space="0" w:color="auto"/>
              <w:left w:val="nil"/>
              <w:bottom w:val="single" w:sz="8" w:space="0" w:color="auto"/>
              <w:right w:val="single" w:sz="8" w:space="0" w:color="auto"/>
            </w:tcBorders>
            <w:shd w:val="clear" w:color="auto" w:fill="auto"/>
            <w:vAlign w:val="center"/>
            <w:hideMark/>
          </w:tcPr>
          <w:p w14:paraId="072DBA2A" w14:textId="77777777" w:rsidR="00766A2D" w:rsidRPr="0071647C" w:rsidRDefault="00766A2D" w:rsidP="003D7F19">
            <w:pPr>
              <w:spacing w:after="0" w:line="240" w:lineRule="auto"/>
              <w:jc w:val="center"/>
              <w:rPr>
                <w:rFonts w:eastAsia="Times New Roman" w:cs="Times New Roman"/>
                <w:b/>
                <w:bCs/>
                <w:color w:val="000000"/>
                <w:szCs w:val="24"/>
                <w:lang w:eastAsia="fr-FR"/>
              </w:rPr>
            </w:pPr>
            <w:r w:rsidRPr="0071647C">
              <w:rPr>
                <w:rFonts w:eastAsia="Times New Roman" w:cs="Calibri"/>
                <w:b/>
                <w:bCs/>
                <w:color w:val="000000"/>
                <w:szCs w:val="24"/>
                <w:lang w:eastAsia="fr-FR"/>
              </w:rPr>
              <w:t>Taux de mortalité</w:t>
            </w:r>
          </w:p>
        </w:tc>
        <w:tc>
          <w:tcPr>
            <w:tcW w:w="1793" w:type="dxa"/>
            <w:tcBorders>
              <w:top w:val="single" w:sz="8" w:space="0" w:color="auto"/>
              <w:left w:val="nil"/>
              <w:bottom w:val="single" w:sz="8" w:space="0" w:color="auto"/>
              <w:right w:val="single" w:sz="8" w:space="0" w:color="auto"/>
            </w:tcBorders>
            <w:shd w:val="clear" w:color="auto" w:fill="auto"/>
            <w:vAlign w:val="center"/>
            <w:hideMark/>
          </w:tcPr>
          <w:p w14:paraId="004B9E60" w14:textId="77777777" w:rsidR="00766A2D" w:rsidRPr="0071647C" w:rsidRDefault="00766A2D" w:rsidP="003D7F19">
            <w:pPr>
              <w:spacing w:after="0" w:line="240" w:lineRule="auto"/>
              <w:jc w:val="center"/>
              <w:rPr>
                <w:rFonts w:eastAsia="Times New Roman" w:cs="Times New Roman"/>
                <w:b/>
                <w:bCs/>
                <w:color w:val="000000"/>
                <w:szCs w:val="24"/>
                <w:lang w:eastAsia="fr-FR"/>
              </w:rPr>
            </w:pPr>
            <w:r w:rsidRPr="0071647C">
              <w:rPr>
                <w:rFonts w:eastAsia="Times New Roman" w:cs="Calibri"/>
                <w:b/>
                <w:bCs/>
                <w:color w:val="000000"/>
                <w:szCs w:val="24"/>
                <w:lang w:eastAsia="fr-FR"/>
              </w:rPr>
              <w:t>Taux d’accroissement naturel</w:t>
            </w:r>
          </w:p>
        </w:tc>
        <w:tc>
          <w:tcPr>
            <w:tcW w:w="1793" w:type="dxa"/>
            <w:tcBorders>
              <w:top w:val="single" w:sz="8" w:space="0" w:color="auto"/>
              <w:left w:val="nil"/>
              <w:bottom w:val="single" w:sz="8" w:space="0" w:color="auto"/>
              <w:right w:val="single" w:sz="8" w:space="0" w:color="auto"/>
            </w:tcBorders>
          </w:tcPr>
          <w:p w14:paraId="0B6C2EF8" w14:textId="4D9EEAA9" w:rsidR="00766A2D" w:rsidRPr="0071647C" w:rsidRDefault="00766A2D" w:rsidP="003D7F19">
            <w:pPr>
              <w:spacing w:after="0" w:line="240" w:lineRule="auto"/>
              <w:jc w:val="center"/>
              <w:rPr>
                <w:rFonts w:eastAsia="Times New Roman" w:cs="Calibri"/>
                <w:b/>
                <w:bCs/>
                <w:color w:val="000000"/>
                <w:szCs w:val="24"/>
                <w:lang w:eastAsia="fr-FR"/>
              </w:rPr>
            </w:pPr>
            <w:r>
              <w:rPr>
                <w:rFonts w:eastAsia="Times New Roman" w:cs="Calibri"/>
                <w:b/>
                <w:bCs/>
                <w:color w:val="000000"/>
                <w:szCs w:val="24"/>
                <w:lang w:eastAsia="fr-FR"/>
              </w:rPr>
              <w:t>Taux d’accroissement annuel moyen</w:t>
            </w:r>
          </w:p>
        </w:tc>
      </w:tr>
      <w:tr w:rsidR="00766A2D" w:rsidRPr="0071647C" w14:paraId="17C1FDDA" w14:textId="5052913F" w:rsidTr="00766A2D">
        <w:trPr>
          <w:trHeight w:val="330"/>
        </w:trPr>
        <w:tc>
          <w:tcPr>
            <w:tcW w:w="1234" w:type="dxa"/>
            <w:tcBorders>
              <w:top w:val="nil"/>
              <w:left w:val="single" w:sz="8" w:space="0" w:color="auto"/>
              <w:bottom w:val="single" w:sz="8" w:space="0" w:color="auto"/>
              <w:right w:val="single" w:sz="8" w:space="0" w:color="auto"/>
            </w:tcBorders>
            <w:shd w:val="clear" w:color="auto" w:fill="auto"/>
            <w:noWrap/>
            <w:vAlign w:val="center"/>
            <w:hideMark/>
          </w:tcPr>
          <w:p w14:paraId="69574495" w14:textId="77777777" w:rsidR="00766A2D" w:rsidRPr="0071647C" w:rsidRDefault="00766A2D" w:rsidP="003D7F19">
            <w:pPr>
              <w:spacing w:after="0" w:line="240" w:lineRule="auto"/>
              <w:jc w:val="center"/>
              <w:rPr>
                <w:rFonts w:eastAsia="Times New Roman" w:cs="Times New Roman"/>
                <w:b/>
                <w:bCs/>
                <w:color w:val="000000"/>
                <w:szCs w:val="24"/>
                <w:lang w:eastAsia="fr-FR"/>
              </w:rPr>
            </w:pPr>
            <w:r w:rsidRPr="0071647C">
              <w:rPr>
                <w:rFonts w:eastAsia="Times New Roman" w:cs="Calibri"/>
                <w:b/>
                <w:bCs/>
                <w:color w:val="000000"/>
                <w:szCs w:val="24"/>
                <w:lang w:eastAsia="fr-FR"/>
              </w:rPr>
              <w:t>Allemagne</w:t>
            </w:r>
          </w:p>
        </w:tc>
        <w:tc>
          <w:tcPr>
            <w:tcW w:w="1200" w:type="dxa"/>
            <w:tcBorders>
              <w:top w:val="nil"/>
              <w:left w:val="nil"/>
              <w:bottom w:val="single" w:sz="8" w:space="0" w:color="auto"/>
              <w:right w:val="single" w:sz="8" w:space="0" w:color="auto"/>
            </w:tcBorders>
            <w:shd w:val="clear" w:color="auto" w:fill="auto"/>
            <w:noWrap/>
            <w:vAlign w:val="center"/>
            <w:hideMark/>
          </w:tcPr>
          <w:p w14:paraId="53EF02A3" w14:textId="2C2C7650" w:rsidR="00766A2D" w:rsidRPr="0071647C" w:rsidRDefault="00766A2D" w:rsidP="003D7F19">
            <w:pPr>
              <w:spacing w:after="0" w:line="240" w:lineRule="auto"/>
              <w:jc w:val="center"/>
              <w:rPr>
                <w:rFonts w:eastAsia="Times New Roman" w:cs="Times New Roman"/>
                <w:b/>
                <w:bCs/>
                <w:color w:val="FF0000"/>
                <w:szCs w:val="24"/>
                <w:lang w:eastAsia="fr-FR"/>
              </w:rPr>
            </w:pPr>
            <w:r w:rsidRPr="0071647C">
              <w:rPr>
                <w:rFonts w:eastAsia="Times New Roman" w:cs="Calibri"/>
                <w:b/>
                <w:bCs/>
                <w:color w:val="FF0000"/>
                <w:szCs w:val="24"/>
                <w:lang w:eastAsia="fr-FR"/>
              </w:rPr>
              <w:t>8,9</w:t>
            </w:r>
            <w:r>
              <w:rPr>
                <w:rFonts w:eastAsia="Times New Roman" w:cs="Calibri"/>
                <w:b/>
                <w:bCs/>
                <w:color w:val="FF0000"/>
                <w:szCs w:val="24"/>
                <w:lang w:eastAsia="fr-FR"/>
              </w:rPr>
              <w:t xml:space="preserve"> pour 1000</w:t>
            </w:r>
          </w:p>
        </w:tc>
        <w:tc>
          <w:tcPr>
            <w:tcW w:w="1200" w:type="dxa"/>
            <w:tcBorders>
              <w:top w:val="nil"/>
              <w:left w:val="nil"/>
              <w:bottom w:val="single" w:sz="8" w:space="0" w:color="auto"/>
              <w:right w:val="single" w:sz="8" w:space="0" w:color="auto"/>
            </w:tcBorders>
            <w:shd w:val="clear" w:color="auto" w:fill="auto"/>
            <w:noWrap/>
            <w:vAlign w:val="center"/>
            <w:hideMark/>
          </w:tcPr>
          <w:p w14:paraId="13450062" w14:textId="49AC180A" w:rsidR="00766A2D" w:rsidRPr="0071647C" w:rsidRDefault="00766A2D" w:rsidP="003D7F19">
            <w:pPr>
              <w:spacing w:after="0" w:line="240" w:lineRule="auto"/>
              <w:jc w:val="center"/>
              <w:rPr>
                <w:rFonts w:eastAsia="Times New Roman" w:cs="Times New Roman"/>
                <w:b/>
                <w:bCs/>
                <w:color w:val="FF0000"/>
                <w:szCs w:val="24"/>
                <w:lang w:eastAsia="fr-FR"/>
              </w:rPr>
            </w:pPr>
            <w:r w:rsidRPr="0071647C">
              <w:rPr>
                <w:rFonts w:eastAsia="Times New Roman" w:cs="Calibri"/>
                <w:b/>
                <w:bCs/>
                <w:color w:val="FF0000"/>
                <w:szCs w:val="24"/>
                <w:lang w:eastAsia="fr-FR"/>
              </w:rPr>
              <w:t>11,2</w:t>
            </w:r>
            <w:r>
              <w:rPr>
                <w:rFonts w:eastAsia="Times New Roman" w:cs="Calibri"/>
                <w:b/>
                <w:bCs/>
                <w:color w:val="FF0000"/>
                <w:szCs w:val="24"/>
                <w:lang w:eastAsia="fr-FR"/>
              </w:rPr>
              <w:t xml:space="preserve"> </w:t>
            </w:r>
            <w:r>
              <w:rPr>
                <w:rFonts w:eastAsia="Times New Roman" w:cs="Calibri"/>
                <w:b/>
                <w:bCs/>
                <w:color w:val="FF0000"/>
                <w:szCs w:val="24"/>
                <w:lang w:eastAsia="fr-FR"/>
              </w:rPr>
              <w:t>pour 1000</w:t>
            </w:r>
          </w:p>
        </w:tc>
        <w:tc>
          <w:tcPr>
            <w:tcW w:w="1793" w:type="dxa"/>
            <w:tcBorders>
              <w:top w:val="nil"/>
              <w:left w:val="nil"/>
              <w:bottom w:val="single" w:sz="8" w:space="0" w:color="auto"/>
              <w:right w:val="single" w:sz="8" w:space="0" w:color="auto"/>
            </w:tcBorders>
            <w:shd w:val="clear" w:color="auto" w:fill="auto"/>
            <w:noWrap/>
            <w:vAlign w:val="center"/>
            <w:hideMark/>
          </w:tcPr>
          <w:p w14:paraId="592C68EC" w14:textId="6BC1403B" w:rsidR="00766A2D" w:rsidRPr="0071647C" w:rsidRDefault="00766A2D" w:rsidP="003D7F19">
            <w:pPr>
              <w:spacing w:after="0" w:line="240" w:lineRule="auto"/>
              <w:jc w:val="center"/>
              <w:rPr>
                <w:rFonts w:eastAsia="Times New Roman" w:cs="Times New Roman"/>
                <w:b/>
                <w:bCs/>
                <w:color w:val="FF0000"/>
                <w:szCs w:val="24"/>
                <w:lang w:eastAsia="fr-FR"/>
              </w:rPr>
            </w:pPr>
            <w:r w:rsidRPr="0071647C">
              <w:rPr>
                <w:rFonts w:eastAsia="Times New Roman" w:cs="Calibri"/>
                <w:b/>
                <w:bCs/>
                <w:color w:val="FF0000"/>
                <w:szCs w:val="24"/>
                <w:lang w:eastAsia="fr-FR"/>
              </w:rPr>
              <w:t>-2,3</w:t>
            </w:r>
            <w:r>
              <w:rPr>
                <w:rFonts w:eastAsia="Times New Roman" w:cs="Calibri"/>
                <w:b/>
                <w:bCs/>
                <w:color w:val="FF0000"/>
                <w:szCs w:val="24"/>
                <w:lang w:eastAsia="fr-FR"/>
              </w:rPr>
              <w:t xml:space="preserve"> </w:t>
            </w:r>
            <w:r>
              <w:rPr>
                <w:rFonts w:eastAsia="Times New Roman" w:cs="Calibri"/>
                <w:b/>
                <w:bCs/>
                <w:color w:val="FF0000"/>
                <w:szCs w:val="24"/>
                <w:lang w:eastAsia="fr-FR"/>
              </w:rPr>
              <w:t>pour 1000</w:t>
            </w:r>
          </w:p>
        </w:tc>
        <w:tc>
          <w:tcPr>
            <w:tcW w:w="1793" w:type="dxa"/>
            <w:tcBorders>
              <w:top w:val="nil"/>
              <w:left w:val="nil"/>
              <w:bottom w:val="single" w:sz="8" w:space="0" w:color="auto"/>
              <w:right w:val="single" w:sz="8" w:space="0" w:color="auto"/>
            </w:tcBorders>
          </w:tcPr>
          <w:p w14:paraId="0A9AFDB9" w14:textId="080903D5" w:rsidR="00766A2D" w:rsidRPr="0071647C" w:rsidRDefault="00766A2D" w:rsidP="003D7F19">
            <w:pPr>
              <w:spacing w:after="0" w:line="240" w:lineRule="auto"/>
              <w:jc w:val="center"/>
              <w:rPr>
                <w:rFonts w:eastAsia="Times New Roman" w:cs="Calibri"/>
                <w:b/>
                <w:bCs/>
                <w:color w:val="FF0000"/>
                <w:szCs w:val="24"/>
                <w:lang w:eastAsia="fr-FR"/>
              </w:rPr>
            </w:pPr>
            <w:r>
              <w:rPr>
                <w:rFonts w:eastAsia="Times New Roman" w:cs="Calibri"/>
                <w:b/>
                <w:bCs/>
                <w:color w:val="FF0000"/>
                <w:szCs w:val="24"/>
                <w:lang w:eastAsia="fr-FR"/>
              </w:rPr>
              <w:t>-0,2 %</w:t>
            </w:r>
          </w:p>
        </w:tc>
      </w:tr>
      <w:tr w:rsidR="00766A2D" w:rsidRPr="0071647C" w14:paraId="5B5F813F" w14:textId="770461E5" w:rsidTr="00766A2D">
        <w:trPr>
          <w:trHeight w:val="330"/>
        </w:trPr>
        <w:tc>
          <w:tcPr>
            <w:tcW w:w="1234" w:type="dxa"/>
            <w:tcBorders>
              <w:top w:val="nil"/>
              <w:left w:val="single" w:sz="8" w:space="0" w:color="auto"/>
              <w:bottom w:val="single" w:sz="8" w:space="0" w:color="auto"/>
              <w:right w:val="single" w:sz="8" w:space="0" w:color="auto"/>
            </w:tcBorders>
            <w:shd w:val="clear" w:color="auto" w:fill="auto"/>
            <w:noWrap/>
            <w:vAlign w:val="center"/>
            <w:hideMark/>
          </w:tcPr>
          <w:p w14:paraId="08345F0D" w14:textId="77777777" w:rsidR="00766A2D" w:rsidRPr="0071647C" w:rsidRDefault="00766A2D" w:rsidP="003D7F19">
            <w:pPr>
              <w:spacing w:after="0" w:line="240" w:lineRule="auto"/>
              <w:jc w:val="center"/>
              <w:rPr>
                <w:rFonts w:eastAsia="Times New Roman" w:cs="Times New Roman"/>
                <w:b/>
                <w:bCs/>
                <w:color w:val="000000"/>
                <w:szCs w:val="24"/>
                <w:lang w:eastAsia="fr-FR"/>
              </w:rPr>
            </w:pPr>
            <w:r w:rsidRPr="0071647C">
              <w:rPr>
                <w:rFonts w:eastAsia="Times New Roman" w:cs="Calibri"/>
                <w:b/>
                <w:bCs/>
                <w:color w:val="000000"/>
                <w:szCs w:val="24"/>
                <w:lang w:eastAsia="fr-FR"/>
              </w:rPr>
              <w:t>Burundi</w:t>
            </w:r>
          </w:p>
        </w:tc>
        <w:tc>
          <w:tcPr>
            <w:tcW w:w="1200" w:type="dxa"/>
            <w:tcBorders>
              <w:top w:val="nil"/>
              <w:left w:val="nil"/>
              <w:bottom w:val="single" w:sz="8" w:space="0" w:color="auto"/>
              <w:right w:val="single" w:sz="8" w:space="0" w:color="auto"/>
            </w:tcBorders>
            <w:shd w:val="clear" w:color="auto" w:fill="auto"/>
            <w:noWrap/>
            <w:vAlign w:val="center"/>
            <w:hideMark/>
          </w:tcPr>
          <w:p w14:paraId="5C2F3ACE" w14:textId="615BDE5B" w:rsidR="00766A2D" w:rsidRPr="0071647C" w:rsidRDefault="00766A2D" w:rsidP="003D7F19">
            <w:pPr>
              <w:spacing w:after="0" w:line="240" w:lineRule="auto"/>
              <w:jc w:val="center"/>
              <w:rPr>
                <w:rFonts w:eastAsia="Times New Roman" w:cs="Times New Roman"/>
                <w:b/>
                <w:bCs/>
                <w:color w:val="FF0000"/>
                <w:szCs w:val="24"/>
                <w:lang w:eastAsia="fr-FR"/>
              </w:rPr>
            </w:pPr>
            <w:r w:rsidRPr="0071647C">
              <w:rPr>
                <w:rFonts w:eastAsia="Times New Roman" w:cs="Calibri"/>
                <w:b/>
                <w:bCs/>
                <w:color w:val="FF0000"/>
                <w:szCs w:val="24"/>
                <w:lang w:eastAsia="fr-FR"/>
              </w:rPr>
              <w:t>40,7</w:t>
            </w:r>
            <w:r>
              <w:rPr>
                <w:rFonts w:eastAsia="Times New Roman" w:cs="Calibri"/>
                <w:b/>
                <w:bCs/>
                <w:color w:val="FF0000"/>
                <w:szCs w:val="24"/>
                <w:lang w:eastAsia="fr-FR"/>
              </w:rPr>
              <w:t xml:space="preserve"> </w:t>
            </w:r>
            <w:r>
              <w:rPr>
                <w:rFonts w:eastAsia="Times New Roman" w:cs="Calibri"/>
                <w:b/>
                <w:bCs/>
                <w:color w:val="FF0000"/>
                <w:szCs w:val="24"/>
                <w:lang w:eastAsia="fr-FR"/>
              </w:rPr>
              <w:t>pour 1000</w:t>
            </w:r>
          </w:p>
        </w:tc>
        <w:tc>
          <w:tcPr>
            <w:tcW w:w="1200" w:type="dxa"/>
            <w:tcBorders>
              <w:top w:val="nil"/>
              <w:left w:val="nil"/>
              <w:bottom w:val="single" w:sz="8" w:space="0" w:color="auto"/>
              <w:right w:val="single" w:sz="8" w:space="0" w:color="auto"/>
            </w:tcBorders>
            <w:shd w:val="clear" w:color="auto" w:fill="auto"/>
            <w:noWrap/>
            <w:vAlign w:val="center"/>
            <w:hideMark/>
          </w:tcPr>
          <w:p w14:paraId="1AEFDCCF" w14:textId="4B3D20B2" w:rsidR="00766A2D" w:rsidRPr="0071647C" w:rsidRDefault="00766A2D" w:rsidP="003D7F19">
            <w:pPr>
              <w:spacing w:after="0" w:line="240" w:lineRule="auto"/>
              <w:jc w:val="center"/>
              <w:rPr>
                <w:rFonts w:eastAsia="Times New Roman" w:cs="Times New Roman"/>
                <w:b/>
                <w:bCs/>
                <w:color w:val="FF0000"/>
                <w:szCs w:val="24"/>
                <w:lang w:eastAsia="fr-FR"/>
              </w:rPr>
            </w:pPr>
            <w:r w:rsidRPr="0071647C">
              <w:rPr>
                <w:rFonts w:eastAsia="Times New Roman" w:cs="Calibri"/>
                <w:b/>
                <w:bCs/>
                <w:color w:val="FF0000"/>
                <w:szCs w:val="24"/>
                <w:lang w:eastAsia="fr-FR"/>
              </w:rPr>
              <w:t>10,5</w:t>
            </w:r>
            <w:r>
              <w:rPr>
                <w:rFonts w:eastAsia="Times New Roman" w:cs="Calibri"/>
                <w:b/>
                <w:bCs/>
                <w:color w:val="FF0000"/>
                <w:szCs w:val="24"/>
                <w:lang w:eastAsia="fr-FR"/>
              </w:rPr>
              <w:t xml:space="preserve"> </w:t>
            </w:r>
            <w:r>
              <w:rPr>
                <w:rFonts w:eastAsia="Times New Roman" w:cs="Calibri"/>
                <w:b/>
                <w:bCs/>
                <w:color w:val="FF0000"/>
                <w:szCs w:val="24"/>
                <w:lang w:eastAsia="fr-FR"/>
              </w:rPr>
              <w:t>pour 1000</w:t>
            </w:r>
          </w:p>
        </w:tc>
        <w:tc>
          <w:tcPr>
            <w:tcW w:w="1793" w:type="dxa"/>
            <w:tcBorders>
              <w:top w:val="nil"/>
              <w:left w:val="nil"/>
              <w:bottom w:val="single" w:sz="8" w:space="0" w:color="auto"/>
              <w:right w:val="single" w:sz="8" w:space="0" w:color="auto"/>
            </w:tcBorders>
            <w:shd w:val="clear" w:color="auto" w:fill="auto"/>
            <w:noWrap/>
            <w:vAlign w:val="center"/>
            <w:hideMark/>
          </w:tcPr>
          <w:p w14:paraId="7EF6C138" w14:textId="31EF0B08" w:rsidR="00766A2D" w:rsidRPr="0071647C" w:rsidRDefault="00766A2D" w:rsidP="003D7F19">
            <w:pPr>
              <w:spacing w:after="0" w:line="240" w:lineRule="auto"/>
              <w:jc w:val="center"/>
              <w:rPr>
                <w:rFonts w:eastAsia="Times New Roman" w:cs="Times New Roman"/>
                <w:b/>
                <w:bCs/>
                <w:color w:val="FF0000"/>
                <w:szCs w:val="24"/>
                <w:lang w:eastAsia="fr-FR"/>
              </w:rPr>
            </w:pPr>
            <w:r w:rsidRPr="0071647C">
              <w:rPr>
                <w:rFonts w:eastAsia="Times New Roman" w:cs="Calibri"/>
                <w:b/>
                <w:bCs/>
                <w:color w:val="FF0000"/>
                <w:szCs w:val="24"/>
                <w:lang w:eastAsia="fr-FR"/>
              </w:rPr>
              <w:t>30,2</w:t>
            </w:r>
            <w:r>
              <w:rPr>
                <w:rFonts w:eastAsia="Times New Roman" w:cs="Calibri"/>
                <w:b/>
                <w:bCs/>
                <w:color w:val="FF0000"/>
                <w:szCs w:val="24"/>
                <w:lang w:eastAsia="fr-FR"/>
              </w:rPr>
              <w:t xml:space="preserve"> </w:t>
            </w:r>
            <w:r>
              <w:rPr>
                <w:rFonts w:eastAsia="Times New Roman" w:cs="Calibri"/>
                <w:b/>
                <w:bCs/>
                <w:color w:val="FF0000"/>
                <w:szCs w:val="24"/>
                <w:lang w:eastAsia="fr-FR"/>
              </w:rPr>
              <w:t>pour 1000</w:t>
            </w:r>
          </w:p>
        </w:tc>
        <w:tc>
          <w:tcPr>
            <w:tcW w:w="1793" w:type="dxa"/>
            <w:tcBorders>
              <w:top w:val="nil"/>
              <w:left w:val="nil"/>
              <w:bottom w:val="single" w:sz="8" w:space="0" w:color="auto"/>
              <w:right w:val="single" w:sz="8" w:space="0" w:color="auto"/>
            </w:tcBorders>
          </w:tcPr>
          <w:p w14:paraId="7E2C772A" w14:textId="6AD1A4EF" w:rsidR="00766A2D" w:rsidRPr="0071647C" w:rsidRDefault="00766A2D" w:rsidP="003D7F19">
            <w:pPr>
              <w:spacing w:after="0" w:line="240" w:lineRule="auto"/>
              <w:jc w:val="center"/>
              <w:rPr>
                <w:rFonts w:eastAsia="Times New Roman" w:cs="Calibri"/>
                <w:b/>
                <w:bCs/>
                <w:color w:val="FF0000"/>
                <w:szCs w:val="24"/>
                <w:lang w:eastAsia="fr-FR"/>
              </w:rPr>
            </w:pPr>
            <w:r>
              <w:rPr>
                <w:rFonts w:eastAsia="Times New Roman" w:cs="Calibri"/>
                <w:b/>
                <w:bCs/>
                <w:color w:val="FF0000"/>
                <w:szCs w:val="24"/>
                <w:lang w:eastAsia="fr-FR"/>
              </w:rPr>
              <w:t>3,08 %</w:t>
            </w:r>
          </w:p>
        </w:tc>
      </w:tr>
    </w:tbl>
    <w:p w14:paraId="79EE2A1F" w14:textId="77777777" w:rsidR="00766A2D" w:rsidRPr="00202559" w:rsidRDefault="00766A2D" w:rsidP="00766A2D">
      <w:pPr>
        <w:rPr>
          <w:rFonts w:cs="Arial"/>
        </w:rPr>
      </w:pPr>
    </w:p>
    <w:p w14:paraId="40D2D81B" w14:textId="77777777" w:rsidR="00766A2D" w:rsidRPr="0024278F" w:rsidRDefault="00766A2D" w:rsidP="00766A2D">
      <w:pPr>
        <w:spacing w:after="0" w:line="240" w:lineRule="auto"/>
        <w:jc w:val="left"/>
        <w:rPr>
          <w:rFonts w:cs="Arial"/>
        </w:rPr>
      </w:pPr>
    </w:p>
    <w:p w14:paraId="73B94C90" w14:textId="77777777" w:rsidR="00766A2D" w:rsidRPr="00A64712" w:rsidRDefault="00766A2D" w:rsidP="00766A2D">
      <w:pPr>
        <w:spacing w:after="0" w:line="240" w:lineRule="auto"/>
        <w:jc w:val="left"/>
        <w:rPr>
          <w:rFonts w:cs="Arial"/>
        </w:rPr>
      </w:pPr>
    </w:p>
    <w:p w14:paraId="26BB1877" w14:textId="77777777" w:rsidR="00766A2D" w:rsidRDefault="00766A2D" w:rsidP="00766A2D">
      <w:pPr>
        <w:pStyle w:val="Paragraphedeliste"/>
        <w:numPr>
          <w:ilvl w:val="0"/>
          <w:numId w:val="3"/>
        </w:numPr>
        <w:rPr>
          <w:rFonts w:cs="Calibri"/>
          <w:b/>
          <w:bCs/>
          <w:color w:val="FF0000"/>
        </w:rPr>
      </w:pPr>
      <w:r>
        <w:t xml:space="preserve">Solde naturel en 2015 Allemagne : Naissances en 2015 – Décès en 2015 = </w:t>
      </w:r>
      <w:r w:rsidRPr="00A37203">
        <w:rPr>
          <w:rFonts w:cs="Calibri"/>
        </w:rPr>
        <w:t xml:space="preserve">735 179 - 923 059 = </w:t>
      </w:r>
      <w:r w:rsidRPr="00A37203">
        <w:rPr>
          <w:rFonts w:cs="Calibri"/>
          <w:b/>
          <w:bCs/>
          <w:color w:val="FF0000"/>
        </w:rPr>
        <w:t>-187</w:t>
      </w:r>
      <w:r>
        <w:rPr>
          <w:rFonts w:cs="Calibri"/>
          <w:b/>
          <w:bCs/>
          <w:color w:val="FF0000"/>
        </w:rPr>
        <w:t> </w:t>
      </w:r>
      <w:r w:rsidRPr="00A37203">
        <w:rPr>
          <w:rFonts w:cs="Calibri"/>
          <w:b/>
          <w:bCs/>
          <w:color w:val="FF0000"/>
        </w:rPr>
        <w:t>880</w:t>
      </w:r>
    </w:p>
    <w:p w14:paraId="72A65349" w14:textId="77777777" w:rsidR="00766A2D" w:rsidRPr="00D92DE4" w:rsidRDefault="00766A2D" w:rsidP="00766A2D">
      <w:pPr>
        <w:rPr>
          <w:rFonts w:cs="Calibri"/>
        </w:rPr>
      </w:pPr>
      <w:r>
        <w:rPr>
          <w:rFonts w:cs="Calibri"/>
        </w:rPr>
        <w:t xml:space="preserve">Le solde naturel de l’Allemagne étant négatif, la population allemande est susceptible de diminuer si ce n’est pas compensé par de l’apport migratoire. </w:t>
      </w:r>
    </w:p>
    <w:p w14:paraId="71D6115A" w14:textId="77777777" w:rsidR="00766A2D" w:rsidRDefault="00766A2D" w:rsidP="00766A2D">
      <w:pPr>
        <w:pStyle w:val="Paragraphedeliste"/>
        <w:numPr>
          <w:ilvl w:val="0"/>
          <w:numId w:val="3"/>
        </w:numPr>
        <w:rPr>
          <w:rFonts w:cs="Calibri"/>
          <w:b/>
          <w:bCs/>
          <w:color w:val="FF0000"/>
        </w:rPr>
      </w:pPr>
      <w:r>
        <w:t xml:space="preserve">Solde naturel en 2015 Burundi : Naissances en 2015 – Décès en 2015 = </w:t>
      </w:r>
      <w:r w:rsidRPr="00A37203">
        <w:rPr>
          <w:rFonts w:cs="Calibri"/>
        </w:rPr>
        <w:t xml:space="preserve">435 121 - 112 518 = </w:t>
      </w:r>
      <w:r w:rsidRPr="00A37203">
        <w:rPr>
          <w:rFonts w:cs="Calibri"/>
          <w:b/>
          <w:bCs/>
          <w:color w:val="FF0000"/>
        </w:rPr>
        <w:t>322</w:t>
      </w:r>
      <w:r>
        <w:rPr>
          <w:rFonts w:cs="Calibri"/>
          <w:b/>
          <w:bCs/>
          <w:color w:val="FF0000"/>
        </w:rPr>
        <w:t> </w:t>
      </w:r>
      <w:r w:rsidRPr="00A37203">
        <w:rPr>
          <w:rFonts w:cs="Calibri"/>
          <w:b/>
          <w:bCs/>
          <w:color w:val="FF0000"/>
        </w:rPr>
        <w:t>603</w:t>
      </w:r>
    </w:p>
    <w:p w14:paraId="3C649106" w14:textId="77777777" w:rsidR="00766A2D" w:rsidRPr="00D92DE4" w:rsidRDefault="00766A2D" w:rsidP="00766A2D">
      <w:pPr>
        <w:rPr>
          <w:rFonts w:cs="Calibri"/>
        </w:rPr>
      </w:pPr>
      <w:r>
        <w:rPr>
          <w:rFonts w:cs="Calibri"/>
        </w:rPr>
        <w:t xml:space="preserve">Le solde naturel au Burundi est élevé, les décès sont largement compensés par des naissances nombreuses, s’il n’y a pas trop d’émigration, la population burundaise doit être en croissance rapide. </w:t>
      </w:r>
    </w:p>
    <w:p w14:paraId="791C593C" w14:textId="77777777" w:rsidR="00766A2D" w:rsidRDefault="00766A2D" w:rsidP="00766A2D">
      <w:pPr>
        <w:pStyle w:val="Paragraphedeliste"/>
        <w:numPr>
          <w:ilvl w:val="0"/>
          <w:numId w:val="3"/>
        </w:numPr>
        <w:rPr>
          <w:rFonts w:cs="Calibri"/>
          <w:b/>
          <w:bCs/>
          <w:color w:val="FF0000"/>
        </w:rPr>
      </w:pPr>
      <w:r>
        <w:t xml:space="preserve">Solde migratoire Burundi 2015 : Population en 2016 – Population en 2015 – Solde naturel en 2015 : </w:t>
      </w:r>
      <w:r w:rsidRPr="006970B7">
        <w:rPr>
          <w:rFonts w:cs="Calibri"/>
        </w:rPr>
        <w:t>10 848</w:t>
      </w:r>
      <w:r>
        <w:rPr>
          <w:rFonts w:cs="Calibri"/>
        </w:rPr>
        <w:t> </w:t>
      </w:r>
      <w:r w:rsidRPr="006970B7">
        <w:rPr>
          <w:rFonts w:cs="Calibri"/>
        </w:rPr>
        <w:t>965</w:t>
      </w:r>
      <w:r>
        <w:rPr>
          <w:rFonts w:cs="Calibri"/>
        </w:rPr>
        <w:t xml:space="preserve"> - </w:t>
      </w:r>
      <w:r w:rsidRPr="006970B7">
        <w:rPr>
          <w:rFonts w:cs="Calibri"/>
        </w:rPr>
        <w:t>10 524</w:t>
      </w:r>
      <w:r>
        <w:rPr>
          <w:rFonts w:cs="Calibri"/>
        </w:rPr>
        <w:t> </w:t>
      </w:r>
      <w:r w:rsidRPr="006970B7">
        <w:rPr>
          <w:rFonts w:cs="Calibri"/>
        </w:rPr>
        <w:t>117</w:t>
      </w:r>
      <w:r>
        <w:rPr>
          <w:rFonts w:cs="Calibri"/>
        </w:rPr>
        <w:t xml:space="preserve"> - </w:t>
      </w:r>
      <w:r w:rsidRPr="005E4043">
        <w:rPr>
          <w:rFonts w:cs="Calibri"/>
        </w:rPr>
        <w:t>322</w:t>
      </w:r>
      <w:r>
        <w:rPr>
          <w:rFonts w:cs="Calibri"/>
        </w:rPr>
        <w:t> </w:t>
      </w:r>
      <w:r w:rsidRPr="005E4043">
        <w:rPr>
          <w:rFonts w:cs="Calibri"/>
        </w:rPr>
        <w:t>603</w:t>
      </w:r>
      <w:r>
        <w:rPr>
          <w:rFonts w:cs="Calibri"/>
        </w:rPr>
        <w:t xml:space="preserve"> = </w:t>
      </w:r>
      <w:r w:rsidRPr="005E4043">
        <w:rPr>
          <w:rFonts w:cs="Calibri"/>
          <w:b/>
          <w:bCs/>
          <w:color w:val="FF0000"/>
        </w:rPr>
        <w:t>2</w:t>
      </w:r>
      <w:r>
        <w:rPr>
          <w:rFonts w:cs="Calibri"/>
          <w:b/>
          <w:bCs/>
          <w:color w:val="FF0000"/>
        </w:rPr>
        <w:t> </w:t>
      </w:r>
      <w:r w:rsidRPr="005E4043">
        <w:rPr>
          <w:rFonts w:cs="Calibri"/>
          <w:b/>
          <w:bCs/>
          <w:color w:val="FF0000"/>
        </w:rPr>
        <w:t>245</w:t>
      </w:r>
    </w:p>
    <w:p w14:paraId="4F984CA1" w14:textId="77777777" w:rsidR="00766A2D" w:rsidRPr="00EA575B" w:rsidRDefault="00766A2D" w:rsidP="00766A2D">
      <w:pPr>
        <w:rPr>
          <w:rFonts w:cs="Calibri"/>
        </w:rPr>
      </w:pPr>
      <w:r w:rsidRPr="00EA575B">
        <w:rPr>
          <w:rFonts w:cs="Calibri"/>
        </w:rPr>
        <w:t xml:space="preserve">Le solde migratoire </w:t>
      </w:r>
      <w:r>
        <w:rPr>
          <w:rFonts w:cs="Calibri"/>
        </w:rPr>
        <w:t xml:space="preserve">du Burundi est très faible, donc l’augmentation de la population burundaise est largement liée au mouvement naturel. </w:t>
      </w:r>
    </w:p>
    <w:p w14:paraId="20C0A3D1" w14:textId="77777777" w:rsidR="00766A2D" w:rsidRDefault="00766A2D" w:rsidP="00766A2D">
      <w:pPr>
        <w:pStyle w:val="Paragraphedeliste"/>
        <w:numPr>
          <w:ilvl w:val="0"/>
          <w:numId w:val="3"/>
        </w:numPr>
        <w:rPr>
          <w:rFonts w:cs="Calibri"/>
          <w:b/>
          <w:bCs/>
          <w:color w:val="FF0000"/>
        </w:rPr>
      </w:pPr>
      <w:r>
        <w:rPr>
          <w:rFonts w:cs="Calibri"/>
        </w:rPr>
        <w:t xml:space="preserve">Population de l’Allemagne en 2016 : Population en 2015 – Solde naturel + Solde migratoire : </w:t>
      </w:r>
      <w:r w:rsidRPr="006970B7">
        <w:rPr>
          <w:rFonts w:cs="Calibri"/>
        </w:rPr>
        <w:t>82 348</w:t>
      </w:r>
      <w:r>
        <w:rPr>
          <w:rFonts w:cs="Calibri"/>
        </w:rPr>
        <w:t> </w:t>
      </w:r>
      <w:r w:rsidRPr="006970B7">
        <w:rPr>
          <w:rFonts w:cs="Calibri"/>
        </w:rPr>
        <w:t>669</w:t>
      </w:r>
      <w:r>
        <w:rPr>
          <w:rFonts w:cs="Calibri"/>
        </w:rPr>
        <w:t xml:space="preserve"> – 187 880 + 850 000 = </w:t>
      </w:r>
      <w:r w:rsidRPr="005A3945">
        <w:rPr>
          <w:rFonts w:cs="Calibri"/>
          <w:b/>
          <w:bCs/>
          <w:color w:val="FF0000"/>
        </w:rPr>
        <w:t>83 010</w:t>
      </w:r>
      <w:r>
        <w:rPr>
          <w:rFonts w:cs="Calibri"/>
          <w:b/>
          <w:bCs/>
          <w:color w:val="FF0000"/>
        </w:rPr>
        <w:t> </w:t>
      </w:r>
      <w:r w:rsidRPr="005A3945">
        <w:rPr>
          <w:rFonts w:cs="Calibri"/>
          <w:b/>
          <w:bCs/>
          <w:color w:val="FF0000"/>
        </w:rPr>
        <w:t>789</w:t>
      </w:r>
      <w:r>
        <w:rPr>
          <w:rFonts w:cs="Calibri"/>
          <w:b/>
          <w:bCs/>
          <w:color w:val="FF0000"/>
        </w:rPr>
        <w:t>.</w:t>
      </w:r>
    </w:p>
    <w:p w14:paraId="19594EE9" w14:textId="77777777" w:rsidR="00766A2D" w:rsidRPr="0033047E" w:rsidRDefault="00766A2D" w:rsidP="00766A2D">
      <w:pPr>
        <w:rPr>
          <w:rFonts w:cs="Calibri"/>
        </w:rPr>
      </w:pPr>
      <w:r>
        <w:rPr>
          <w:rFonts w:cs="Calibri"/>
        </w:rPr>
        <w:t xml:space="preserve">En Allemagne, la population entre 2015 et 2016 augmente du fait de l’apport migratoire qui permet de compenser les 187 880 individus perdus avec les mouvements naturels. </w:t>
      </w:r>
    </w:p>
    <w:p w14:paraId="12350D26" w14:textId="77777777" w:rsidR="00766A2D" w:rsidRPr="00AC6507" w:rsidRDefault="00766A2D" w:rsidP="00766A2D">
      <w:pPr>
        <w:pStyle w:val="Paragraphedeliste"/>
        <w:numPr>
          <w:ilvl w:val="0"/>
          <w:numId w:val="3"/>
        </w:numPr>
        <w:rPr>
          <w:rFonts w:cs="Calibri"/>
          <w:b/>
          <w:bCs/>
          <w:color w:val="FF0000"/>
        </w:rPr>
      </w:pPr>
      <w:r>
        <w:rPr>
          <w:rFonts w:cs="Calibri"/>
        </w:rPr>
        <w:t xml:space="preserve">Taux de natalité Allemagne 2015 : Naissances en 2015 / Population moyenne en 2015 ((Population 2015 + Population 2016) / 2) * 1000 = </w:t>
      </w:r>
      <w:r w:rsidRPr="006970B7">
        <w:rPr>
          <w:rFonts w:cs="Calibri"/>
        </w:rPr>
        <w:t>735</w:t>
      </w:r>
      <w:r>
        <w:rPr>
          <w:rFonts w:cs="Calibri"/>
        </w:rPr>
        <w:t> </w:t>
      </w:r>
      <w:r w:rsidRPr="006970B7">
        <w:rPr>
          <w:rFonts w:cs="Calibri"/>
        </w:rPr>
        <w:t>179</w:t>
      </w:r>
      <w:r>
        <w:rPr>
          <w:rFonts w:cs="Calibri"/>
        </w:rPr>
        <w:t xml:space="preserve"> / ((</w:t>
      </w:r>
      <w:r w:rsidRPr="006970B7">
        <w:rPr>
          <w:rFonts w:cs="Calibri"/>
        </w:rPr>
        <w:t>82 348</w:t>
      </w:r>
      <w:r>
        <w:rPr>
          <w:rFonts w:cs="Calibri"/>
        </w:rPr>
        <w:t> </w:t>
      </w:r>
      <w:r w:rsidRPr="006970B7">
        <w:rPr>
          <w:rFonts w:cs="Calibri"/>
        </w:rPr>
        <w:t>669</w:t>
      </w:r>
      <w:r>
        <w:rPr>
          <w:rFonts w:cs="Calibri"/>
        </w:rPr>
        <w:t xml:space="preserve"> + </w:t>
      </w:r>
      <w:r w:rsidRPr="00E368C8">
        <w:rPr>
          <w:rFonts w:cs="Calibri"/>
          <w:color w:val="000000" w:themeColor="text1"/>
        </w:rPr>
        <w:t>83 010 789)</w:t>
      </w:r>
      <w:r>
        <w:rPr>
          <w:rFonts w:cs="Calibri"/>
          <w:color w:val="000000" w:themeColor="text1"/>
        </w:rPr>
        <w:t xml:space="preserve"> / 2 ) * 1000 = </w:t>
      </w:r>
      <w:r w:rsidRPr="00675012">
        <w:rPr>
          <w:rFonts w:cs="Calibri"/>
          <w:b/>
          <w:bCs/>
          <w:color w:val="FF0000"/>
        </w:rPr>
        <w:t>8,9</w:t>
      </w:r>
      <w:r w:rsidRPr="00675012">
        <w:rPr>
          <w:rFonts w:cs="Calibri"/>
          <w:color w:val="FF0000"/>
        </w:rPr>
        <w:t xml:space="preserve"> </w:t>
      </w:r>
      <w:r>
        <w:rPr>
          <w:rFonts w:cs="Calibri"/>
          <w:color w:val="000000" w:themeColor="text1"/>
        </w:rPr>
        <w:t xml:space="preserve">Naissances pour 1000 habitants. </w:t>
      </w:r>
    </w:p>
    <w:p w14:paraId="18462FBE" w14:textId="77777777" w:rsidR="00766A2D" w:rsidRPr="00AC6507" w:rsidRDefault="00766A2D" w:rsidP="00766A2D">
      <w:pPr>
        <w:rPr>
          <w:rFonts w:cs="Calibri"/>
        </w:rPr>
      </w:pPr>
      <w:r>
        <w:rPr>
          <w:rFonts w:cs="Calibri"/>
        </w:rPr>
        <w:t xml:space="preserve">Le taux de natalité en Allemagne est très faible, seulement 8,9 naissances pour 1000 habitants. L’Allemagne est sans doute un pays vieillissant. </w:t>
      </w:r>
    </w:p>
    <w:p w14:paraId="57A243B2" w14:textId="77777777" w:rsidR="00766A2D" w:rsidRPr="000F185A" w:rsidRDefault="00766A2D" w:rsidP="00766A2D">
      <w:pPr>
        <w:pStyle w:val="Paragraphedeliste"/>
        <w:numPr>
          <w:ilvl w:val="0"/>
          <w:numId w:val="3"/>
        </w:numPr>
        <w:rPr>
          <w:rFonts w:cs="Calibri"/>
          <w:b/>
          <w:bCs/>
          <w:color w:val="FF0000"/>
        </w:rPr>
      </w:pPr>
      <w:r w:rsidRPr="00DA5684">
        <w:rPr>
          <w:rFonts w:cs="Calibri"/>
        </w:rPr>
        <w:t>Taux de natalité Burundi 2015 : Naissances en 2015 / Population moyenne en 2015 ((Population 2015 + Population 2016) / 2) * 1000 = 435 121/ ((10 524 117 +10 848 965</w:t>
      </w:r>
      <w:r w:rsidRPr="00DA5684">
        <w:rPr>
          <w:rFonts w:cs="Calibri"/>
          <w:color w:val="000000" w:themeColor="text1"/>
        </w:rPr>
        <w:t xml:space="preserve">) / 2 ) * 1000 = </w:t>
      </w:r>
      <w:r w:rsidRPr="00DA5684">
        <w:rPr>
          <w:rFonts w:cs="Calibri"/>
          <w:b/>
          <w:bCs/>
          <w:color w:val="FF0000"/>
        </w:rPr>
        <w:t>40,7</w:t>
      </w:r>
      <w:r w:rsidRPr="00DA5684">
        <w:rPr>
          <w:rFonts w:cs="Calibri"/>
          <w:color w:val="FF0000"/>
        </w:rPr>
        <w:t xml:space="preserve"> </w:t>
      </w:r>
      <w:r w:rsidRPr="00DA5684">
        <w:rPr>
          <w:rFonts w:cs="Calibri"/>
          <w:color w:val="000000" w:themeColor="text1"/>
        </w:rPr>
        <w:t xml:space="preserve">Naissances pour 1000 habitants. </w:t>
      </w:r>
    </w:p>
    <w:p w14:paraId="070BDBEF" w14:textId="77777777" w:rsidR="00766A2D" w:rsidRPr="000F185A" w:rsidRDefault="00766A2D" w:rsidP="00766A2D">
      <w:pPr>
        <w:rPr>
          <w:rFonts w:cs="Calibri"/>
        </w:rPr>
      </w:pPr>
      <w:r>
        <w:rPr>
          <w:rFonts w:cs="Calibri"/>
        </w:rPr>
        <w:t xml:space="preserve">Le taux de natalité au Burundi est élevé, 40,7 naissances pour 1000 habitants, il au niveau des taux de natalité du début de la transition démographique. </w:t>
      </w:r>
    </w:p>
    <w:p w14:paraId="6D011240" w14:textId="77777777" w:rsidR="00766A2D" w:rsidRPr="00EF0237" w:rsidRDefault="00766A2D" w:rsidP="00766A2D">
      <w:pPr>
        <w:pStyle w:val="Paragraphedeliste"/>
        <w:numPr>
          <w:ilvl w:val="0"/>
          <w:numId w:val="3"/>
        </w:numPr>
        <w:rPr>
          <w:rFonts w:cs="Calibri"/>
          <w:b/>
          <w:bCs/>
          <w:color w:val="FF0000"/>
        </w:rPr>
      </w:pPr>
      <w:r w:rsidRPr="006D213B">
        <w:rPr>
          <w:rFonts w:cs="Calibri"/>
        </w:rPr>
        <w:lastRenderedPageBreak/>
        <w:t xml:space="preserve">Taux de </w:t>
      </w:r>
      <w:r>
        <w:rPr>
          <w:rFonts w:cs="Calibri"/>
        </w:rPr>
        <w:t>mortalité</w:t>
      </w:r>
      <w:r w:rsidRPr="006D213B">
        <w:rPr>
          <w:rFonts w:cs="Calibri"/>
        </w:rPr>
        <w:t xml:space="preserve"> Burundi 2015 : </w:t>
      </w:r>
      <w:r>
        <w:rPr>
          <w:rFonts w:cs="Calibri"/>
        </w:rPr>
        <w:t>Décès</w:t>
      </w:r>
      <w:r w:rsidRPr="006D213B">
        <w:rPr>
          <w:rFonts w:cs="Calibri"/>
        </w:rPr>
        <w:t xml:space="preserve"> en 2015 / Population moyenne en 2015 ((Population 2015 + Population 2016) / 2) * 1000 = </w:t>
      </w:r>
      <w:r w:rsidRPr="006970B7">
        <w:rPr>
          <w:rFonts w:cs="Calibri"/>
        </w:rPr>
        <w:t>112 518</w:t>
      </w:r>
      <w:r w:rsidRPr="006D213B">
        <w:rPr>
          <w:rFonts w:cs="Calibri"/>
        </w:rPr>
        <w:t>/ ((10 524 117 +10 848 965</w:t>
      </w:r>
      <w:r w:rsidRPr="006D213B">
        <w:rPr>
          <w:rFonts w:cs="Calibri"/>
          <w:color w:val="000000" w:themeColor="text1"/>
        </w:rPr>
        <w:t xml:space="preserve">) / 2 ) * 1000 = </w:t>
      </w:r>
      <w:r>
        <w:rPr>
          <w:rFonts w:cs="Calibri"/>
          <w:b/>
          <w:bCs/>
          <w:color w:val="FF0000"/>
        </w:rPr>
        <w:t>10,5</w:t>
      </w:r>
      <w:r w:rsidRPr="006D213B">
        <w:rPr>
          <w:rFonts w:cs="Calibri"/>
          <w:color w:val="FF0000"/>
        </w:rPr>
        <w:t xml:space="preserve"> </w:t>
      </w:r>
      <w:r>
        <w:rPr>
          <w:rFonts w:cs="Calibri"/>
          <w:color w:val="000000" w:themeColor="text1"/>
        </w:rPr>
        <w:t>Décès</w:t>
      </w:r>
      <w:r w:rsidRPr="006D213B">
        <w:rPr>
          <w:rFonts w:cs="Calibri"/>
          <w:color w:val="000000" w:themeColor="text1"/>
        </w:rPr>
        <w:t xml:space="preserve"> pour 1000 habitants. </w:t>
      </w:r>
    </w:p>
    <w:p w14:paraId="5D260474" w14:textId="77777777" w:rsidR="00766A2D" w:rsidRPr="00EF0237" w:rsidRDefault="00766A2D" w:rsidP="00766A2D">
      <w:pPr>
        <w:rPr>
          <w:rFonts w:cs="Calibri"/>
        </w:rPr>
      </w:pPr>
      <w:r>
        <w:rPr>
          <w:rFonts w:cs="Calibri"/>
        </w:rPr>
        <w:t xml:space="preserve">Le taux de mortalité au Burundi est proche de celui de l’Allemagne, il est même plus faible. Cela ne signifie pas forcément que les conditions de mortalité sont identiques ou meilleures au Burundi, car les taux bruts sont dépendants de la structure par âge de la population. En effet, si le Burundi possède un taux de natalité très fort, cela signifie qu’il possède beaucoup d’enfants dans sa population, par conséquent plus de personnes jeunes qui ne sont pas en âge de mourir. C’est ce qui explique que le taux de mortalité soit plus faible qu’en Allemagne. </w:t>
      </w:r>
    </w:p>
    <w:p w14:paraId="1685C2DD" w14:textId="77777777" w:rsidR="00766A2D" w:rsidRPr="00405690" w:rsidRDefault="00766A2D" w:rsidP="00766A2D">
      <w:pPr>
        <w:pStyle w:val="Paragraphedeliste"/>
        <w:numPr>
          <w:ilvl w:val="0"/>
          <w:numId w:val="3"/>
        </w:numPr>
        <w:rPr>
          <w:rFonts w:cs="Calibri"/>
          <w:b/>
          <w:bCs/>
          <w:color w:val="FF0000"/>
        </w:rPr>
      </w:pPr>
      <w:r>
        <w:rPr>
          <w:rFonts w:cs="Calibri"/>
        </w:rPr>
        <w:t xml:space="preserve">Taux de mortalité Allemagne 2015 : Décès en 2015 / Population moyenne en 2015 ((Population 2015 + Population 2016) / 2) * 1000 = </w:t>
      </w:r>
      <w:r w:rsidRPr="006970B7">
        <w:rPr>
          <w:rFonts w:cs="Calibri"/>
        </w:rPr>
        <w:t>923 059</w:t>
      </w:r>
      <w:r>
        <w:rPr>
          <w:rFonts w:cs="Calibri"/>
        </w:rPr>
        <w:t xml:space="preserve"> / ((</w:t>
      </w:r>
      <w:r w:rsidRPr="006970B7">
        <w:rPr>
          <w:rFonts w:cs="Calibri"/>
        </w:rPr>
        <w:t>82 348</w:t>
      </w:r>
      <w:r>
        <w:rPr>
          <w:rFonts w:cs="Calibri"/>
        </w:rPr>
        <w:t> </w:t>
      </w:r>
      <w:r w:rsidRPr="006970B7">
        <w:rPr>
          <w:rFonts w:cs="Calibri"/>
        </w:rPr>
        <w:t>669</w:t>
      </w:r>
      <w:r>
        <w:rPr>
          <w:rFonts w:cs="Calibri"/>
        </w:rPr>
        <w:t xml:space="preserve"> + </w:t>
      </w:r>
      <w:r w:rsidRPr="00E368C8">
        <w:rPr>
          <w:rFonts w:cs="Calibri"/>
          <w:color w:val="000000" w:themeColor="text1"/>
        </w:rPr>
        <w:t>83 010 789)</w:t>
      </w:r>
      <w:r>
        <w:rPr>
          <w:rFonts w:cs="Calibri"/>
          <w:color w:val="000000" w:themeColor="text1"/>
        </w:rPr>
        <w:t xml:space="preserve"> / 2 ) * 1000 = </w:t>
      </w:r>
      <w:r>
        <w:rPr>
          <w:rFonts w:cs="Calibri"/>
          <w:b/>
          <w:bCs/>
          <w:color w:val="FF0000"/>
        </w:rPr>
        <w:t>11,4</w:t>
      </w:r>
      <w:r w:rsidRPr="00675012">
        <w:rPr>
          <w:rFonts w:cs="Calibri"/>
          <w:color w:val="FF0000"/>
        </w:rPr>
        <w:t xml:space="preserve"> </w:t>
      </w:r>
      <w:r>
        <w:rPr>
          <w:rFonts w:cs="Calibri"/>
          <w:color w:val="000000" w:themeColor="text1"/>
        </w:rPr>
        <w:t xml:space="preserve">Décès pour 1000 habitants. </w:t>
      </w:r>
    </w:p>
    <w:p w14:paraId="24916144" w14:textId="77777777" w:rsidR="00766A2D" w:rsidRPr="00405690" w:rsidRDefault="00766A2D" w:rsidP="00766A2D">
      <w:pPr>
        <w:rPr>
          <w:rFonts w:cs="Calibri"/>
        </w:rPr>
      </w:pPr>
      <w:r>
        <w:rPr>
          <w:rFonts w:cs="Calibri"/>
        </w:rPr>
        <w:t xml:space="preserve">Le taux de mortalité en Allemagne est plus élevé qu’au Burundi, car l’Allemagne est un pays vieillissant avec une natalité très faible. Comme les taux bruts sont dépendants de la structure par âge, s’il y a plus de personnes âgées en âge de mourir, le taux sera plus élevé en Allemagne. Néanmoins, ce taux ne nous dit pas grand-chose des conditions réelles de la mortalité en Allemagne, il faudrait plutôt aller regarder l’espérance de vie. </w:t>
      </w:r>
    </w:p>
    <w:p w14:paraId="784D4464" w14:textId="77777777" w:rsidR="00766A2D" w:rsidRPr="00577146" w:rsidRDefault="00766A2D" w:rsidP="00766A2D">
      <w:pPr>
        <w:pStyle w:val="Paragraphedeliste"/>
        <w:numPr>
          <w:ilvl w:val="0"/>
          <w:numId w:val="3"/>
        </w:numPr>
        <w:rPr>
          <w:rFonts w:cs="Calibri"/>
          <w:b/>
          <w:bCs/>
          <w:color w:val="FF0000"/>
        </w:rPr>
      </w:pPr>
      <w:r>
        <w:rPr>
          <w:rFonts w:cs="Calibri"/>
        </w:rPr>
        <w:t xml:space="preserve">Taux d’accroissement naturel Burundi en 2015 : Taux de natalité en 2015 -Taux de mortalité en 2015 : 40,7 – 10,5 = </w:t>
      </w:r>
      <w:r w:rsidRPr="005A5CDC">
        <w:rPr>
          <w:rFonts w:cs="Calibri"/>
          <w:b/>
          <w:bCs/>
          <w:color w:val="FF0000"/>
        </w:rPr>
        <w:t>30,2</w:t>
      </w:r>
      <w:r>
        <w:rPr>
          <w:rFonts w:cs="Calibri"/>
        </w:rPr>
        <w:t>.</w:t>
      </w:r>
    </w:p>
    <w:p w14:paraId="4745B699" w14:textId="77777777" w:rsidR="00766A2D" w:rsidRPr="00577146" w:rsidRDefault="00766A2D" w:rsidP="00766A2D">
      <w:pPr>
        <w:rPr>
          <w:rFonts w:cs="Calibri"/>
        </w:rPr>
      </w:pPr>
      <w:r>
        <w:rPr>
          <w:rFonts w:cs="Calibri"/>
        </w:rPr>
        <w:t xml:space="preserve">Le taux d’accroissement naturel nous permet de mesurer combien d’individus sont observés en plus chaque année pour 1000 habitants en prenant en compte uniquement les mouvements naturels. Ce taux est de 30,2 naissances en plus pour 1000 habitants au Burundi. Les décès sont donc largement compensés par les naissances. </w:t>
      </w:r>
    </w:p>
    <w:p w14:paraId="587AF89A" w14:textId="77777777" w:rsidR="00766A2D" w:rsidRPr="00D92DE4" w:rsidRDefault="00766A2D" w:rsidP="00766A2D">
      <w:pPr>
        <w:pStyle w:val="Paragraphedeliste"/>
        <w:numPr>
          <w:ilvl w:val="0"/>
          <w:numId w:val="3"/>
        </w:numPr>
        <w:rPr>
          <w:rFonts w:cs="Calibri"/>
          <w:b/>
          <w:bCs/>
          <w:color w:val="FF0000"/>
        </w:rPr>
      </w:pPr>
      <w:r>
        <w:rPr>
          <w:rFonts w:cs="Calibri"/>
        </w:rPr>
        <w:t xml:space="preserve">Taux d’accroissement naturel Allemagne en 2015 : Taux de natalité en 2015 -Taux de mortalité en 2015 : 8,9 – 11,4 = </w:t>
      </w:r>
      <w:r>
        <w:rPr>
          <w:rFonts w:cs="Calibri"/>
          <w:b/>
          <w:bCs/>
          <w:color w:val="FF0000"/>
        </w:rPr>
        <w:t>-2,3</w:t>
      </w:r>
      <w:r>
        <w:rPr>
          <w:rFonts w:cs="Calibri"/>
        </w:rPr>
        <w:t>.</w:t>
      </w:r>
    </w:p>
    <w:p w14:paraId="00A010CE" w14:textId="77777777" w:rsidR="00766A2D" w:rsidRDefault="00766A2D" w:rsidP="00766A2D">
      <w:pPr>
        <w:rPr>
          <w:rFonts w:cs="Calibri"/>
        </w:rPr>
      </w:pPr>
      <w:r>
        <w:rPr>
          <w:rFonts w:cs="Calibri"/>
        </w:rPr>
        <w:t xml:space="preserve">En Allemagne, les naissances ne compensent pas suffisamment les décès, pour 1000 habitant l’Allemagne perd environ 2,3 individus chaque année en prenant en compte uniquement les mouvements naturels. Sans l’aide de la migration, l’Allemagne perdrait des habitants. </w:t>
      </w:r>
    </w:p>
    <w:p w14:paraId="4F68E9FA" w14:textId="17724FE3" w:rsidR="00766A2D" w:rsidRDefault="00766A2D" w:rsidP="00766A2D">
      <w:pPr>
        <w:pStyle w:val="Paragraphedeliste"/>
        <w:numPr>
          <w:ilvl w:val="0"/>
          <w:numId w:val="3"/>
        </w:numPr>
        <w:rPr>
          <w:rFonts w:cs="Calibri"/>
        </w:rPr>
      </w:pPr>
      <w:r>
        <w:rPr>
          <w:rFonts w:cs="Calibri"/>
        </w:rPr>
        <w:t xml:space="preserve">Taux d’accroissement annuel moyen </w:t>
      </w:r>
    </w:p>
    <w:p w14:paraId="29ED5FA3" w14:textId="7072F838" w:rsidR="00766A2D" w:rsidRPr="00766A2D" w:rsidRDefault="00766A2D" w:rsidP="00766A2D">
      <w:pPr>
        <w:rPr>
          <w:rFonts w:eastAsiaTheme="minorEastAsia" w:cs="Calibri"/>
        </w:rPr>
      </w:pPr>
      <m:oMathPara>
        <m:oMath>
          <m:r>
            <w:rPr>
              <w:rFonts w:ascii="Cambria Math" w:hAnsi="Cambria Math" w:cs="Calibri"/>
            </w:rPr>
            <m:t>(</m:t>
          </m:r>
          <m:sSup>
            <m:sSupPr>
              <m:ctrlPr>
                <w:rPr>
                  <w:rFonts w:ascii="Cambria Math" w:hAnsi="Cambria Math" w:cs="Calibri"/>
                  <w:i/>
                </w:rPr>
              </m:ctrlPr>
            </m:sSupPr>
            <m:e>
              <m:f>
                <m:fPr>
                  <m:ctrlPr>
                    <w:rPr>
                      <w:rFonts w:ascii="Cambria Math" w:hAnsi="Cambria Math" w:cs="Calibri"/>
                      <w:i/>
                    </w:rPr>
                  </m:ctrlPr>
                </m:fPr>
                <m:num>
                  <m:r>
                    <w:rPr>
                      <w:rFonts w:ascii="Cambria Math" w:hAnsi="Cambria Math" w:cs="Calibri"/>
                    </w:rPr>
                    <m:t>P 2016</m:t>
                  </m:r>
                </m:num>
                <m:den>
                  <m:r>
                    <w:rPr>
                      <w:rFonts w:ascii="Cambria Math" w:hAnsi="Cambria Math" w:cs="Calibri"/>
                    </w:rPr>
                    <m:t>P 2015</m:t>
                  </m:r>
                </m:den>
              </m:f>
              <m:r>
                <w:rPr>
                  <w:rFonts w:ascii="Cambria Math" w:hAnsi="Cambria Math" w:cs="Calibri"/>
                </w:rPr>
                <m:t>)</m:t>
              </m:r>
            </m:e>
            <m:sup>
              <m:f>
                <m:fPr>
                  <m:ctrlPr>
                    <w:rPr>
                      <w:rFonts w:ascii="Cambria Math" w:hAnsi="Cambria Math" w:cs="Calibri"/>
                      <w:i/>
                    </w:rPr>
                  </m:ctrlPr>
                </m:fPr>
                <m:num>
                  <m:r>
                    <w:rPr>
                      <w:rFonts w:ascii="Cambria Math" w:hAnsi="Cambria Math" w:cs="Calibri"/>
                    </w:rPr>
                    <m:t>1</m:t>
                  </m:r>
                </m:num>
                <m:den>
                  <m:r>
                    <w:rPr>
                      <w:rFonts w:ascii="Cambria Math" w:hAnsi="Cambria Math" w:cs="Calibri"/>
                    </w:rPr>
                    <m:t>durée</m:t>
                  </m:r>
                </m:den>
              </m:f>
            </m:sup>
          </m:sSup>
          <m:r>
            <w:rPr>
              <w:rFonts w:ascii="Cambria Math" w:hAnsi="Cambria Math" w:cs="Calibri"/>
            </w:rPr>
            <m:t>-1)×100</m:t>
          </m:r>
        </m:oMath>
      </m:oMathPara>
    </w:p>
    <w:p w14:paraId="1993B74F" w14:textId="10F45942" w:rsidR="00766A2D" w:rsidRDefault="00766A2D" w:rsidP="00766A2D">
      <w:pPr>
        <w:rPr>
          <w:rFonts w:eastAsiaTheme="minorEastAsia" w:cs="Calibri"/>
        </w:rPr>
      </w:pPr>
      <w:r>
        <w:rPr>
          <w:rFonts w:eastAsiaTheme="minorEastAsia" w:cs="Calibri"/>
        </w:rPr>
        <w:t xml:space="preserve">Soit pour l’Allemagne </w:t>
      </w:r>
    </w:p>
    <w:p w14:paraId="1D8F5FE1" w14:textId="1E9A4548" w:rsidR="00766A2D" w:rsidRPr="00766A2D" w:rsidRDefault="00766A2D" w:rsidP="00766A2D">
      <w:pPr>
        <w:rPr>
          <w:rFonts w:eastAsiaTheme="minorEastAsia" w:cs="Calibri"/>
        </w:rPr>
      </w:pPr>
      <m:oMathPara>
        <m:oMath>
          <m:d>
            <m:dPr>
              <m:ctrlPr>
                <w:rPr>
                  <w:rFonts w:ascii="Cambria Math" w:hAnsi="Cambria Math" w:cs="Calibri"/>
                  <w:i/>
                </w:rPr>
              </m:ctrlPr>
            </m:dPr>
            <m:e>
              <m:sSup>
                <m:sSupPr>
                  <m:ctrlPr>
                    <w:rPr>
                      <w:rFonts w:ascii="Cambria Math" w:hAnsi="Cambria Math" w:cs="Calibri"/>
                      <w:i/>
                    </w:rPr>
                  </m:ctrlPr>
                </m:sSupPr>
                <m:e>
                  <m:f>
                    <m:fPr>
                      <m:ctrlPr>
                        <w:rPr>
                          <w:rFonts w:ascii="Cambria Math" w:hAnsi="Cambria Math" w:cs="Calibri"/>
                          <w:i/>
                        </w:rPr>
                      </m:ctrlPr>
                    </m:fPr>
                    <m:num>
                      <m:r>
                        <w:rPr>
                          <w:rFonts w:ascii="Cambria Math" w:hAnsi="Cambria Math" w:cs="Calibri"/>
                        </w:rPr>
                        <m:t>83 010 789</m:t>
                      </m:r>
                    </m:num>
                    <m:den>
                      <m:r>
                        <w:rPr>
                          <w:rFonts w:ascii="Cambria Math" w:hAnsi="Cambria Math" w:cs="Calibri"/>
                        </w:rPr>
                        <m:t>82 348 669</m:t>
                      </m:r>
                    </m:den>
                  </m:f>
                  <m:r>
                    <w:rPr>
                      <w:rFonts w:ascii="Cambria Math" w:hAnsi="Cambria Math" w:cs="Calibri"/>
                    </w:rPr>
                    <m:t>)</m:t>
                  </m:r>
                </m:e>
                <m:sup>
                  <m:f>
                    <m:fPr>
                      <m:ctrlPr>
                        <w:rPr>
                          <w:rFonts w:ascii="Cambria Math" w:hAnsi="Cambria Math" w:cs="Calibri"/>
                          <w:i/>
                        </w:rPr>
                      </m:ctrlPr>
                    </m:fPr>
                    <m:num>
                      <m:r>
                        <w:rPr>
                          <w:rFonts w:ascii="Cambria Math" w:hAnsi="Cambria Math" w:cs="Calibri"/>
                        </w:rPr>
                        <m:t>1</m:t>
                      </m:r>
                    </m:num>
                    <m:den>
                      <m:r>
                        <w:rPr>
                          <w:rFonts w:ascii="Cambria Math" w:hAnsi="Cambria Math" w:cs="Calibri"/>
                        </w:rPr>
                        <m:t>1</m:t>
                      </m:r>
                    </m:den>
                  </m:f>
                </m:sup>
              </m:sSup>
              <m:r>
                <w:rPr>
                  <w:rFonts w:ascii="Cambria Math" w:hAnsi="Cambria Math" w:cs="Calibri"/>
                </w:rPr>
                <m:t>-1</m:t>
              </m:r>
            </m:e>
          </m:d>
          <m:r>
            <w:rPr>
              <w:rFonts w:ascii="Cambria Math" w:hAnsi="Cambria Math" w:cs="Calibri"/>
            </w:rPr>
            <m:t>×100</m:t>
          </m:r>
          <m:r>
            <w:rPr>
              <w:rFonts w:ascii="Cambria Math" w:hAnsi="Cambria Math" w:cs="Calibri"/>
            </w:rPr>
            <m:t>= -0,2 %</m:t>
          </m:r>
        </m:oMath>
      </m:oMathPara>
    </w:p>
    <w:p w14:paraId="6C626C3F" w14:textId="4F89677B" w:rsidR="00766A2D" w:rsidRDefault="00766A2D" w:rsidP="00766A2D">
      <w:pPr>
        <w:rPr>
          <w:rFonts w:cs="Calibri"/>
        </w:rPr>
      </w:pPr>
      <w:r>
        <w:rPr>
          <w:rFonts w:cs="Calibri"/>
        </w:rPr>
        <w:t xml:space="preserve">Et pour le Burundi </w:t>
      </w:r>
    </w:p>
    <w:p w14:paraId="070FAC98" w14:textId="671FCFE5" w:rsidR="00766A2D" w:rsidRPr="00766A2D" w:rsidRDefault="00766A2D" w:rsidP="00766A2D">
      <w:pPr>
        <w:rPr>
          <w:rFonts w:eastAsiaTheme="minorEastAsia" w:cs="Calibri"/>
        </w:rPr>
      </w:pPr>
      <m:oMathPara>
        <m:oMath>
          <m:d>
            <m:dPr>
              <m:ctrlPr>
                <w:rPr>
                  <w:rFonts w:ascii="Cambria Math" w:hAnsi="Cambria Math" w:cs="Calibri"/>
                  <w:i/>
                </w:rPr>
              </m:ctrlPr>
            </m:dPr>
            <m:e>
              <m:sSup>
                <m:sSupPr>
                  <m:ctrlPr>
                    <w:rPr>
                      <w:rFonts w:ascii="Cambria Math" w:hAnsi="Cambria Math" w:cs="Calibri"/>
                      <w:i/>
                    </w:rPr>
                  </m:ctrlPr>
                </m:sSupPr>
                <m:e>
                  <m:f>
                    <m:fPr>
                      <m:ctrlPr>
                        <w:rPr>
                          <w:rFonts w:ascii="Cambria Math" w:hAnsi="Cambria Math" w:cs="Calibri"/>
                          <w:i/>
                        </w:rPr>
                      </m:ctrlPr>
                    </m:fPr>
                    <m:num>
                      <m:r>
                        <m:rPr>
                          <m:sty m:val="p"/>
                        </m:rPr>
                        <w:rPr>
                          <w:rFonts w:ascii="Cambria Math" w:hAnsi="Cambria Math" w:cs="Calibri"/>
                        </w:rPr>
                        <m:t>10 524 117</m:t>
                      </m:r>
                    </m:num>
                    <m:den>
                      <m:r>
                        <m:rPr>
                          <m:sty m:val="p"/>
                        </m:rPr>
                        <w:rPr>
                          <w:rFonts w:ascii="Cambria Math" w:hAnsi="Cambria Math" w:cs="Calibri"/>
                        </w:rPr>
                        <m:t>10 848 965</m:t>
                      </m:r>
                    </m:den>
                  </m:f>
                  <m:r>
                    <w:rPr>
                      <w:rFonts w:ascii="Cambria Math" w:hAnsi="Cambria Math" w:cs="Calibri"/>
                    </w:rPr>
                    <m:t>)</m:t>
                  </m:r>
                </m:e>
                <m:sup>
                  <m:f>
                    <m:fPr>
                      <m:ctrlPr>
                        <w:rPr>
                          <w:rFonts w:ascii="Cambria Math" w:hAnsi="Cambria Math" w:cs="Calibri"/>
                          <w:i/>
                        </w:rPr>
                      </m:ctrlPr>
                    </m:fPr>
                    <m:num>
                      <m:r>
                        <w:rPr>
                          <w:rFonts w:ascii="Cambria Math" w:hAnsi="Cambria Math" w:cs="Calibri"/>
                        </w:rPr>
                        <m:t>1</m:t>
                      </m:r>
                    </m:num>
                    <m:den>
                      <m:r>
                        <w:rPr>
                          <w:rFonts w:ascii="Cambria Math" w:hAnsi="Cambria Math" w:cs="Calibri"/>
                        </w:rPr>
                        <m:t>1</m:t>
                      </m:r>
                    </m:den>
                  </m:f>
                </m:sup>
              </m:sSup>
              <m:r>
                <w:rPr>
                  <w:rFonts w:ascii="Cambria Math" w:hAnsi="Cambria Math" w:cs="Calibri"/>
                </w:rPr>
                <m:t>-1</m:t>
              </m:r>
            </m:e>
          </m:d>
          <m:r>
            <w:rPr>
              <w:rFonts w:ascii="Cambria Math" w:hAnsi="Cambria Math" w:cs="Calibri"/>
            </w:rPr>
            <m:t xml:space="preserve">×100= </m:t>
          </m:r>
          <m:r>
            <w:rPr>
              <w:rFonts w:ascii="Cambria Math" w:hAnsi="Cambria Math" w:cs="Calibri"/>
            </w:rPr>
            <m:t>3,08</m:t>
          </m:r>
          <m:r>
            <w:rPr>
              <w:rFonts w:ascii="Cambria Math" w:hAnsi="Cambria Math" w:cs="Calibri"/>
            </w:rPr>
            <m:t xml:space="preserve"> %</m:t>
          </m:r>
        </m:oMath>
      </m:oMathPara>
    </w:p>
    <w:p w14:paraId="58F25824" w14:textId="77777777" w:rsidR="00766A2D" w:rsidRPr="00766A2D" w:rsidRDefault="00766A2D" w:rsidP="00766A2D">
      <w:pPr>
        <w:rPr>
          <w:rFonts w:cs="Calibr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0"/>
        <w:gridCol w:w="1347"/>
        <w:gridCol w:w="1439"/>
        <w:gridCol w:w="1497"/>
        <w:gridCol w:w="1439"/>
      </w:tblGrid>
      <w:tr w:rsidR="00766A2D" w:rsidRPr="00246B19" w14:paraId="54C1C6A4" w14:textId="77777777" w:rsidTr="003D7F19">
        <w:tc>
          <w:tcPr>
            <w:tcW w:w="2856" w:type="dxa"/>
            <w:tcBorders>
              <w:top w:val="single" w:sz="4" w:space="0" w:color="auto"/>
              <w:left w:val="single" w:sz="4" w:space="0" w:color="auto"/>
              <w:bottom w:val="single" w:sz="4" w:space="0" w:color="auto"/>
              <w:right w:val="single" w:sz="4" w:space="0" w:color="auto"/>
            </w:tcBorders>
            <w:vAlign w:val="center"/>
            <w:hideMark/>
          </w:tcPr>
          <w:p w14:paraId="17B14EAF" w14:textId="77777777" w:rsidR="00766A2D" w:rsidRPr="00246B19" w:rsidRDefault="00766A2D" w:rsidP="003D7F19">
            <w:pPr>
              <w:spacing w:line="240" w:lineRule="auto"/>
              <w:rPr>
                <w:rFonts w:cs="Calibri"/>
              </w:rPr>
            </w:pPr>
            <w:r w:rsidRPr="00246B19">
              <w:rPr>
                <w:rFonts w:cs="Calibri"/>
              </w:rPr>
              <w:lastRenderedPageBreak/>
              <w:t>Groupes d’âges</w:t>
            </w:r>
          </w:p>
        </w:tc>
        <w:tc>
          <w:tcPr>
            <w:tcW w:w="1352" w:type="dxa"/>
            <w:tcBorders>
              <w:top w:val="single" w:sz="4" w:space="0" w:color="auto"/>
              <w:left w:val="single" w:sz="4" w:space="0" w:color="auto"/>
              <w:bottom w:val="single" w:sz="4" w:space="0" w:color="auto"/>
              <w:right w:val="single" w:sz="4" w:space="0" w:color="auto"/>
            </w:tcBorders>
            <w:vAlign w:val="center"/>
            <w:hideMark/>
          </w:tcPr>
          <w:p w14:paraId="08244A9F" w14:textId="77777777" w:rsidR="00766A2D" w:rsidRPr="00246B19" w:rsidRDefault="00766A2D" w:rsidP="003D7F19">
            <w:pPr>
              <w:jc w:val="center"/>
              <w:rPr>
                <w:rFonts w:cs="Calibri"/>
              </w:rPr>
            </w:pPr>
            <w:r w:rsidRPr="00246B19">
              <w:rPr>
                <w:rFonts w:eastAsia="Times New Roman" w:cs="Calibri"/>
                <w:b/>
                <w:lang w:eastAsia="fr-FR"/>
              </w:rPr>
              <w:t>Allemagne</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34F79D5" w14:textId="77777777" w:rsidR="00766A2D" w:rsidRPr="00246B19" w:rsidRDefault="00766A2D" w:rsidP="003D7F19">
            <w:pPr>
              <w:jc w:val="center"/>
              <w:rPr>
                <w:rFonts w:eastAsia="Times New Roman" w:cs="Calibri"/>
                <w:b/>
                <w:lang w:eastAsia="fr-FR"/>
              </w:rPr>
            </w:pPr>
            <w:r w:rsidRPr="00246B19">
              <w:rPr>
                <w:rFonts w:eastAsia="Times New Roman" w:cs="Calibri"/>
                <w:b/>
                <w:lang w:eastAsia="fr-FR"/>
              </w:rPr>
              <w:t>%</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B01CE30" w14:textId="77777777" w:rsidR="00766A2D" w:rsidRPr="00246B19" w:rsidRDefault="00766A2D" w:rsidP="003D7F19">
            <w:pPr>
              <w:jc w:val="center"/>
              <w:rPr>
                <w:rFonts w:cs="Calibri"/>
              </w:rPr>
            </w:pPr>
            <w:r w:rsidRPr="00246B19">
              <w:rPr>
                <w:rFonts w:eastAsia="Times New Roman" w:cs="Calibri"/>
                <w:b/>
                <w:lang w:eastAsia="fr-FR"/>
              </w:rPr>
              <w:t>Burundi</w:t>
            </w:r>
          </w:p>
        </w:tc>
        <w:tc>
          <w:tcPr>
            <w:tcW w:w="1559" w:type="dxa"/>
            <w:tcBorders>
              <w:top w:val="single" w:sz="4" w:space="0" w:color="auto"/>
              <w:left w:val="single" w:sz="4" w:space="0" w:color="auto"/>
              <w:bottom w:val="single" w:sz="4" w:space="0" w:color="auto"/>
              <w:right w:val="single" w:sz="4" w:space="0" w:color="auto"/>
            </w:tcBorders>
            <w:vAlign w:val="center"/>
            <w:hideMark/>
          </w:tcPr>
          <w:p w14:paraId="1F4FD597" w14:textId="77777777" w:rsidR="00766A2D" w:rsidRPr="00246B19" w:rsidRDefault="00766A2D" w:rsidP="003D7F19">
            <w:pPr>
              <w:jc w:val="center"/>
              <w:rPr>
                <w:rFonts w:eastAsia="Times New Roman" w:cs="Calibri"/>
                <w:b/>
                <w:lang w:eastAsia="fr-FR"/>
              </w:rPr>
            </w:pPr>
            <w:r w:rsidRPr="00246B19">
              <w:rPr>
                <w:rFonts w:eastAsia="Times New Roman" w:cs="Calibri"/>
                <w:b/>
                <w:lang w:eastAsia="fr-FR"/>
              </w:rPr>
              <w:t>%</w:t>
            </w:r>
          </w:p>
        </w:tc>
      </w:tr>
      <w:tr w:rsidR="00766A2D" w:rsidRPr="00246B19" w14:paraId="56F5313A" w14:textId="77777777" w:rsidTr="003D7F19">
        <w:tc>
          <w:tcPr>
            <w:tcW w:w="2856" w:type="dxa"/>
            <w:tcBorders>
              <w:top w:val="single" w:sz="4" w:space="0" w:color="auto"/>
              <w:left w:val="single" w:sz="4" w:space="0" w:color="auto"/>
              <w:bottom w:val="single" w:sz="4" w:space="0" w:color="auto"/>
              <w:right w:val="single" w:sz="4" w:space="0" w:color="auto"/>
            </w:tcBorders>
            <w:vAlign w:val="center"/>
            <w:hideMark/>
          </w:tcPr>
          <w:p w14:paraId="28EE51AE" w14:textId="77777777" w:rsidR="00766A2D" w:rsidRPr="00246B19" w:rsidRDefault="00766A2D" w:rsidP="003D7F19">
            <w:pPr>
              <w:spacing w:line="240" w:lineRule="auto"/>
              <w:rPr>
                <w:rFonts w:cs="Calibri"/>
              </w:rPr>
            </w:pPr>
            <w:r w:rsidRPr="00246B19">
              <w:rPr>
                <w:rFonts w:cs="Calibri"/>
              </w:rPr>
              <w:t>0-19 ans</w:t>
            </w:r>
          </w:p>
        </w:tc>
        <w:tc>
          <w:tcPr>
            <w:tcW w:w="1352" w:type="dxa"/>
            <w:tcBorders>
              <w:top w:val="single" w:sz="4" w:space="0" w:color="auto"/>
              <w:left w:val="single" w:sz="4" w:space="0" w:color="auto"/>
              <w:bottom w:val="single" w:sz="4" w:space="0" w:color="auto"/>
              <w:right w:val="single" w:sz="4" w:space="0" w:color="auto"/>
            </w:tcBorders>
            <w:vAlign w:val="center"/>
            <w:hideMark/>
          </w:tcPr>
          <w:p w14:paraId="59C03A5B" w14:textId="77777777" w:rsidR="00766A2D" w:rsidRPr="00246B19" w:rsidRDefault="00766A2D" w:rsidP="003D7F19">
            <w:pPr>
              <w:jc w:val="center"/>
              <w:rPr>
                <w:rFonts w:cs="Calibri"/>
                <w:color w:val="000000"/>
              </w:rPr>
            </w:pPr>
            <w:r w:rsidRPr="00246B19">
              <w:rPr>
                <w:rFonts w:cs="Calibri"/>
                <w:color w:val="000000"/>
              </w:rPr>
              <w:t>14 421</w:t>
            </w:r>
          </w:p>
        </w:tc>
        <w:tc>
          <w:tcPr>
            <w:tcW w:w="1559" w:type="dxa"/>
            <w:tcBorders>
              <w:top w:val="single" w:sz="4" w:space="0" w:color="auto"/>
              <w:left w:val="single" w:sz="4" w:space="0" w:color="auto"/>
              <w:bottom w:val="single" w:sz="4" w:space="0" w:color="auto"/>
              <w:right w:val="single" w:sz="4" w:space="0" w:color="auto"/>
            </w:tcBorders>
            <w:vAlign w:val="center"/>
          </w:tcPr>
          <w:p w14:paraId="3E8B8D1A" w14:textId="77777777" w:rsidR="00766A2D" w:rsidRPr="00246B19" w:rsidRDefault="00766A2D" w:rsidP="003D7F19">
            <w:pPr>
              <w:jc w:val="center"/>
              <w:rPr>
                <w:rFonts w:cs="Calibri"/>
              </w:rPr>
            </w:pPr>
            <w:r>
              <w:rPr>
                <w:rFonts w:cs="Calibri"/>
              </w:rPr>
              <w:t>17,8</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AB0E255" w14:textId="77777777" w:rsidR="00766A2D" w:rsidRPr="00246B19" w:rsidRDefault="00766A2D" w:rsidP="003D7F19">
            <w:pPr>
              <w:jc w:val="center"/>
              <w:rPr>
                <w:rFonts w:cs="Calibri"/>
              </w:rPr>
            </w:pPr>
            <w:r>
              <w:rPr>
                <w:rFonts w:cs="Calibri"/>
              </w:rPr>
              <w:t>5 830</w:t>
            </w:r>
          </w:p>
        </w:tc>
        <w:tc>
          <w:tcPr>
            <w:tcW w:w="1559" w:type="dxa"/>
            <w:tcBorders>
              <w:top w:val="single" w:sz="4" w:space="0" w:color="auto"/>
              <w:left w:val="single" w:sz="4" w:space="0" w:color="auto"/>
              <w:bottom w:val="single" w:sz="4" w:space="0" w:color="auto"/>
              <w:right w:val="single" w:sz="4" w:space="0" w:color="auto"/>
            </w:tcBorders>
            <w:vAlign w:val="center"/>
          </w:tcPr>
          <w:p w14:paraId="3EE7A016" w14:textId="77777777" w:rsidR="00766A2D" w:rsidRPr="00246B19" w:rsidRDefault="00766A2D" w:rsidP="003D7F19">
            <w:pPr>
              <w:jc w:val="center"/>
              <w:rPr>
                <w:rFonts w:cs="Calibri"/>
              </w:rPr>
            </w:pPr>
            <w:r>
              <w:rPr>
                <w:rFonts w:cs="Calibri"/>
              </w:rPr>
              <w:t>54,3</w:t>
            </w:r>
          </w:p>
        </w:tc>
      </w:tr>
      <w:tr w:rsidR="00766A2D" w:rsidRPr="00246B19" w14:paraId="2D28E976" w14:textId="77777777" w:rsidTr="003D7F19">
        <w:tc>
          <w:tcPr>
            <w:tcW w:w="2856" w:type="dxa"/>
            <w:tcBorders>
              <w:top w:val="single" w:sz="4" w:space="0" w:color="auto"/>
              <w:left w:val="single" w:sz="4" w:space="0" w:color="auto"/>
              <w:bottom w:val="single" w:sz="4" w:space="0" w:color="auto"/>
              <w:right w:val="single" w:sz="4" w:space="0" w:color="auto"/>
            </w:tcBorders>
            <w:vAlign w:val="center"/>
            <w:hideMark/>
          </w:tcPr>
          <w:p w14:paraId="176E519E" w14:textId="77777777" w:rsidR="00766A2D" w:rsidRPr="00246B19" w:rsidRDefault="00766A2D" w:rsidP="003D7F19">
            <w:pPr>
              <w:spacing w:line="240" w:lineRule="auto"/>
              <w:rPr>
                <w:rFonts w:cs="Calibri"/>
              </w:rPr>
            </w:pPr>
            <w:r w:rsidRPr="00246B19">
              <w:rPr>
                <w:rFonts w:cs="Calibri"/>
              </w:rPr>
              <w:t>20-59 ans</w:t>
            </w:r>
          </w:p>
        </w:tc>
        <w:tc>
          <w:tcPr>
            <w:tcW w:w="1352" w:type="dxa"/>
            <w:tcBorders>
              <w:top w:val="single" w:sz="4" w:space="0" w:color="auto"/>
              <w:left w:val="single" w:sz="4" w:space="0" w:color="auto"/>
              <w:bottom w:val="single" w:sz="4" w:space="0" w:color="auto"/>
              <w:right w:val="single" w:sz="4" w:space="0" w:color="auto"/>
            </w:tcBorders>
            <w:vAlign w:val="center"/>
            <w:hideMark/>
          </w:tcPr>
          <w:p w14:paraId="7E3DE22D" w14:textId="77777777" w:rsidR="00766A2D" w:rsidRPr="00246B19" w:rsidRDefault="00766A2D" w:rsidP="003D7F19">
            <w:pPr>
              <w:jc w:val="center"/>
              <w:rPr>
                <w:rFonts w:cs="Calibri"/>
                <w:color w:val="000000"/>
              </w:rPr>
            </w:pPr>
            <w:r w:rsidRPr="00246B19">
              <w:rPr>
                <w:rFonts w:cs="Calibri"/>
                <w:color w:val="000000"/>
              </w:rPr>
              <w:t>44000</w:t>
            </w:r>
          </w:p>
        </w:tc>
        <w:tc>
          <w:tcPr>
            <w:tcW w:w="1559" w:type="dxa"/>
            <w:tcBorders>
              <w:top w:val="single" w:sz="4" w:space="0" w:color="auto"/>
              <w:left w:val="single" w:sz="4" w:space="0" w:color="auto"/>
              <w:bottom w:val="single" w:sz="4" w:space="0" w:color="auto"/>
              <w:right w:val="single" w:sz="4" w:space="0" w:color="auto"/>
            </w:tcBorders>
            <w:vAlign w:val="center"/>
          </w:tcPr>
          <w:p w14:paraId="271AD900" w14:textId="77777777" w:rsidR="00766A2D" w:rsidRPr="00246B19" w:rsidRDefault="00766A2D" w:rsidP="003D7F19">
            <w:pPr>
              <w:jc w:val="center"/>
              <w:rPr>
                <w:rFonts w:cs="Calibri"/>
              </w:rPr>
            </w:pPr>
            <w:r>
              <w:rPr>
                <w:rFonts w:cs="Calibri"/>
              </w:rPr>
              <w:t>54,5</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C03AA31" w14:textId="77777777" w:rsidR="00766A2D" w:rsidRPr="00246B19" w:rsidRDefault="00766A2D" w:rsidP="003D7F19">
            <w:pPr>
              <w:jc w:val="center"/>
              <w:rPr>
                <w:rFonts w:cs="Calibri"/>
              </w:rPr>
            </w:pPr>
            <w:r>
              <w:rPr>
                <w:rFonts w:cs="Calibri"/>
              </w:rPr>
              <w:t>4 465</w:t>
            </w:r>
          </w:p>
        </w:tc>
        <w:tc>
          <w:tcPr>
            <w:tcW w:w="1559" w:type="dxa"/>
            <w:tcBorders>
              <w:top w:val="single" w:sz="4" w:space="0" w:color="auto"/>
              <w:left w:val="single" w:sz="4" w:space="0" w:color="auto"/>
              <w:bottom w:val="single" w:sz="4" w:space="0" w:color="auto"/>
              <w:right w:val="single" w:sz="4" w:space="0" w:color="auto"/>
            </w:tcBorders>
            <w:vAlign w:val="center"/>
          </w:tcPr>
          <w:p w14:paraId="43A507CC" w14:textId="77777777" w:rsidR="00766A2D" w:rsidRPr="00246B19" w:rsidRDefault="00766A2D" w:rsidP="003D7F19">
            <w:pPr>
              <w:jc w:val="center"/>
              <w:rPr>
                <w:rFonts w:cs="Calibri"/>
              </w:rPr>
            </w:pPr>
            <w:r>
              <w:rPr>
                <w:rFonts w:cs="Calibri"/>
              </w:rPr>
              <w:t>41,6</w:t>
            </w:r>
          </w:p>
        </w:tc>
      </w:tr>
      <w:tr w:rsidR="00766A2D" w:rsidRPr="00246B19" w14:paraId="43207A53" w14:textId="77777777" w:rsidTr="003D7F19">
        <w:tc>
          <w:tcPr>
            <w:tcW w:w="2856" w:type="dxa"/>
            <w:tcBorders>
              <w:top w:val="single" w:sz="4" w:space="0" w:color="auto"/>
              <w:left w:val="single" w:sz="4" w:space="0" w:color="auto"/>
              <w:bottom w:val="single" w:sz="4" w:space="0" w:color="auto"/>
              <w:right w:val="single" w:sz="4" w:space="0" w:color="auto"/>
            </w:tcBorders>
            <w:vAlign w:val="center"/>
            <w:hideMark/>
          </w:tcPr>
          <w:p w14:paraId="1591313B" w14:textId="77777777" w:rsidR="00766A2D" w:rsidRPr="00246B19" w:rsidRDefault="00766A2D" w:rsidP="003D7F19">
            <w:pPr>
              <w:spacing w:line="240" w:lineRule="auto"/>
              <w:rPr>
                <w:rFonts w:cs="Calibri"/>
              </w:rPr>
            </w:pPr>
            <w:r w:rsidRPr="00246B19">
              <w:rPr>
                <w:rFonts w:cs="Calibri"/>
              </w:rPr>
              <w:t>60-99 ans</w:t>
            </w:r>
          </w:p>
        </w:tc>
        <w:tc>
          <w:tcPr>
            <w:tcW w:w="1352" w:type="dxa"/>
            <w:tcBorders>
              <w:top w:val="single" w:sz="4" w:space="0" w:color="auto"/>
              <w:left w:val="single" w:sz="4" w:space="0" w:color="auto"/>
              <w:bottom w:val="single" w:sz="4" w:space="0" w:color="auto"/>
              <w:right w:val="single" w:sz="4" w:space="0" w:color="auto"/>
            </w:tcBorders>
            <w:vAlign w:val="center"/>
            <w:hideMark/>
          </w:tcPr>
          <w:p w14:paraId="7E1A6458" w14:textId="77777777" w:rsidR="00766A2D" w:rsidRPr="00246B19" w:rsidRDefault="00766A2D" w:rsidP="003D7F19">
            <w:pPr>
              <w:jc w:val="center"/>
              <w:rPr>
                <w:rFonts w:cs="Calibri"/>
                <w:color w:val="000000"/>
              </w:rPr>
            </w:pPr>
            <w:r w:rsidRPr="00246B19">
              <w:rPr>
                <w:rFonts w:cs="Calibri"/>
                <w:color w:val="000000"/>
              </w:rPr>
              <w:t>22 268</w:t>
            </w:r>
          </w:p>
        </w:tc>
        <w:tc>
          <w:tcPr>
            <w:tcW w:w="1559" w:type="dxa"/>
            <w:tcBorders>
              <w:top w:val="single" w:sz="4" w:space="0" w:color="auto"/>
              <w:left w:val="single" w:sz="4" w:space="0" w:color="auto"/>
              <w:bottom w:val="single" w:sz="4" w:space="0" w:color="auto"/>
              <w:right w:val="single" w:sz="4" w:space="0" w:color="auto"/>
            </w:tcBorders>
            <w:vAlign w:val="center"/>
          </w:tcPr>
          <w:p w14:paraId="558881D9" w14:textId="77777777" w:rsidR="00766A2D" w:rsidRPr="00246B19" w:rsidRDefault="00766A2D" w:rsidP="003D7F19">
            <w:pPr>
              <w:jc w:val="center"/>
              <w:rPr>
                <w:rFonts w:cs="Calibri"/>
              </w:rPr>
            </w:pPr>
            <w:r>
              <w:rPr>
                <w:rFonts w:cs="Calibri"/>
              </w:rPr>
              <w:t>27,6</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0EA41AA" w14:textId="77777777" w:rsidR="00766A2D" w:rsidRPr="00246B19" w:rsidRDefault="00766A2D" w:rsidP="003D7F19">
            <w:pPr>
              <w:jc w:val="center"/>
              <w:rPr>
                <w:rFonts w:cs="Calibri"/>
              </w:rPr>
            </w:pPr>
            <w:r>
              <w:rPr>
                <w:rFonts w:cs="Calibri"/>
              </w:rPr>
              <w:t>440</w:t>
            </w:r>
          </w:p>
        </w:tc>
        <w:tc>
          <w:tcPr>
            <w:tcW w:w="1559" w:type="dxa"/>
            <w:tcBorders>
              <w:top w:val="single" w:sz="4" w:space="0" w:color="auto"/>
              <w:left w:val="single" w:sz="4" w:space="0" w:color="auto"/>
              <w:bottom w:val="single" w:sz="4" w:space="0" w:color="auto"/>
              <w:right w:val="single" w:sz="4" w:space="0" w:color="auto"/>
            </w:tcBorders>
            <w:vAlign w:val="center"/>
          </w:tcPr>
          <w:p w14:paraId="65E5FCCF" w14:textId="77777777" w:rsidR="00766A2D" w:rsidRPr="00246B19" w:rsidRDefault="00766A2D" w:rsidP="003D7F19">
            <w:pPr>
              <w:jc w:val="center"/>
              <w:rPr>
                <w:rFonts w:cs="Calibri"/>
              </w:rPr>
            </w:pPr>
            <w:r>
              <w:rPr>
                <w:rFonts w:cs="Calibri"/>
              </w:rPr>
              <w:t>4,1</w:t>
            </w:r>
          </w:p>
        </w:tc>
      </w:tr>
    </w:tbl>
    <w:p w14:paraId="500195EC" w14:textId="77777777" w:rsidR="00766A2D" w:rsidRDefault="00766A2D" w:rsidP="00766A2D">
      <w:pPr>
        <w:rPr>
          <w:rFonts w:cs="Calibri"/>
        </w:rPr>
      </w:pPr>
    </w:p>
    <w:p w14:paraId="29361669" w14:textId="77777777" w:rsidR="00A36CD6" w:rsidRDefault="00A36CD6"/>
    <w:sectPr w:rsidR="00A36CD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126809"/>
    <w:multiLevelType w:val="hybridMultilevel"/>
    <w:tmpl w:val="71E4BE2C"/>
    <w:lvl w:ilvl="0" w:tplc="EDFEBF6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5CAC0857"/>
    <w:multiLevelType w:val="hybridMultilevel"/>
    <w:tmpl w:val="71E4BE2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60D80354"/>
    <w:multiLevelType w:val="hybridMultilevel"/>
    <w:tmpl w:val="6B7A83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472512">
    <w:abstractNumId w:val="0"/>
  </w:num>
  <w:num w:numId="2" w16cid:durableId="404649705">
    <w:abstractNumId w:val="1"/>
  </w:num>
  <w:num w:numId="3" w16cid:durableId="9233438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A2D"/>
    <w:rsid w:val="005C1882"/>
    <w:rsid w:val="00766A2D"/>
    <w:rsid w:val="007704E1"/>
    <w:rsid w:val="00926A89"/>
    <w:rsid w:val="00994CD3"/>
    <w:rsid w:val="00A36CD6"/>
    <w:rsid w:val="00AA4024"/>
    <w:rsid w:val="00C37AA8"/>
    <w:rsid w:val="00F2708A"/>
    <w:rsid w:val="00F5692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05CA07"/>
  <w15:chartTrackingRefBased/>
  <w15:docId w15:val="{27384FB0-B989-41EA-8A04-BEE5120D4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6A2D"/>
    <w:pPr>
      <w:spacing w:line="259" w:lineRule="auto"/>
      <w:jc w:val="both"/>
    </w:pPr>
    <w:rPr>
      <w:rFonts w:ascii="Times New Roman" w:hAnsi="Times New Roman"/>
      <w:kern w:val="0"/>
      <w:szCs w:val="22"/>
      <w14:ligatures w14:val="none"/>
    </w:rPr>
  </w:style>
  <w:style w:type="paragraph" w:styleId="Titre1">
    <w:name w:val="heading 1"/>
    <w:basedOn w:val="Normal"/>
    <w:next w:val="Normal"/>
    <w:link w:val="Titre1Car"/>
    <w:uiPriority w:val="9"/>
    <w:qFormat/>
    <w:rsid w:val="00766A2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766A2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766A2D"/>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766A2D"/>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766A2D"/>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766A2D"/>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766A2D"/>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766A2D"/>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766A2D"/>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66A2D"/>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766A2D"/>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766A2D"/>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766A2D"/>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766A2D"/>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766A2D"/>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766A2D"/>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766A2D"/>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766A2D"/>
    <w:rPr>
      <w:rFonts w:eastAsiaTheme="majorEastAsia" w:cstheme="majorBidi"/>
      <w:color w:val="272727" w:themeColor="text1" w:themeTint="D8"/>
    </w:rPr>
  </w:style>
  <w:style w:type="paragraph" w:styleId="Titre">
    <w:name w:val="Title"/>
    <w:basedOn w:val="Normal"/>
    <w:next w:val="Normal"/>
    <w:link w:val="TitreCar"/>
    <w:uiPriority w:val="10"/>
    <w:qFormat/>
    <w:rsid w:val="00766A2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766A2D"/>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766A2D"/>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766A2D"/>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766A2D"/>
    <w:pPr>
      <w:spacing w:before="160"/>
      <w:jc w:val="center"/>
    </w:pPr>
    <w:rPr>
      <w:i/>
      <w:iCs/>
      <w:color w:val="404040" w:themeColor="text1" w:themeTint="BF"/>
    </w:rPr>
  </w:style>
  <w:style w:type="character" w:customStyle="1" w:styleId="CitationCar">
    <w:name w:val="Citation Car"/>
    <w:basedOn w:val="Policepardfaut"/>
    <w:link w:val="Citation"/>
    <w:uiPriority w:val="29"/>
    <w:rsid w:val="00766A2D"/>
    <w:rPr>
      <w:i/>
      <w:iCs/>
      <w:color w:val="404040" w:themeColor="text1" w:themeTint="BF"/>
    </w:rPr>
  </w:style>
  <w:style w:type="paragraph" w:styleId="Paragraphedeliste">
    <w:name w:val="List Paragraph"/>
    <w:basedOn w:val="Normal"/>
    <w:uiPriority w:val="34"/>
    <w:qFormat/>
    <w:rsid w:val="00766A2D"/>
    <w:pPr>
      <w:ind w:left="720"/>
      <w:contextualSpacing/>
    </w:pPr>
  </w:style>
  <w:style w:type="character" w:styleId="Accentuationintense">
    <w:name w:val="Intense Emphasis"/>
    <w:basedOn w:val="Policepardfaut"/>
    <w:uiPriority w:val="21"/>
    <w:qFormat/>
    <w:rsid w:val="00766A2D"/>
    <w:rPr>
      <w:i/>
      <w:iCs/>
      <w:color w:val="0F4761" w:themeColor="accent1" w:themeShade="BF"/>
    </w:rPr>
  </w:style>
  <w:style w:type="paragraph" w:styleId="Citationintense">
    <w:name w:val="Intense Quote"/>
    <w:basedOn w:val="Normal"/>
    <w:next w:val="Normal"/>
    <w:link w:val="CitationintenseCar"/>
    <w:uiPriority w:val="30"/>
    <w:qFormat/>
    <w:rsid w:val="00766A2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766A2D"/>
    <w:rPr>
      <w:i/>
      <w:iCs/>
      <w:color w:val="0F4761" w:themeColor="accent1" w:themeShade="BF"/>
    </w:rPr>
  </w:style>
  <w:style w:type="character" w:styleId="Rfrenceintense">
    <w:name w:val="Intense Reference"/>
    <w:basedOn w:val="Policepardfaut"/>
    <w:uiPriority w:val="32"/>
    <w:qFormat/>
    <w:rsid w:val="00766A2D"/>
    <w:rPr>
      <w:b/>
      <w:bCs/>
      <w:smallCaps/>
      <w:color w:val="0F4761" w:themeColor="accent1" w:themeShade="BF"/>
      <w:spacing w:val="5"/>
    </w:rPr>
  </w:style>
  <w:style w:type="character" w:styleId="Textedelespacerserv">
    <w:name w:val="Placeholder Text"/>
    <w:basedOn w:val="Policepardfaut"/>
    <w:uiPriority w:val="99"/>
    <w:semiHidden/>
    <w:rsid w:val="00766A2D"/>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1908</Words>
  <Characters>10499</Characters>
  <Application>Microsoft Office Word</Application>
  <DocSecurity>0</DocSecurity>
  <Lines>87</Lines>
  <Paragraphs>24</Paragraphs>
  <ScaleCrop>false</ScaleCrop>
  <Company/>
  <LinksUpToDate>false</LinksUpToDate>
  <CharactersWithSpaces>12383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Inès Munoz-Bertrand</dc:creator>
  <cp:keywords/>
  <dc:description/>
  <cp:lastModifiedBy>Inès Munoz-Bertrand</cp:lastModifiedBy>
  <cp:revision>1</cp:revision>
  <dcterms:created xsi:type="dcterms:W3CDTF">2025-03-18T10:40:00Z</dcterms:created>
  <dcterms:modified xsi:type="dcterms:W3CDTF">2025-03-18T10:48:00Z</dcterms:modified>
</cp:coreProperties>
</file>