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0FC991" w14:textId="54D0D27C" w:rsidR="004066D4" w:rsidRDefault="008A7FBE" w:rsidP="008074D2">
      <w:pPr>
        <w:pBdr>
          <w:bottom w:val="single" w:sz="4" w:space="1" w:color="auto"/>
        </w:pBdr>
        <w:jc w:val="center"/>
        <w:rPr>
          <w:b/>
          <w:bCs/>
        </w:rPr>
      </w:pPr>
      <w:r w:rsidRPr="008074D2">
        <w:rPr>
          <w:b/>
          <w:bCs/>
        </w:rPr>
        <w:t>PROTECTION SOCIALE COMPLÉMENTAIRE</w:t>
      </w:r>
      <w:r w:rsidRPr="008074D2">
        <w:rPr>
          <w:b/>
          <w:bCs/>
        </w:rPr>
        <w:br/>
        <w:t>DANS L’ENTREPRISE</w:t>
      </w:r>
    </w:p>
    <w:p w14:paraId="15257D83" w14:textId="77777777" w:rsidR="008A7FBE" w:rsidRDefault="008A7FBE"/>
    <w:p w14:paraId="19F5642E" w14:textId="33E4B984" w:rsidR="00CA6339" w:rsidRDefault="00CA6339">
      <w:r>
        <w:t>Le cours est une initiation et une sensibilisation aux aspects de la PSC.</w:t>
      </w:r>
    </w:p>
    <w:p w14:paraId="6F8D718F" w14:textId="033CD0D3" w:rsidR="00CA6339" w:rsidRDefault="00CA6339">
      <w:r>
        <w:t>L’objectif est de comprendre :</w:t>
      </w:r>
    </w:p>
    <w:p w14:paraId="5D324EC1" w14:textId="0D450674" w:rsidR="00B667F6" w:rsidRDefault="00CA6339" w:rsidP="00B667F6">
      <w:pPr>
        <w:ind w:left="567"/>
      </w:pPr>
      <w:r>
        <w:t xml:space="preserve">- </w:t>
      </w:r>
      <w:r w:rsidR="00B667F6">
        <w:t>les notions et le vocabulaire propre à la protection sociale (et la PSC) ;</w:t>
      </w:r>
    </w:p>
    <w:p w14:paraId="0C22ADCA" w14:textId="2277F36E" w:rsidR="00776115" w:rsidRDefault="00776115" w:rsidP="00B667F6">
      <w:pPr>
        <w:ind w:left="567"/>
      </w:pPr>
      <w:r>
        <w:t>- l’articulation entre la PSC et la protection sociale obligatoire ;</w:t>
      </w:r>
    </w:p>
    <w:p w14:paraId="2F4DAD29" w14:textId="1DE29DED" w:rsidR="00CA6339" w:rsidRDefault="00B667F6" w:rsidP="00B667F6">
      <w:pPr>
        <w:ind w:left="567"/>
      </w:pPr>
      <w:r>
        <w:t xml:space="preserve">- </w:t>
      </w:r>
      <w:r w:rsidR="00CA6339">
        <w:t>les risques couverts</w:t>
      </w:r>
      <w:r>
        <w:t> ;</w:t>
      </w:r>
    </w:p>
    <w:p w14:paraId="0E74B157" w14:textId="11DB57C5" w:rsidR="00CA6339" w:rsidRDefault="00CA6339" w:rsidP="00B667F6">
      <w:pPr>
        <w:ind w:left="567"/>
      </w:pPr>
      <w:r>
        <w:t>- la mise en place de la PSC</w:t>
      </w:r>
      <w:r w:rsidR="00B667F6">
        <w:t> ;</w:t>
      </w:r>
    </w:p>
    <w:p w14:paraId="0F90290F" w14:textId="271FD495" w:rsidR="00CA6339" w:rsidRDefault="00CA6339" w:rsidP="00B667F6">
      <w:pPr>
        <w:ind w:left="567"/>
      </w:pPr>
      <w:r>
        <w:t xml:space="preserve">- les </w:t>
      </w:r>
      <w:r w:rsidR="00B667F6">
        <w:t>aspects pratiques en terme de gestion des ressources humaines ;</w:t>
      </w:r>
    </w:p>
    <w:p w14:paraId="1039CCCB" w14:textId="053C4D91" w:rsidR="00B667F6" w:rsidRDefault="00B667F6" w:rsidP="00B667F6">
      <w:pPr>
        <w:ind w:left="567"/>
      </w:pPr>
      <w:r>
        <w:t>- l’intérêt et les enjeux pour l’entreprise et les salariés de la PSC ;</w:t>
      </w:r>
    </w:p>
    <w:p w14:paraId="3D5F4CF6" w14:textId="649A14B2" w:rsidR="00CA6339" w:rsidRDefault="00B667F6" w:rsidP="00B667F6">
      <w:pPr>
        <w:ind w:left="567"/>
      </w:pPr>
      <w:r>
        <w:t>- une vision des questions contentieuses.</w:t>
      </w:r>
    </w:p>
    <w:p w14:paraId="5FF0539F" w14:textId="77777777" w:rsidR="00B667F6" w:rsidRDefault="00B667F6"/>
    <w:p w14:paraId="18591B65" w14:textId="2CB4FA29" w:rsidR="00B667F6" w:rsidRDefault="00B667F6">
      <w:r>
        <w:t>Durant chaque séance il y aura un cours présentation mais aussi parfois des ateliers ou un travail en groupe.</w:t>
      </w:r>
    </w:p>
    <w:p w14:paraId="37C6ECA5" w14:textId="7E1E1921" w:rsidR="005E4787" w:rsidRDefault="00B667F6" w:rsidP="00776115">
      <w:pPr>
        <w:pBdr>
          <w:top w:val="single" w:sz="4" w:space="1" w:color="auto"/>
          <w:left w:val="single" w:sz="4" w:space="4" w:color="auto"/>
          <w:bottom w:val="single" w:sz="4" w:space="1" w:color="auto"/>
          <w:right w:val="single" w:sz="4" w:space="4" w:color="auto"/>
        </w:pBdr>
      </w:pPr>
      <w:r>
        <w:t xml:space="preserve">Durant </w:t>
      </w:r>
      <w:r w:rsidR="00776115">
        <w:t>tout le semestre, c</w:t>
      </w:r>
      <w:r w:rsidR="005E4787">
        <w:t>haque étudiant doit passer un exposé (seul, en binôme ou trinôme).</w:t>
      </w:r>
    </w:p>
    <w:p w14:paraId="7689A7DE" w14:textId="3557A78D" w:rsidR="005E4787" w:rsidRDefault="005E4787" w:rsidP="00776115">
      <w:pPr>
        <w:pBdr>
          <w:top w:val="single" w:sz="4" w:space="1" w:color="auto"/>
          <w:left w:val="single" w:sz="4" w:space="4" w:color="auto"/>
          <w:bottom w:val="single" w:sz="4" w:space="1" w:color="auto"/>
          <w:right w:val="single" w:sz="4" w:space="4" w:color="auto"/>
        </w:pBdr>
      </w:pPr>
      <w:r>
        <w:t xml:space="preserve">Il faut que chaque sujet d’exposé soit </w:t>
      </w:r>
      <w:r w:rsidR="00776115">
        <w:t>traité (les étudiants s’organisent entre eux)</w:t>
      </w:r>
      <w:r>
        <w:t>. L’exposé comptera pour 50 % de la note finale.</w:t>
      </w:r>
    </w:p>
    <w:p w14:paraId="2359ADC3" w14:textId="6C664592" w:rsidR="005E4787" w:rsidRDefault="00C1647D" w:rsidP="00776115">
      <w:pPr>
        <w:pBdr>
          <w:top w:val="single" w:sz="4" w:space="1" w:color="auto"/>
          <w:left w:val="single" w:sz="4" w:space="4" w:color="auto"/>
          <w:bottom w:val="single" w:sz="4" w:space="1" w:color="auto"/>
          <w:right w:val="single" w:sz="4" w:space="4" w:color="auto"/>
        </w:pBdr>
      </w:pPr>
      <w:r>
        <w:t>L’exposé doit durer 10-15 min grand maximum et un support visuel est bienvenu. L’exposé doit bien préciser la problématique choisie et donner les références de ses réponses (textes de loi et décisions de JP ou articles/ouvrages).</w:t>
      </w:r>
    </w:p>
    <w:p w14:paraId="3B14B554" w14:textId="46AB9FA4" w:rsidR="00C1647D" w:rsidRDefault="00C1647D" w:rsidP="00776115">
      <w:pPr>
        <w:pBdr>
          <w:top w:val="single" w:sz="4" w:space="1" w:color="auto"/>
          <w:left w:val="single" w:sz="4" w:space="4" w:color="auto"/>
          <w:bottom w:val="single" w:sz="4" w:space="1" w:color="auto"/>
          <w:right w:val="single" w:sz="4" w:space="4" w:color="auto"/>
        </w:pBdr>
      </w:pPr>
      <w:r>
        <w:t>L’objectif de ces exposés est avant tout de donner des éléments de réponse pertinent permettant de répondre à la problématique.</w:t>
      </w:r>
    </w:p>
    <w:p w14:paraId="5093FC46" w14:textId="7EC3AD67" w:rsidR="00776115" w:rsidRDefault="00776115">
      <w:r>
        <w:br w:type="page"/>
      </w:r>
    </w:p>
    <w:p w14:paraId="64968BEE" w14:textId="7E831654" w:rsidR="003A7D44" w:rsidRDefault="008A7FBE" w:rsidP="003A7D44">
      <w:pPr>
        <w:shd w:val="clear" w:color="auto" w:fill="BFBFBF" w:themeFill="background1" w:themeFillShade="BF"/>
      </w:pPr>
      <w:r>
        <w:lastRenderedPageBreak/>
        <w:t>Séance 1 – 11/02/2025</w:t>
      </w:r>
      <w:r w:rsidR="00DE30E1">
        <w:t> : Séance introductive et « La place de la PSC dans la protection sociale »</w:t>
      </w:r>
    </w:p>
    <w:p w14:paraId="45720D8F" w14:textId="77777777" w:rsidR="003A7D44" w:rsidRDefault="003A7D44"/>
    <w:p w14:paraId="3DF9C9E7" w14:textId="05FC91CD" w:rsidR="00DE30E1" w:rsidRDefault="00DE30E1" w:rsidP="003A7D44">
      <w:pPr>
        <w:shd w:val="clear" w:color="auto" w:fill="BFBFBF" w:themeFill="background1" w:themeFillShade="BF"/>
      </w:pPr>
      <w:r>
        <w:t xml:space="preserve">Séance 2 – 18/02/2025 : </w:t>
      </w:r>
      <w:r w:rsidR="00007A79">
        <w:t>Le risque maladie</w:t>
      </w:r>
    </w:p>
    <w:p w14:paraId="7FB14B85" w14:textId="77777777" w:rsidR="008074D2" w:rsidRPr="008074D2" w:rsidRDefault="008074D2" w:rsidP="008074D2"/>
    <w:p w14:paraId="4B805BD3" w14:textId="4748402B" w:rsidR="004C2938" w:rsidRDefault="004C2938" w:rsidP="003A7D44">
      <w:pPr>
        <w:shd w:val="clear" w:color="auto" w:fill="BFBFBF" w:themeFill="background1" w:themeFillShade="BF"/>
      </w:pPr>
      <w:r>
        <w:t xml:space="preserve">Séance 3 – </w:t>
      </w:r>
      <w:r w:rsidR="00642B13">
        <w:t>04</w:t>
      </w:r>
      <w:r>
        <w:t xml:space="preserve">/03/2025 : </w:t>
      </w:r>
      <w:r w:rsidR="00007A79">
        <w:t>Le risque invalidité</w:t>
      </w:r>
    </w:p>
    <w:p w14:paraId="43F19673" w14:textId="77777777" w:rsidR="008D0AC2" w:rsidRDefault="008D0AC2">
      <w:pPr>
        <w:rPr>
          <w:b/>
          <w:bCs/>
          <w:i/>
          <w:iCs/>
          <w:color w:val="A02B93" w:themeColor="accent5"/>
          <w:sz w:val="18"/>
          <w:szCs w:val="18"/>
        </w:rPr>
      </w:pPr>
    </w:p>
    <w:p w14:paraId="7F9C59BA" w14:textId="07B849BD" w:rsidR="00807694" w:rsidRPr="00C163BC" w:rsidRDefault="00807694">
      <w:pPr>
        <w:rPr>
          <w:b/>
          <w:bCs/>
          <w:i/>
          <w:iCs/>
          <w:color w:val="A02B93" w:themeColor="accent5"/>
          <w:sz w:val="18"/>
          <w:szCs w:val="18"/>
        </w:rPr>
      </w:pPr>
      <w:r w:rsidRPr="00C163BC">
        <w:rPr>
          <w:b/>
          <w:bCs/>
          <w:i/>
          <w:iCs/>
          <w:color w:val="A02B93" w:themeColor="accent5"/>
          <w:sz w:val="18"/>
          <w:szCs w:val="18"/>
        </w:rPr>
        <w:t>Sujet exposé :</w:t>
      </w:r>
    </w:p>
    <w:p w14:paraId="7351395F" w14:textId="05149AC2" w:rsidR="00807694" w:rsidRPr="00C163BC" w:rsidRDefault="00807694">
      <w:pPr>
        <w:rPr>
          <w:b/>
          <w:bCs/>
          <w:i/>
          <w:iCs/>
          <w:color w:val="A02B93" w:themeColor="accent5"/>
          <w:sz w:val="18"/>
          <w:szCs w:val="18"/>
        </w:rPr>
      </w:pPr>
      <w:r w:rsidRPr="00C163BC">
        <w:rPr>
          <w:b/>
          <w:bCs/>
          <w:i/>
          <w:iCs/>
          <w:color w:val="A02B93" w:themeColor="accent5"/>
          <w:sz w:val="18"/>
          <w:szCs w:val="18"/>
        </w:rPr>
        <w:tab/>
      </w:r>
      <w:r w:rsidR="00F740F2">
        <w:rPr>
          <w:b/>
          <w:bCs/>
          <w:i/>
          <w:iCs/>
          <w:color w:val="A02B93" w:themeColor="accent5"/>
          <w:sz w:val="18"/>
          <w:szCs w:val="18"/>
        </w:rPr>
        <w:t>Invalid</w:t>
      </w:r>
      <w:r w:rsidR="00C01280">
        <w:rPr>
          <w:b/>
          <w:bCs/>
          <w:i/>
          <w:iCs/>
          <w:color w:val="A02B93" w:themeColor="accent5"/>
          <w:sz w:val="18"/>
          <w:szCs w:val="18"/>
        </w:rPr>
        <w:t>ité</w:t>
      </w:r>
      <w:r w:rsidR="00F740F2">
        <w:rPr>
          <w:b/>
          <w:bCs/>
          <w:i/>
          <w:iCs/>
          <w:color w:val="A02B93" w:themeColor="accent5"/>
          <w:sz w:val="18"/>
          <w:szCs w:val="18"/>
        </w:rPr>
        <w:t>, incapacité, handicap, malad</w:t>
      </w:r>
      <w:r w:rsidR="00C01280">
        <w:rPr>
          <w:b/>
          <w:bCs/>
          <w:i/>
          <w:iCs/>
          <w:color w:val="A02B93" w:themeColor="accent5"/>
          <w:sz w:val="18"/>
          <w:szCs w:val="18"/>
        </w:rPr>
        <w:t>i</w:t>
      </w:r>
      <w:r w:rsidR="00F740F2">
        <w:rPr>
          <w:b/>
          <w:bCs/>
          <w:i/>
          <w:iCs/>
          <w:color w:val="A02B93" w:themeColor="accent5"/>
          <w:sz w:val="18"/>
          <w:szCs w:val="18"/>
        </w:rPr>
        <w:t>e : quelles différences</w:t>
      </w:r>
      <w:r w:rsidR="00C01280">
        <w:rPr>
          <w:b/>
          <w:bCs/>
          <w:i/>
          <w:iCs/>
          <w:color w:val="A02B93" w:themeColor="accent5"/>
          <w:sz w:val="18"/>
          <w:szCs w:val="18"/>
        </w:rPr>
        <w:t xml:space="preserve"> et quelles interactions ?</w:t>
      </w:r>
    </w:p>
    <w:p w14:paraId="4739D3F0" w14:textId="66E99B58" w:rsidR="004C2938" w:rsidRDefault="004C2938" w:rsidP="003A7D44">
      <w:pPr>
        <w:shd w:val="clear" w:color="auto" w:fill="BFBFBF" w:themeFill="background1" w:themeFillShade="BF"/>
      </w:pPr>
      <w:r w:rsidRPr="003A7D44">
        <w:rPr>
          <w:shd w:val="clear" w:color="auto" w:fill="BFBFBF" w:themeFill="background1" w:themeFillShade="BF"/>
        </w:rPr>
        <w:t xml:space="preserve">Séance 4 – 18/03/2025 : </w:t>
      </w:r>
      <w:r w:rsidR="003B28CC" w:rsidRPr="003A7D44">
        <w:rPr>
          <w:shd w:val="clear" w:color="auto" w:fill="BFBFBF" w:themeFill="background1" w:themeFillShade="BF"/>
        </w:rPr>
        <w:t>Questions pratiques autour des conditions de travail et gestion</w:t>
      </w:r>
      <w:r w:rsidR="003B28CC">
        <w:t xml:space="preserve"> de salarié en maladie/incapacité de travail</w:t>
      </w:r>
    </w:p>
    <w:p w14:paraId="4D8879DF" w14:textId="77777777" w:rsidR="008D0AC2" w:rsidRPr="003B2E8B" w:rsidRDefault="008D0AC2" w:rsidP="008D0AC2">
      <w:pPr>
        <w:spacing w:before="100" w:beforeAutospacing="1" w:after="100" w:afterAutospacing="1"/>
        <w:jc w:val="both"/>
        <w:rPr>
          <w:rFonts w:asciiTheme="majorHAnsi" w:eastAsia="Times New Roman" w:hAnsiTheme="majorHAnsi" w:cs="Times New Roman"/>
          <w:i/>
          <w:iCs/>
          <w:sz w:val="20"/>
          <w:szCs w:val="20"/>
          <w:lang w:eastAsia="fr-FR"/>
        </w:rPr>
      </w:pPr>
      <w:r w:rsidRPr="003B2E8B">
        <w:rPr>
          <w:rFonts w:asciiTheme="majorHAnsi" w:eastAsia="Times New Roman" w:hAnsiTheme="majorHAnsi" w:cs="Times New Roman"/>
          <w:i/>
          <w:iCs/>
          <w:sz w:val="20"/>
          <w:szCs w:val="20"/>
          <w:lang w:eastAsia="fr-FR"/>
        </w:rPr>
        <w:t xml:space="preserve">Article à lire : </w:t>
      </w:r>
      <w:r w:rsidRPr="008D0AC2">
        <w:rPr>
          <w:rFonts w:asciiTheme="majorHAnsi" w:eastAsia="Times New Roman" w:hAnsiTheme="majorHAnsi" w:cs="Times New Roman"/>
          <w:i/>
          <w:iCs/>
          <w:sz w:val="20"/>
          <w:szCs w:val="20"/>
          <w:lang w:eastAsia="fr-FR"/>
        </w:rPr>
        <w:t>N</w:t>
      </w:r>
      <w:r>
        <w:rPr>
          <w:rFonts w:asciiTheme="majorHAnsi" w:eastAsia="Times New Roman" w:hAnsiTheme="majorHAnsi" w:cs="Times New Roman"/>
          <w:i/>
          <w:iCs/>
          <w:sz w:val="20"/>
          <w:szCs w:val="20"/>
          <w:lang w:eastAsia="fr-FR"/>
        </w:rPr>
        <w:t>.</w:t>
      </w:r>
      <w:r w:rsidRPr="008D0AC2">
        <w:rPr>
          <w:rFonts w:asciiTheme="majorHAnsi" w:eastAsia="Times New Roman" w:hAnsiTheme="majorHAnsi" w:cs="Times New Roman"/>
          <w:i/>
          <w:iCs/>
          <w:sz w:val="20"/>
          <w:szCs w:val="20"/>
          <w:lang w:eastAsia="fr-FR"/>
        </w:rPr>
        <w:t xml:space="preserve"> Peixoto </w:t>
      </w:r>
      <w:r>
        <w:rPr>
          <w:rFonts w:asciiTheme="majorHAnsi" w:eastAsia="Times New Roman" w:hAnsiTheme="majorHAnsi" w:cs="Times New Roman"/>
          <w:i/>
          <w:iCs/>
          <w:sz w:val="20"/>
          <w:szCs w:val="20"/>
          <w:lang w:eastAsia="fr-FR"/>
        </w:rPr>
        <w:t xml:space="preserve">et </w:t>
      </w:r>
      <w:r w:rsidRPr="008D0AC2">
        <w:rPr>
          <w:rFonts w:asciiTheme="majorHAnsi" w:eastAsia="Times New Roman" w:hAnsiTheme="majorHAnsi" w:cs="Times New Roman"/>
          <w:i/>
          <w:iCs/>
          <w:sz w:val="20"/>
          <w:szCs w:val="20"/>
          <w:lang w:eastAsia="fr-FR"/>
        </w:rPr>
        <w:t>B</w:t>
      </w:r>
      <w:r>
        <w:rPr>
          <w:rFonts w:asciiTheme="majorHAnsi" w:eastAsia="Times New Roman" w:hAnsiTheme="majorHAnsi" w:cs="Times New Roman"/>
          <w:i/>
          <w:iCs/>
          <w:sz w:val="20"/>
          <w:szCs w:val="20"/>
          <w:lang w:eastAsia="fr-FR"/>
        </w:rPr>
        <w:t>.</w:t>
      </w:r>
      <w:r w:rsidRPr="008D0AC2">
        <w:rPr>
          <w:rFonts w:asciiTheme="majorHAnsi" w:eastAsia="Times New Roman" w:hAnsiTheme="majorHAnsi" w:cs="Times New Roman"/>
          <w:i/>
          <w:iCs/>
          <w:sz w:val="20"/>
          <w:szCs w:val="20"/>
          <w:lang w:eastAsia="fr-FR"/>
        </w:rPr>
        <w:t xml:space="preserve"> Lubineau, </w:t>
      </w:r>
      <w:r w:rsidRPr="003B2E8B">
        <w:rPr>
          <w:rFonts w:asciiTheme="majorHAnsi" w:eastAsia="Times New Roman" w:hAnsiTheme="majorHAnsi" w:cs="Times New Roman"/>
          <w:i/>
          <w:iCs/>
          <w:sz w:val="20"/>
          <w:szCs w:val="20"/>
          <w:lang w:eastAsia="fr-FR"/>
        </w:rPr>
        <w:t>Comment appréhender le classement en invalidité des salariés ?</w:t>
      </w:r>
      <w:r>
        <w:rPr>
          <w:rFonts w:asciiTheme="majorHAnsi" w:eastAsia="Times New Roman" w:hAnsiTheme="majorHAnsi" w:cs="Times New Roman"/>
          <w:i/>
          <w:iCs/>
          <w:sz w:val="20"/>
          <w:szCs w:val="20"/>
          <w:lang w:eastAsia="fr-FR"/>
        </w:rPr>
        <w:t>, JCP S 2022.1010</w:t>
      </w:r>
    </w:p>
    <w:p w14:paraId="5988E1A0" w14:textId="3423E508" w:rsidR="00807694" w:rsidRPr="00C163BC" w:rsidRDefault="00807694">
      <w:pPr>
        <w:rPr>
          <w:b/>
          <w:bCs/>
          <w:i/>
          <w:iCs/>
          <w:color w:val="A02B93" w:themeColor="accent5"/>
          <w:sz w:val="18"/>
          <w:szCs w:val="18"/>
        </w:rPr>
      </w:pPr>
      <w:r w:rsidRPr="00C163BC">
        <w:rPr>
          <w:b/>
          <w:bCs/>
          <w:i/>
          <w:iCs/>
          <w:color w:val="A02B93" w:themeColor="accent5"/>
          <w:sz w:val="18"/>
          <w:szCs w:val="18"/>
        </w:rPr>
        <w:t>Sujet exposé :</w:t>
      </w:r>
    </w:p>
    <w:p w14:paraId="3CAEFEAE" w14:textId="2E23E0D2" w:rsidR="00807694" w:rsidRPr="00C163BC" w:rsidRDefault="00807694">
      <w:pPr>
        <w:rPr>
          <w:b/>
          <w:bCs/>
          <w:i/>
          <w:iCs/>
          <w:color w:val="A02B93" w:themeColor="accent5"/>
          <w:sz w:val="18"/>
          <w:szCs w:val="18"/>
        </w:rPr>
      </w:pPr>
      <w:r w:rsidRPr="00C163BC">
        <w:rPr>
          <w:b/>
          <w:bCs/>
          <w:i/>
          <w:iCs/>
          <w:color w:val="A02B93" w:themeColor="accent5"/>
          <w:sz w:val="18"/>
          <w:szCs w:val="18"/>
        </w:rPr>
        <w:tab/>
        <w:t>L’invalidité et l’incapacité de travail font elle obstacle à la reprise du travail ?</w:t>
      </w:r>
    </w:p>
    <w:p w14:paraId="746E2045" w14:textId="2C1A2A3D" w:rsidR="00D321C6" w:rsidRDefault="00D321C6" w:rsidP="003A7D44">
      <w:pPr>
        <w:shd w:val="clear" w:color="auto" w:fill="BFBFBF" w:themeFill="background1" w:themeFillShade="BF"/>
      </w:pPr>
      <w:r>
        <w:t xml:space="preserve">Séance 5 – </w:t>
      </w:r>
      <w:r w:rsidR="00E34E7A">
        <w:t>2</w:t>
      </w:r>
      <w:r>
        <w:t xml:space="preserve">5/03/2025 : </w:t>
      </w:r>
      <w:r w:rsidR="00A92B6A">
        <w:t>La retraite supplémentaire</w:t>
      </w:r>
    </w:p>
    <w:p w14:paraId="4F83967E" w14:textId="77777777" w:rsidR="00A92B6A" w:rsidRDefault="00A92B6A" w:rsidP="00A92B6A">
      <w:pPr>
        <w:rPr>
          <w:b/>
          <w:bCs/>
          <w:i/>
          <w:iCs/>
          <w:color w:val="A02B93" w:themeColor="accent5"/>
          <w:sz w:val="18"/>
          <w:szCs w:val="18"/>
        </w:rPr>
      </w:pPr>
    </w:p>
    <w:p w14:paraId="5F6C91E3" w14:textId="6F814268" w:rsidR="00A92B6A" w:rsidRDefault="00A92B6A" w:rsidP="00A92B6A">
      <w:pPr>
        <w:rPr>
          <w:b/>
          <w:bCs/>
          <w:i/>
          <w:iCs/>
          <w:color w:val="A02B93" w:themeColor="accent5"/>
          <w:sz w:val="18"/>
          <w:szCs w:val="18"/>
        </w:rPr>
      </w:pPr>
      <w:r>
        <w:rPr>
          <w:b/>
          <w:bCs/>
          <w:i/>
          <w:iCs/>
          <w:color w:val="A02B93" w:themeColor="accent5"/>
          <w:sz w:val="18"/>
          <w:szCs w:val="18"/>
        </w:rPr>
        <w:t>Sujet exposé :</w:t>
      </w:r>
    </w:p>
    <w:p w14:paraId="5A2856D1" w14:textId="502D61A0" w:rsidR="00A92B6A" w:rsidRDefault="00A92B6A" w:rsidP="00A92B6A">
      <w:pPr>
        <w:rPr>
          <w:b/>
          <w:bCs/>
          <w:i/>
          <w:iCs/>
          <w:color w:val="A02B93" w:themeColor="accent5"/>
          <w:sz w:val="18"/>
          <w:szCs w:val="18"/>
        </w:rPr>
      </w:pPr>
      <w:r>
        <w:rPr>
          <w:b/>
          <w:bCs/>
          <w:i/>
          <w:iCs/>
          <w:color w:val="A02B93" w:themeColor="accent5"/>
          <w:sz w:val="18"/>
          <w:szCs w:val="18"/>
        </w:rPr>
        <w:tab/>
      </w:r>
      <w:r w:rsidR="00C01280">
        <w:rPr>
          <w:b/>
          <w:bCs/>
          <w:i/>
          <w:iCs/>
          <w:color w:val="A02B93" w:themeColor="accent5"/>
          <w:sz w:val="18"/>
          <w:szCs w:val="18"/>
        </w:rPr>
        <w:t>L’entreprise et la retraite supplémentaire :</w:t>
      </w:r>
      <w:r w:rsidR="005F1E3B">
        <w:rPr>
          <w:b/>
          <w:bCs/>
          <w:i/>
          <w:iCs/>
          <w:color w:val="A02B93" w:themeColor="accent5"/>
          <w:sz w:val="18"/>
          <w:szCs w:val="18"/>
        </w:rPr>
        <w:t xml:space="preserve"> contrainte pour le salarié ou intérêt</w:t>
      </w:r>
      <w:r w:rsidR="00C01280">
        <w:rPr>
          <w:b/>
          <w:bCs/>
          <w:i/>
          <w:iCs/>
          <w:color w:val="A02B93" w:themeColor="accent5"/>
          <w:sz w:val="18"/>
          <w:szCs w:val="18"/>
        </w:rPr>
        <w:t> ?</w:t>
      </w:r>
    </w:p>
    <w:p w14:paraId="717ADAB6" w14:textId="3B2D2F7D" w:rsidR="004C2938" w:rsidRDefault="004C2938" w:rsidP="003A7D44">
      <w:pPr>
        <w:shd w:val="clear" w:color="auto" w:fill="BFBFBF" w:themeFill="background1" w:themeFillShade="BF"/>
      </w:pPr>
      <w:r>
        <w:t xml:space="preserve">Séance </w:t>
      </w:r>
      <w:r w:rsidR="00D321C6">
        <w:t>6</w:t>
      </w:r>
      <w:r>
        <w:t xml:space="preserve"> – </w:t>
      </w:r>
      <w:r w:rsidR="00D321C6">
        <w:t>01/04</w:t>
      </w:r>
      <w:r>
        <w:t xml:space="preserve">/2025 : </w:t>
      </w:r>
      <w:r w:rsidR="003B28CC">
        <w:t>La complémentaire santé</w:t>
      </w:r>
    </w:p>
    <w:p w14:paraId="274EE7D1" w14:textId="3D888C21" w:rsidR="0067402F" w:rsidRPr="0067402F" w:rsidRDefault="0067402F" w:rsidP="0067402F">
      <w:pPr>
        <w:spacing w:before="100" w:beforeAutospacing="1" w:after="100" w:afterAutospacing="1"/>
        <w:jc w:val="both"/>
        <w:rPr>
          <w:rFonts w:asciiTheme="majorHAnsi" w:eastAsia="Times New Roman" w:hAnsiTheme="majorHAnsi" w:cs="Times New Roman"/>
          <w:i/>
          <w:iCs/>
          <w:sz w:val="20"/>
          <w:szCs w:val="20"/>
          <w:lang w:eastAsia="fr-FR"/>
        </w:rPr>
      </w:pPr>
      <w:r>
        <w:rPr>
          <w:rFonts w:asciiTheme="majorHAnsi" w:eastAsia="Times New Roman" w:hAnsiTheme="majorHAnsi" w:cs="Times New Roman"/>
          <w:i/>
          <w:iCs/>
          <w:sz w:val="20"/>
          <w:szCs w:val="20"/>
          <w:lang w:eastAsia="fr-FR"/>
        </w:rPr>
        <w:t>Article à</w:t>
      </w:r>
      <w:r w:rsidRPr="0067402F">
        <w:rPr>
          <w:rFonts w:asciiTheme="majorHAnsi" w:eastAsia="Times New Roman" w:hAnsiTheme="majorHAnsi" w:cs="Times New Roman"/>
          <w:i/>
          <w:iCs/>
          <w:sz w:val="20"/>
          <w:szCs w:val="20"/>
          <w:lang w:eastAsia="fr-FR"/>
        </w:rPr>
        <w:t xml:space="preserve"> lire : M. Del Sol, Généralisation de la couverture complémentaire santé des salariés, éléments de controverse, Dr. social 2014, 165 ; N. Jean-Marie, La complémentaire santé en 2020 : Un avantage de prévoyance à part entière ? , RJS juil. 2020, p. 480. </w:t>
      </w:r>
    </w:p>
    <w:p w14:paraId="688DE9CA" w14:textId="0F5140AD" w:rsidR="0067402F" w:rsidRPr="0082323B" w:rsidRDefault="001A1E3B">
      <w:pPr>
        <w:rPr>
          <w:b/>
          <w:bCs/>
          <w:i/>
          <w:iCs/>
          <w:color w:val="A02B93" w:themeColor="accent5"/>
          <w:sz w:val="18"/>
          <w:szCs w:val="18"/>
        </w:rPr>
      </w:pPr>
      <w:r w:rsidRPr="0082323B">
        <w:rPr>
          <w:b/>
          <w:bCs/>
          <w:i/>
          <w:iCs/>
          <w:color w:val="A02B93" w:themeColor="accent5"/>
          <w:sz w:val="18"/>
          <w:szCs w:val="18"/>
        </w:rPr>
        <w:t>Sujet exposé :</w:t>
      </w:r>
    </w:p>
    <w:p w14:paraId="78FB2750" w14:textId="2A16C235" w:rsidR="005C2E26" w:rsidRPr="0082323B" w:rsidRDefault="001A1E3B">
      <w:pPr>
        <w:rPr>
          <w:b/>
          <w:bCs/>
          <w:i/>
          <w:iCs/>
          <w:color w:val="A02B93" w:themeColor="accent5"/>
          <w:sz w:val="18"/>
          <w:szCs w:val="18"/>
        </w:rPr>
      </w:pPr>
      <w:r w:rsidRPr="0082323B">
        <w:rPr>
          <w:b/>
          <w:bCs/>
          <w:i/>
          <w:iCs/>
          <w:color w:val="A02B93" w:themeColor="accent5"/>
          <w:sz w:val="18"/>
          <w:szCs w:val="18"/>
        </w:rPr>
        <w:tab/>
        <w:t>Un salarié peut-il refuser de prendre la complémentaire santé de l’entreprise</w:t>
      </w:r>
      <w:r w:rsidR="005C2E26">
        <w:rPr>
          <w:b/>
          <w:bCs/>
          <w:i/>
          <w:iCs/>
          <w:color w:val="A02B93" w:themeColor="accent5"/>
          <w:sz w:val="18"/>
          <w:szCs w:val="18"/>
        </w:rPr>
        <w:t> ?</w:t>
      </w:r>
    </w:p>
    <w:p w14:paraId="000D4F56" w14:textId="442F5499" w:rsidR="00007A79" w:rsidRDefault="004C2938" w:rsidP="00291530">
      <w:pPr>
        <w:shd w:val="clear" w:color="auto" w:fill="BFBFBF" w:themeFill="background1" w:themeFillShade="BF"/>
      </w:pPr>
      <w:r>
        <w:t xml:space="preserve">Séance </w:t>
      </w:r>
      <w:r w:rsidR="00D321C6">
        <w:t>7</w:t>
      </w:r>
      <w:r>
        <w:t xml:space="preserve"> </w:t>
      </w:r>
      <w:r w:rsidR="002A73E8">
        <w:t>–</w:t>
      </w:r>
      <w:r>
        <w:t xml:space="preserve"> </w:t>
      </w:r>
      <w:r w:rsidR="002A73E8">
        <w:t>0</w:t>
      </w:r>
      <w:r w:rsidR="00D321C6">
        <w:t>8</w:t>
      </w:r>
      <w:r w:rsidR="002A73E8">
        <w:t xml:space="preserve">/04/2025 : </w:t>
      </w:r>
      <w:r w:rsidR="003B28CC">
        <w:t>Le risque décès</w:t>
      </w:r>
    </w:p>
    <w:p w14:paraId="398165EA" w14:textId="0D214944" w:rsidR="003E15CA" w:rsidRPr="0082323B" w:rsidRDefault="001A1E3B" w:rsidP="00007A79">
      <w:pPr>
        <w:rPr>
          <w:b/>
          <w:bCs/>
          <w:i/>
          <w:iCs/>
          <w:color w:val="A02B93" w:themeColor="accent5"/>
          <w:sz w:val="18"/>
          <w:szCs w:val="18"/>
        </w:rPr>
      </w:pPr>
      <w:r w:rsidRPr="0082323B">
        <w:rPr>
          <w:b/>
          <w:bCs/>
          <w:i/>
          <w:iCs/>
          <w:color w:val="A02B93" w:themeColor="accent5"/>
          <w:sz w:val="18"/>
          <w:szCs w:val="18"/>
        </w:rPr>
        <w:t>Sujet exposé :</w:t>
      </w:r>
    </w:p>
    <w:p w14:paraId="61F51275" w14:textId="65440889" w:rsidR="005664DF" w:rsidRPr="0082323B" w:rsidRDefault="005664DF" w:rsidP="00007A79">
      <w:pPr>
        <w:rPr>
          <w:b/>
          <w:bCs/>
          <w:i/>
          <w:iCs/>
          <w:color w:val="A02B93" w:themeColor="accent5"/>
          <w:sz w:val="18"/>
          <w:szCs w:val="18"/>
        </w:rPr>
      </w:pPr>
      <w:r w:rsidRPr="0082323B">
        <w:rPr>
          <w:b/>
          <w:bCs/>
          <w:i/>
          <w:iCs/>
          <w:color w:val="A02B93" w:themeColor="accent5"/>
          <w:sz w:val="18"/>
          <w:szCs w:val="18"/>
        </w:rPr>
        <w:tab/>
      </w:r>
      <w:r w:rsidR="00B2015D" w:rsidRPr="0082323B">
        <w:rPr>
          <w:b/>
          <w:bCs/>
          <w:i/>
          <w:iCs/>
          <w:color w:val="A02B93" w:themeColor="accent5"/>
          <w:sz w:val="18"/>
          <w:szCs w:val="18"/>
        </w:rPr>
        <w:t>Les ayant droits d’un salarié décédé et l’employeur : droits et démarches.</w:t>
      </w:r>
    </w:p>
    <w:p w14:paraId="2CA659C2" w14:textId="3888747E" w:rsidR="00D73931" w:rsidRDefault="00D73931" w:rsidP="00291530">
      <w:pPr>
        <w:shd w:val="clear" w:color="auto" w:fill="BFBFBF" w:themeFill="background1" w:themeFillShade="BF"/>
      </w:pPr>
      <w:r>
        <w:t xml:space="preserve">Séance 8 – </w:t>
      </w:r>
      <w:r w:rsidR="00E34E7A">
        <w:t>22</w:t>
      </w:r>
      <w:r>
        <w:t xml:space="preserve">/04/2025 : </w:t>
      </w:r>
      <w:r w:rsidR="003B28CC">
        <w:t>La mise en place de la prévoyance I</w:t>
      </w:r>
      <w:r w:rsidR="003E15CA">
        <w:t xml:space="preserve"> (au niveau de la branche)</w:t>
      </w:r>
    </w:p>
    <w:p w14:paraId="125CE974" w14:textId="517FF0EB" w:rsidR="003E15CA" w:rsidRDefault="003E15CA" w:rsidP="003E15CA">
      <w:pPr>
        <w:spacing w:before="100" w:beforeAutospacing="1" w:after="100" w:afterAutospacing="1"/>
        <w:jc w:val="both"/>
        <w:rPr>
          <w:rFonts w:asciiTheme="majorHAnsi" w:eastAsia="Times New Roman" w:hAnsiTheme="majorHAnsi" w:cs="Times New Roman"/>
          <w:i/>
          <w:iCs/>
          <w:sz w:val="20"/>
          <w:szCs w:val="20"/>
          <w:lang w:eastAsia="fr-FR"/>
        </w:rPr>
      </w:pPr>
      <w:r w:rsidRPr="003E15CA">
        <w:rPr>
          <w:rFonts w:asciiTheme="majorHAnsi" w:eastAsia="Times New Roman" w:hAnsiTheme="majorHAnsi" w:cs="Times New Roman"/>
          <w:i/>
          <w:iCs/>
          <w:sz w:val="20"/>
          <w:szCs w:val="20"/>
          <w:lang w:eastAsia="fr-FR"/>
        </w:rPr>
        <w:t>Articles à lire : Le Meur et J. Barthélémy, Protection sociale complémentaire : choix de l’assureur et transparence, Dr. soc. 2016, 376 ; A Panneau, Les employeurs face au choix d’une complémentaire santé en l’absence d’accord collectif de branche, Droit social 2016, 281</w:t>
      </w:r>
    </w:p>
    <w:p w14:paraId="5D3B643E" w14:textId="020A4F9F" w:rsidR="00983993" w:rsidRPr="0082323B" w:rsidRDefault="00983993" w:rsidP="003E15CA">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82323B">
        <w:rPr>
          <w:rFonts w:asciiTheme="majorHAnsi" w:eastAsia="Times New Roman" w:hAnsiTheme="majorHAnsi" w:cs="Times New Roman"/>
          <w:b/>
          <w:bCs/>
          <w:i/>
          <w:iCs/>
          <w:color w:val="A02B93" w:themeColor="accent5"/>
          <w:sz w:val="18"/>
          <w:szCs w:val="18"/>
          <w:lang w:eastAsia="fr-FR"/>
        </w:rPr>
        <w:lastRenderedPageBreak/>
        <w:t>Sujet exposé :</w:t>
      </w:r>
    </w:p>
    <w:p w14:paraId="156C099E" w14:textId="77FF2C8F" w:rsidR="00983993" w:rsidRPr="0082323B" w:rsidRDefault="00DD1AAA" w:rsidP="00DD1AAA">
      <w:pPr>
        <w:spacing w:before="100" w:beforeAutospacing="1" w:after="100" w:afterAutospacing="1"/>
        <w:ind w:left="700"/>
        <w:jc w:val="both"/>
        <w:rPr>
          <w:rFonts w:asciiTheme="majorHAnsi" w:hAnsiTheme="majorHAnsi"/>
          <w:b/>
          <w:bCs/>
          <w:color w:val="A02B93" w:themeColor="accent5"/>
          <w:sz w:val="18"/>
          <w:szCs w:val="18"/>
        </w:rPr>
      </w:pPr>
      <w:r>
        <w:rPr>
          <w:rFonts w:asciiTheme="majorHAnsi" w:eastAsia="Times New Roman" w:hAnsiTheme="majorHAnsi" w:cs="Times New Roman"/>
          <w:b/>
          <w:bCs/>
          <w:i/>
          <w:iCs/>
          <w:color w:val="A02B93" w:themeColor="accent5"/>
          <w:sz w:val="18"/>
          <w:szCs w:val="18"/>
          <w:lang w:eastAsia="fr-FR"/>
        </w:rPr>
        <w:t xml:space="preserve">Les </w:t>
      </w:r>
      <w:r w:rsidR="005E4787">
        <w:rPr>
          <w:rFonts w:asciiTheme="majorHAnsi" w:eastAsia="Times New Roman" w:hAnsiTheme="majorHAnsi" w:cs="Times New Roman"/>
          <w:b/>
          <w:bCs/>
          <w:i/>
          <w:iCs/>
          <w:color w:val="A02B93" w:themeColor="accent5"/>
          <w:sz w:val="18"/>
          <w:szCs w:val="18"/>
          <w:lang w:eastAsia="fr-FR"/>
        </w:rPr>
        <w:t xml:space="preserve">institutions de </w:t>
      </w:r>
      <w:r>
        <w:rPr>
          <w:rFonts w:asciiTheme="majorHAnsi" w:eastAsia="Times New Roman" w:hAnsiTheme="majorHAnsi" w:cs="Times New Roman"/>
          <w:b/>
          <w:bCs/>
          <w:i/>
          <w:iCs/>
          <w:color w:val="A02B93" w:themeColor="accent5"/>
          <w:sz w:val="18"/>
          <w:szCs w:val="18"/>
          <w:lang w:eastAsia="fr-FR"/>
        </w:rPr>
        <w:t>prévoyance</w:t>
      </w:r>
      <w:r w:rsidR="005E4787">
        <w:rPr>
          <w:rFonts w:asciiTheme="majorHAnsi" w:eastAsia="Times New Roman" w:hAnsiTheme="majorHAnsi" w:cs="Times New Roman"/>
          <w:b/>
          <w:bCs/>
          <w:i/>
          <w:iCs/>
          <w:color w:val="A02B93" w:themeColor="accent5"/>
          <w:sz w:val="18"/>
          <w:szCs w:val="18"/>
          <w:lang w:eastAsia="fr-FR"/>
        </w:rPr>
        <w:t>/complémentaire santé</w:t>
      </w:r>
      <w:r>
        <w:rPr>
          <w:rFonts w:asciiTheme="majorHAnsi" w:eastAsia="Times New Roman" w:hAnsiTheme="majorHAnsi" w:cs="Times New Roman"/>
          <w:b/>
          <w:bCs/>
          <w:i/>
          <w:iCs/>
          <w:color w:val="A02B93" w:themeColor="accent5"/>
          <w:sz w:val="18"/>
          <w:szCs w:val="18"/>
          <w:lang w:eastAsia="fr-FR"/>
        </w:rPr>
        <w:t xml:space="preserve"> et la prévention des risques professionnels et de santé.</w:t>
      </w:r>
    </w:p>
    <w:p w14:paraId="246B156B" w14:textId="59484F4A" w:rsidR="004C2938" w:rsidRDefault="00D321C6" w:rsidP="00291530">
      <w:pPr>
        <w:shd w:val="clear" w:color="auto" w:fill="BFBFBF" w:themeFill="background1" w:themeFillShade="BF"/>
      </w:pPr>
      <w:r>
        <w:t xml:space="preserve">Séance 8 </w:t>
      </w:r>
      <w:r w:rsidR="000871B8">
        <w:t>–</w:t>
      </w:r>
      <w:r>
        <w:t xml:space="preserve"> </w:t>
      </w:r>
      <w:r w:rsidR="001E44BC">
        <w:t>2</w:t>
      </w:r>
      <w:r w:rsidR="00E34E7A">
        <w:t>9</w:t>
      </w:r>
      <w:r w:rsidR="000871B8">
        <w:t xml:space="preserve">/04/2025 : </w:t>
      </w:r>
      <w:r w:rsidR="003B28CC">
        <w:t>La mise en place de la prévoyance II</w:t>
      </w:r>
      <w:r w:rsidR="003E15CA">
        <w:t xml:space="preserve"> (au niveau de l’entreprise)</w:t>
      </w:r>
    </w:p>
    <w:p w14:paraId="574714BC" w14:textId="135D55C6" w:rsidR="003E15CA" w:rsidRDefault="0067402F" w:rsidP="003E15CA">
      <w:pPr>
        <w:spacing w:before="100" w:beforeAutospacing="1" w:after="100" w:afterAutospacing="1"/>
        <w:jc w:val="both"/>
        <w:rPr>
          <w:rFonts w:asciiTheme="majorHAnsi" w:eastAsia="Times New Roman" w:hAnsiTheme="majorHAnsi" w:cs="Times New Roman"/>
          <w:i/>
          <w:iCs/>
          <w:sz w:val="20"/>
          <w:szCs w:val="20"/>
          <w:lang w:eastAsia="fr-FR"/>
        </w:rPr>
      </w:pPr>
      <w:r>
        <w:rPr>
          <w:rFonts w:asciiTheme="majorHAnsi" w:eastAsia="Times New Roman" w:hAnsiTheme="majorHAnsi" w:cs="Times New Roman"/>
          <w:i/>
          <w:iCs/>
          <w:sz w:val="20"/>
          <w:szCs w:val="20"/>
          <w:lang w:eastAsia="fr-FR"/>
        </w:rPr>
        <w:t>Articles à lire :</w:t>
      </w:r>
      <w:r w:rsidR="003E15CA" w:rsidRPr="003E15CA">
        <w:rPr>
          <w:rFonts w:asciiTheme="majorHAnsi" w:eastAsia="Times New Roman" w:hAnsiTheme="majorHAnsi" w:cs="Times New Roman"/>
          <w:i/>
          <w:iCs/>
          <w:sz w:val="20"/>
          <w:szCs w:val="20"/>
          <w:lang w:eastAsia="fr-FR"/>
        </w:rPr>
        <w:t xml:space="preserve"> A. Derue, G. Lacroix, comm. Sous Civ. 2e, 24 oct., 2019, n° 18-20.016, JCP S. 2019.1376 ; J. Barthélémy, Le référendum source de garanties collectives de prévoyance, Dr. soc. 2012, p. 70.</w:t>
      </w:r>
    </w:p>
    <w:p w14:paraId="4CD70E1B" w14:textId="1FB12B7D" w:rsidR="005E4787" w:rsidRPr="005E4787" w:rsidRDefault="005E4787" w:rsidP="003E15CA">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5E4787">
        <w:rPr>
          <w:rFonts w:asciiTheme="majorHAnsi" w:eastAsia="Times New Roman" w:hAnsiTheme="majorHAnsi" w:cs="Times New Roman"/>
          <w:b/>
          <w:bCs/>
          <w:i/>
          <w:iCs/>
          <w:color w:val="A02B93" w:themeColor="accent5"/>
          <w:sz w:val="18"/>
          <w:szCs w:val="18"/>
          <w:lang w:eastAsia="fr-FR"/>
        </w:rPr>
        <w:t>Sujet exposé :</w:t>
      </w:r>
    </w:p>
    <w:p w14:paraId="67FA9EC4" w14:textId="766605E7" w:rsidR="005E4787" w:rsidRPr="005E4787" w:rsidRDefault="005E4787" w:rsidP="003E15CA">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5E4787">
        <w:rPr>
          <w:rFonts w:asciiTheme="majorHAnsi" w:eastAsia="Times New Roman" w:hAnsiTheme="majorHAnsi" w:cs="Times New Roman"/>
          <w:b/>
          <w:bCs/>
          <w:i/>
          <w:iCs/>
          <w:color w:val="A02B93" w:themeColor="accent5"/>
          <w:sz w:val="18"/>
          <w:szCs w:val="18"/>
          <w:lang w:eastAsia="fr-FR"/>
        </w:rPr>
        <w:tab/>
      </w:r>
      <w:r w:rsidR="00D247FC">
        <w:rPr>
          <w:rFonts w:asciiTheme="majorHAnsi" w:eastAsia="Times New Roman" w:hAnsiTheme="majorHAnsi" w:cs="Times New Roman"/>
          <w:b/>
          <w:bCs/>
          <w:i/>
          <w:iCs/>
          <w:color w:val="A02B93" w:themeColor="accent5"/>
          <w:sz w:val="18"/>
          <w:szCs w:val="18"/>
          <w:lang w:eastAsia="fr-FR"/>
        </w:rPr>
        <w:t>La protection sociale complémentaire</w:t>
      </w:r>
      <w:r w:rsidRPr="005E4787">
        <w:rPr>
          <w:rFonts w:asciiTheme="majorHAnsi" w:eastAsia="Times New Roman" w:hAnsiTheme="majorHAnsi" w:cs="Times New Roman"/>
          <w:b/>
          <w:bCs/>
          <w:i/>
          <w:iCs/>
          <w:color w:val="A02B93" w:themeColor="accent5"/>
          <w:sz w:val="18"/>
          <w:szCs w:val="18"/>
          <w:lang w:eastAsia="fr-FR"/>
        </w:rPr>
        <w:t xml:space="preserve"> est-il un élément de la « marque employeur » ?</w:t>
      </w:r>
    </w:p>
    <w:p w14:paraId="11C72E16" w14:textId="2477E8CF" w:rsidR="000871B8" w:rsidRDefault="000871B8" w:rsidP="00291530">
      <w:pPr>
        <w:shd w:val="clear" w:color="auto" w:fill="BFBFBF" w:themeFill="background1" w:themeFillShade="BF"/>
      </w:pPr>
      <w:r>
        <w:t xml:space="preserve">Séance 9 – </w:t>
      </w:r>
      <w:r w:rsidR="00E34E7A">
        <w:t>06/05</w:t>
      </w:r>
      <w:r>
        <w:t xml:space="preserve">/2025 : </w:t>
      </w:r>
      <w:r w:rsidR="003B28CC">
        <w:t>Séance de comparaison/réflexion sur des accords existants</w:t>
      </w:r>
    </w:p>
    <w:p w14:paraId="2F5B8CFA" w14:textId="27773201" w:rsidR="00291530" w:rsidRPr="00B729AC" w:rsidRDefault="00291530">
      <w:pPr>
        <w:rPr>
          <w:i/>
          <w:iCs/>
          <w:sz w:val="18"/>
          <w:szCs w:val="18"/>
        </w:rPr>
      </w:pPr>
      <w:r w:rsidRPr="00B729AC">
        <w:rPr>
          <w:i/>
          <w:iCs/>
          <w:sz w:val="18"/>
          <w:szCs w:val="18"/>
        </w:rPr>
        <w:t xml:space="preserve">Pour cette séance, </w:t>
      </w:r>
      <w:r w:rsidRPr="00B729AC">
        <w:rPr>
          <w:b/>
          <w:bCs/>
          <w:i/>
          <w:iCs/>
          <w:sz w:val="18"/>
          <w:szCs w:val="18"/>
          <w:u w:val="single"/>
        </w:rPr>
        <w:t>il faut que chacun</w:t>
      </w:r>
      <w:r w:rsidRPr="00B729AC">
        <w:rPr>
          <w:i/>
          <w:iCs/>
          <w:sz w:val="18"/>
          <w:szCs w:val="18"/>
        </w:rPr>
        <w:t xml:space="preserve"> cherche et trouve l’accord d’entreprise ou qui s’applique au sein de l’entreprise dans laquelle il travaille ou à tout le moins la notice de PSC applicable et </w:t>
      </w:r>
      <w:r w:rsidR="00B729AC" w:rsidRPr="00B729AC">
        <w:rPr>
          <w:i/>
          <w:iCs/>
          <w:sz w:val="18"/>
          <w:szCs w:val="18"/>
        </w:rPr>
        <w:t>prépare une présentation de 2-3 minutes sur les principaux avantages qu’elles couvrent.</w:t>
      </w:r>
    </w:p>
    <w:p w14:paraId="3E3713E5" w14:textId="6F1F56FD" w:rsidR="00D73931" w:rsidRDefault="001E44BC" w:rsidP="00B729AC">
      <w:pPr>
        <w:shd w:val="clear" w:color="auto" w:fill="BFBFBF" w:themeFill="background1" w:themeFillShade="BF"/>
      </w:pPr>
      <w:r>
        <w:t xml:space="preserve">Séance 10 – </w:t>
      </w:r>
      <w:r w:rsidR="00E34E7A">
        <w:t>13</w:t>
      </w:r>
      <w:r>
        <w:t>/05/2025 :</w:t>
      </w:r>
      <w:r w:rsidR="00152363">
        <w:t xml:space="preserve"> </w:t>
      </w:r>
      <w:r w:rsidR="003066EA">
        <w:t>L</w:t>
      </w:r>
      <w:r w:rsidR="00D247FC">
        <w:t>a protection sociale complémentaire et la rupture du contrat de travail : aspects pratiques</w:t>
      </w:r>
    </w:p>
    <w:p w14:paraId="0ED0B31E" w14:textId="69E7DBB1" w:rsidR="00D247FC" w:rsidRPr="00D247FC" w:rsidRDefault="00D247FC" w:rsidP="00D247FC">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D247FC">
        <w:rPr>
          <w:rFonts w:asciiTheme="majorHAnsi" w:eastAsia="Times New Roman" w:hAnsiTheme="majorHAnsi" w:cs="Times New Roman"/>
          <w:b/>
          <w:bCs/>
          <w:i/>
          <w:iCs/>
          <w:color w:val="A02B93" w:themeColor="accent5"/>
          <w:sz w:val="18"/>
          <w:szCs w:val="18"/>
          <w:lang w:eastAsia="fr-FR"/>
        </w:rPr>
        <w:t>Sujet exposé :</w:t>
      </w:r>
    </w:p>
    <w:p w14:paraId="0A991B66" w14:textId="0830FEC7" w:rsidR="00D247FC" w:rsidRPr="00D247FC" w:rsidRDefault="00D247FC" w:rsidP="00D247FC">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D247FC">
        <w:rPr>
          <w:rFonts w:asciiTheme="majorHAnsi" w:eastAsia="Times New Roman" w:hAnsiTheme="majorHAnsi" w:cs="Times New Roman"/>
          <w:b/>
          <w:bCs/>
          <w:i/>
          <w:iCs/>
          <w:color w:val="A02B93" w:themeColor="accent5"/>
          <w:sz w:val="18"/>
          <w:szCs w:val="18"/>
          <w:lang w:eastAsia="fr-FR"/>
        </w:rPr>
        <w:tab/>
        <w:t>Les conditions et l’étendue dans le temps de la portabilité</w:t>
      </w:r>
    </w:p>
    <w:p w14:paraId="08A47EA2" w14:textId="689ED026" w:rsidR="001E44BC" w:rsidRDefault="001E44BC" w:rsidP="00B729AC">
      <w:pPr>
        <w:shd w:val="clear" w:color="auto" w:fill="BFBFBF" w:themeFill="background1" w:themeFillShade="BF"/>
      </w:pPr>
      <w:r>
        <w:t xml:space="preserve">Séance 11 – </w:t>
      </w:r>
      <w:r w:rsidR="00E34E7A">
        <w:t>20</w:t>
      </w:r>
      <w:r>
        <w:t>/</w:t>
      </w:r>
      <w:r w:rsidR="00E34E7A">
        <w:t>05</w:t>
      </w:r>
      <w:r>
        <w:t>/2025 :</w:t>
      </w:r>
      <w:r w:rsidR="003066EA">
        <w:t xml:space="preserve"> Le télétravail et la protection sociale complémentaire</w:t>
      </w:r>
    </w:p>
    <w:p w14:paraId="70D72335" w14:textId="021CC993" w:rsidR="00B729AC" w:rsidRPr="00C163BC" w:rsidRDefault="00983993" w:rsidP="00C163BC">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C163BC">
        <w:rPr>
          <w:rFonts w:asciiTheme="majorHAnsi" w:eastAsia="Times New Roman" w:hAnsiTheme="majorHAnsi" w:cs="Times New Roman"/>
          <w:b/>
          <w:bCs/>
          <w:i/>
          <w:iCs/>
          <w:color w:val="A02B93" w:themeColor="accent5"/>
          <w:sz w:val="18"/>
          <w:szCs w:val="18"/>
          <w:lang w:eastAsia="fr-FR"/>
        </w:rPr>
        <w:t>Sujet exposé :</w:t>
      </w:r>
    </w:p>
    <w:p w14:paraId="7C58E413" w14:textId="71FCEBBF" w:rsidR="00983993" w:rsidRPr="00C163BC" w:rsidRDefault="00983993" w:rsidP="00C163BC">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C163BC">
        <w:rPr>
          <w:rFonts w:asciiTheme="majorHAnsi" w:eastAsia="Times New Roman" w:hAnsiTheme="majorHAnsi" w:cs="Times New Roman"/>
          <w:b/>
          <w:bCs/>
          <w:i/>
          <w:iCs/>
          <w:color w:val="A02B93" w:themeColor="accent5"/>
          <w:sz w:val="18"/>
          <w:szCs w:val="18"/>
          <w:lang w:eastAsia="fr-FR"/>
        </w:rPr>
        <w:tab/>
      </w:r>
      <w:r w:rsidR="00000AFD" w:rsidRPr="00C163BC">
        <w:rPr>
          <w:rFonts w:asciiTheme="majorHAnsi" w:eastAsia="Times New Roman" w:hAnsiTheme="majorHAnsi" w:cs="Times New Roman"/>
          <w:b/>
          <w:bCs/>
          <w:i/>
          <w:iCs/>
          <w:color w:val="A02B93" w:themeColor="accent5"/>
          <w:sz w:val="18"/>
          <w:szCs w:val="18"/>
          <w:lang w:eastAsia="fr-FR"/>
        </w:rPr>
        <w:t xml:space="preserve">Le télétravail </w:t>
      </w:r>
      <w:r w:rsidR="005463E6" w:rsidRPr="00C163BC">
        <w:rPr>
          <w:rFonts w:asciiTheme="majorHAnsi" w:eastAsia="Times New Roman" w:hAnsiTheme="majorHAnsi" w:cs="Times New Roman"/>
          <w:b/>
          <w:bCs/>
          <w:i/>
          <w:iCs/>
          <w:color w:val="A02B93" w:themeColor="accent5"/>
          <w:sz w:val="18"/>
          <w:szCs w:val="18"/>
          <w:lang w:eastAsia="fr-FR"/>
        </w:rPr>
        <w:t>présente-t-il des aspects spécifiques de risque professionnel (et de prévoyance)</w:t>
      </w:r>
      <w:r w:rsidR="00000AFD" w:rsidRPr="00C163BC">
        <w:rPr>
          <w:rFonts w:asciiTheme="majorHAnsi" w:eastAsia="Times New Roman" w:hAnsiTheme="majorHAnsi" w:cs="Times New Roman"/>
          <w:b/>
          <w:bCs/>
          <w:i/>
          <w:iCs/>
          <w:color w:val="A02B93" w:themeColor="accent5"/>
          <w:sz w:val="18"/>
          <w:szCs w:val="18"/>
          <w:lang w:eastAsia="fr-FR"/>
        </w:rPr>
        <w:t> ?</w:t>
      </w:r>
    </w:p>
    <w:p w14:paraId="4CE53684" w14:textId="48745BB4" w:rsidR="001E44BC" w:rsidRDefault="001E44BC" w:rsidP="00000AFD">
      <w:pPr>
        <w:shd w:val="clear" w:color="auto" w:fill="BFBFBF" w:themeFill="background1" w:themeFillShade="BF"/>
      </w:pPr>
      <w:r>
        <w:t>Séance 12 – 2</w:t>
      </w:r>
      <w:r w:rsidR="00E34E7A">
        <w:t>7</w:t>
      </w:r>
      <w:r>
        <w:t>/05/2025 :</w:t>
      </w:r>
      <w:r w:rsidR="003066EA">
        <w:t xml:space="preserve"> La protection sociale (complémentaire ?) et « l’expatriation</w:t>
      </w:r>
      <w:r w:rsidR="00E53FFE">
        <w:t> »</w:t>
      </w:r>
    </w:p>
    <w:p w14:paraId="145BEF0E" w14:textId="39C23B7D" w:rsidR="00B729AC" w:rsidRPr="00C163BC" w:rsidRDefault="005463E6" w:rsidP="00C163BC">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C163BC">
        <w:rPr>
          <w:rFonts w:asciiTheme="majorHAnsi" w:eastAsia="Times New Roman" w:hAnsiTheme="majorHAnsi" w:cs="Times New Roman"/>
          <w:b/>
          <w:bCs/>
          <w:i/>
          <w:iCs/>
          <w:color w:val="A02B93" w:themeColor="accent5"/>
          <w:sz w:val="18"/>
          <w:szCs w:val="18"/>
          <w:lang w:eastAsia="fr-FR"/>
        </w:rPr>
        <w:t>Sujet exposé :</w:t>
      </w:r>
    </w:p>
    <w:p w14:paraId="68C887EA" w14:textId="67C980AF" w:rsidR="005463E6" w:rsidRPr="00C163BC" w:rsidRDefault="005463E6" w:rsidP="00C163BC">
      <w:pPr>
        <w:spacing w:before="100" w:beforeAutospacing="1" w:after="100" w:afterAutospacing="1"/>
        <w:ind w:left="708"/>
        <w:jc w:val="both"/>
        <w:rPr>
          <w:rFonts w:asciiTheme="majorHAnsi" w:eastAsia="Times New Roman" w:hAnsiTheme="majorHAnsi" w:cs="Times New Roman"/>
          <w:b/>
          <w:bCs/>
          <w:i/>
          <w:iCs/>
          <w:color w:val="A02B93" w:themeColor="accent5"/>
          <w:sz w:val="18"/>
          <w:szCs w:val="18"/>
          <w:lang w:eastAsia="fr-FR"/>
        </w:rPr>
      </w:pPr>
      <w:r w:rsidRPr="00C163BC">
        <w:rPr>
          <w:rFonts w:asciiTheme="majorHAnsi" w:eastAsia="Times New Roman" w:hAnsiTheme="majorHAnsi" w:cs="Times New Roman"/>
          <w:b/>
          <w:bCs/>
          <w:i/>
          <w:iCs/>
          <w:color w:val="A02B93" w:themeColor="accent5"/>
          <w:sz w:val="18"/>
          <w:szCs w:val="18"/>
          <w:lang w:eastAsia="fr-FR"/>
        </w:rPr>
        <w:t>Le salarié domicilié à l’étranger mais exécutant à distance son contrat auprès d’un employeur français est-il un salarié français comme un autre ?</w:t>
      </w:r>
    </w:p>
    <w:p w14:paraId="248BE78E" w14:textId="3A13AD6F" w:rsidR="005664DF" w:rsidRDefault="00152363" w:rsidP="00000AFD">
      <w:pPr>
        <w:shd w:val="clear" w:color="auto" w:fill="BFBFBF" w:themeFill="background1" w:themeFillShade="BF"/>
      </w:pPr>
      <w:r>
        <w:t xml:space="preserve">Séance 13 – </w:t>
      </w:r>
      <w:r w:rsidR="00E34E7A">
        <w:t>03/06</w:t>
      </w:r>
      <w:r>
        <w:t>/2025 :</w:t>
      </w:r>
      <w:r w:rsidR="003066EA">
        <w:t xml:space="preserve"> </w:t>
      </w:r>
      <w:r w:rsidR="008F20B4">
        <w:t>Le contentieux de la protection sociale complémentaire</w:t>
      </w:r>
    </w:p>
    <w:p w14:paraId="08010212" w14:textId="3457A17E" w:rsidR="00E34E7A" w:rsidRDefault="00E34E7A" w:rsidP="00000AFD">
      <w:pPr>
        <w:shd w:val="clear" w:color="auto" w:fill="BFBFBF" w:themeFill="background1" w:themeFillShade="BF"/>
      </w:pPr>
      <w:r>
        <w:tab/>
      </w:r>
      <w:r>
        <w:tab/>
        <w:t>QUIZZ FINAL</w:t>
      </w:r>
    </w:p>
    <w:p w14:paraId="567BC568" w14:textId="166126A9" w:rsidR="006F5E6C" w:rsidRPr="00E53FFE" w:rsidRDefault="006F5E6C" w:rsidP="006F5E6C">
      <w:pPr>
        <w:spacing w:before="100" w:beforeAutospacing="1" w:after="100" w:afterAutospacing="1"/>
        <w:jc w:val="both"/>
        <w:rPr>
          <w:rFonts w:asciiTheme="majorHAnsi" w:eastAsia="Times New Roman" w:hAnsiTheme="majorHAnsi" w:cs="Times New Roman"/>
          <w:i/>
          <w:iCs/>
          <w:sz w:val="20"/>
          <w:szCs w:val="20"/>
          <w:lang w:eastAsia="fr-FR"/>
        </w:rPr>
      </w:pPr>
      <w:r w:rsidRPr="00E53FFE">
        <w:rPr>
          <w:rFonts w:asciiTheme="majorHAnsi" w:eastAsia="Times New Roman" w:hAnsiTheme="majorHAnsi" w:cs="Times New Roman"/>
          <w:i/>
          <w:iCs/>
          <w:sz w:val="20"/>
          <w:szCs w:val="20"/>
          <w:lang w:eastAsia="fr-FR"/>
        </w:rPr>
        <w:t>Article à lire : X. Pignaud, Obligation d’affiliation à un régime de prévoyance : application de la prescription quinquennale, JCP S.1301</w:t>
      </w:r>
      <w:r w:rsidR="00E53FFE" w:rsidRPr="00E53FFE">
        <w:rPr>
          <w:rFonts w:asciiTheme="majorHAnsi" w:eastAsia="Times New Roman" w:hAnsiTheme="majorHAnsi" w:cs="Times New Roman"/>
          <w:i/>
          <w:iCs/>
          <w:sz w:val="20"/>
          <w:szCs w:val="20"/>
          <w:lang w:eastAsia="fr-FR"/>
        </w:rPr>
        <w:t xml:space="preserve"> (note sous Cass. Soc. 26 juin 2024, n°22-17240</w:t>
      </w:r>
      <w:r w:rsidR="00426B78">
        <w:rPr>
          <w:rFonts w:asciiTheme="majorHAnsi" w:eastAsia="Times New Roman" w:hAnsiTheme="majorHAnsi" w:cs="Times New Roman"/>
          <w:i/>
          <w:iCs/>
          <w:sz w:val="20"/>
          <w:szCs w:val="20"/>
          <w:lang w:eastAsia="fr-FR"/>
        </w:rPr>
        <w:t xml:space="preserve"> – J-Ph. LHERNOULD, Les régimes de retraite supplémentaire peuvent être réservés aux cadres dirigeants sans violer le principe d’égalité de traitement, JCP S</w:t>
      </w:r>
      <w:r w:rsidR="00717E0F">
        <w:rPr>
          <w:rFonts w:asciiTheme="majorHAnsi" w:eastAsia="Times New Roman" w:hAnsiTheme="majorHAnsi" w:cs="Times New Roman"/>
          <w:i/>
          <w:iCs/>
          <w:sz w:val="20"/>
          <w:szCs w:val="20"/>
          <w:lang w:eastAsia="fr-FR"/>
        </w:rPr>
        <w:t xml:space="preserve"> 2023.1339</w:t>
      </w:r>
    </w:p>
    <w:p w14:paraId="4FCD8D6C" w14:textId="2FAE8D9E" w:rsidR="00000AFD" w:rsidRPr="00C163BC" w:rsidRDefault="00000AFD" w:rsidP="00C163BC">
      <w:pPr>
        <w:spacing w:before="100" w:beforeAutospacing="1" w:after="100" w:afterAutospacing="1"/>
        <w:jc w:val="both"/>
        <w:rPr>
          <w:rFonts w:asciiTheme="majorHAnsi" w:eastAsia="Times New Roman" w:hAnsiTheme="majorHAnsi" w:cs="Times New Roman"/>
          <w:b/>
          <w:bCs/>
          <w:i/>
          <w:iCs/>
          <w:color w:val="A02B93" w:themeColor="accent5"/>
          <w:sz w:val="18"/>
          <w:szCs w:val="18"/>
          <w:lang w:eastAsia="fr-FR"/>
        </w:rPr>
      </w:pPr>
      <w:r w:rsidRPr="00C163BC">
        <w:rPr>
          <w:rFonts w:asciiTheme="majorHAnsi" w:eastAsia="Times New Roman" w:hAnsiTheme="majorHAnsi" w:cs="Times New Roman"/>
          <w:b/>
          <w:bCs/>
          <w:i/>
          <w:iCs/>
          <w:color w:val="A02B93" w:themeColor="accent5"/>
          <w:sz w:val="18"/>
          <w:szCs w:val="18"/>
          <w:lang w:eastAsia="fr-FR"/>
        </w:rPr>
        <w:t>Sujet d’exposé :</w:t>
      </w:r>
    </w:p>
    <w:p w14:paraId="01AE20BC" w14:textId="13E2FC32" w:rsidR="00E24F44" w:rsidRPr="00C163BC" w:rsidRDefault="00000AFD" w:rsidP="00E24F44">
      <w:pPr>
        <w:spacing w:before="100" w:beforeAutospacing="1" w:after="100" w:afterAutospacing="1"/>
        <w:ind w:firstLine="708"/>
        <w:jc w:val="both"/>
        <w:rPr>
          <w:rFonts w:asciiTheme="majorHAnsi" w:eastAsia="Times New Roman" w:hAnsiTheme="majorHAnsi" w:cs="Times New Roman"/>
          <w:b/>
          <w:bCs/>
          <w:i/>
          <w:iCs/>
          <w:color w:val="A02B93" w:themeColor="accent5"/>
          <w:sz w:val="18"/>
          <w:szCs w:val="18"/>
          <w:lang w:eastAsia="fr-FR"/>
        </w:rPr>
      </w:pPr>
      <w:r w:rsidRPr="00C163BC">
        <w:rPr>
          <w:rFonts w:asciiTheme="majorHAnsi" w:eastAsia="Times New Roman" w:hAnsiTheme="majorHAnsi" w:cs="Times New Roman"/>
          <w:b/>
          <w:bCs/>
          <w:i/>
          <w:iCs/>
          <w:color w:val="A02B93" w:themeColor="accent5"/>
          <w:sz w:val="18"/>
          <w:szCs w:val="18"/>
          <w:lang w:eastAsia="fr-FR"/>
        </w:rPr>
        <w:t xml:space="preserve">Les inégalités de traitement et la </w:t>
      </w:r>
      <w:r w:rsidR="00717E0F">
        <w:rPr>
          <w:rFonts w:asciiTheme="majorHAnsi" w:eastAsia="Times New Roman" w:hAnsiTheme="majorHAnsi" w:cs="Times New Roman"/>
          <w:b/>
          <w:bCs/>
          <w:i/>
          <w:iCs/>
          <w:color w:val="A02B93" w:themeColor="accent5"/>
          <w:sz w:val="18"/>
          <w:szCs w:val="18"/>
          <w:lang w:eastAsia="fr-FR"/>
        </w:rPr>
        <w:t>PSC</w:t>
      </w:r>
    </w:p>
    <w:sectPr w:rsidR="00E24F44" w:rsidRPr="00C163BC">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A49E37" w14:textId="77777777" w:rsidR="008670A9" w:rsidRDefault="008670A9" w:rsidP="008074D2">
      <w:pPr>
        <w:spacing w:after="0" w:line="240" w:lineRule="auto"/>
      </w:pPr>
      <w:r>
        <w:separator/>
      </w:r>
    </w:p>
  </w:endnote>
  <w:endnote w:type="continuationSeparator" w:id="0">
    <w:p w14:paraId="6253B0E4" w14:textId="77777777" w:rsidR="008670A9" w:rsidRDefault="008670A9" w:rsidP="008074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F9C9A3" w14:textId="77777777" w:rsidR="008670A9" w:rsidRDefault="008670A9" w:rsidP="008074D2">
      <w:pPr>
        <w:spacing w:after="0" w:line="240" w:lineRule="auto"/>
      </w:pPr>
      <w:r>
        <w:separator/>
      </w:r>
    </w:p>
  </w:footnote>
  <w:footnote w:type="continuationSeparator" w:id="0">
    <w:p w14:paraId="2DA9E41A" w14:textId="77777777" w:rsidR="008670A9" w:rsidRDefault="008670A9" w:rsidP="008074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2092B" w14:textId="001450A9" w:rsidR="008074D2" w:rsidRDefault="008074D2">
    <w:pPr>
      <w:pStyle w:val="En-tte"/>
    </w:pPr>
    <w:r>
      <w:t>M2 DRH DS – 2024-2025 – Thomas MONTPELLIER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FBE"/>
    <w:rsid w:val="00000AFD"/>
    <w:rsid w:val="00007A79"/>
    <w:rsid w:val="000871B8"/>
    <w:rsid w:val="00152363"/>
    <w:rsid w:val="001A1E3B"/>
    <w:rsid w:val="001E44BC"/>
    <w:rsid w:val="00291530"/>
    <w:rsid w:val="002A73E8"/>
    <w:rsid w:val="003066EA"/>
    <w:rsid w:val="003A7D44"/>
    <w:rsid w:val="003B28CC"/>
    <w:rsid w:val="003B2E8B"/>
    <w:rsid w:val="003C14CA"/>
    <w:rsid w:val="003E15CA"/>
    <w:rsid w:val="004066D4"/>
    <w:rsid w:val="00426B78"/>
    <w:rsid w:val="004C2938"/>
    <w:rsid w:val="005463E6"/>
    <w:rsid w:val="005664DF"/>
    <w:rsid w:val="005C2E26"/>
    <w:rsid w:val="005E4787"/>
    <w:rsid w:val="005F1E3B"/>
    <w:rsid w:val="00642B13"/>
    <w:rsid w:val="0067402F"/>
    <w:rsid w:val="006F5E6C"/>
    <w:rsid w:val="00717E0F"/>
    <w:rsid w:val="00776115"/>
    <w:rsid w:val="008074D2"/>
    <w:rsid w:val="00807694"/>
    <w:rsid w:val="0082323B"/>
    <w:rsid w:val="008670A9"/>
    <w:rsid w:val="008A7FBE"/>
    <w:rsid w:val="008D0AC2"/>
    <w:rsid w:val="008F20B4"/>
    <w:rsid w:val="00983993"/>
    <w:rsid w:val="00A92B6A"/>
    <w:rsid w:val="00B0397A"/>
    <w:rsid w:val="00B2015D"/>
    <w:rsid w:val="00B667F6"/>
    <w:rsid w:val="00B729AC"/>
    <w:rsid w:val="00C01280"/>
    <w:rsid w:val="00C06D06"/>
    <w:rsid w:val="00C163BC"/>
    <w:rsid w:val="00C1647D"/>
    <w:rsid w:val="00CA6339"/>
    <w:rsid w:val="00D247FC"/>
    <w:rsid w:val="00D321C6"/>
    <w:rsid w:val="00D73931"/>
    <w:rsid w:val="00D94423"/>
    <w:rsid w:val="00DC6C7F"/>
    <w:rsid w:val="00DD1539"/>
    <w:rsid w:val="00DD1AAA"/>
    <w:rsid w:val="00DE30E1"/>
    <w:rsid w:val="00E24F44"/>
    <w:rsid w:val="00E34E7A"/>
    <w:rsid w:val="00E53FFE"/>
    <w:rsid w:val="00EE0A25"/>
    <w:rsid w:val="00F740F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103BF"/>
  <w15:chartTrackingRefBased/>
  <w15:docId w15:val="{5A4704B7-74F5-7C43-BB16-8E11C578E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8A7FB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8A7FB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8A7FBE"/>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8A7FBE"/>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8A7FBE"/>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8A7FBE"/>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8A7FBE"/>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8A7FBE"/>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8A7FBE"/>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A7FBE"/>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8A7FBE"/>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8A7FBE"/>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8A7FBE"/>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8A7FBE"/>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8A7FBE"/>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8A7FBE"/>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8A7FBE"/>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8A7FBE"/>
    <w:rPr>
      <w:rFonts w:eastAsiaTheme="majorEastAsia" w:cstheme="majorBidi"/>
      <w:color w:val="272727" w:themeColor="text1" w:themeTint="D8"/>
    </w:rPr>
  </w:style>
  <w:style w:type="paragraph" w:styleId="Titre">
    <w:name w:val="Title"/>
    <w:basedOn w:val="Normal"/>
    <w:next w:val="Normal"/>
    <w:link w:val="TitreCar"/>
    <w:uiPriority w:val="10"/>
    <w:qFormat/>
    <w:rsid w:val="008A7F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8A7FBE"/>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8A7FBE"/>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8A7FBE"/>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8A7FBE"/>
    <w:pPr>
      <w:spacing w:before="160"/>
      <w:jc w:val="center"/>
    </w:pPr>
    <w:rPr>
      <w:i/>
      <w:iCs/>
      <w:color w:val="404040" w:themeColor="text1" w:themeTint="BF"/>
    </w:rPr>
  </w:style>
  <w:style w:type="character" w:customStyle="1" w:styleId="CitationCar">
    <w:name w:val="Citation Car"/>
    <w:basedOn w:val="Policepardfaut"/>
    <w:link w:val="Citation"/>
    <w:uiPriority w:val="29"/>
    <w:rsid w:val="008A7FBE"/>
    <w:rPr>
      <w:i/>
      <w:iCs/>
      <w:color w:val="404040" w:themeColor="text1" w:themeTint="BF"/>
    </w:rPr>
  </w:style>
  <w:style w:type="paragraph" w:styleId="Paragraphedeliste">
    <w:name w:val="List Paragraph"/>
    <w:basedOn w:val="Normal"/>
    <w:uiPriority w:val="34"/>
    <w:qFormat/>
    <w:rsid w:val="008A7FBE"/>
    <w:pPr>
      <w:ind w:left="720"/>
      <w:contextualSpacing/>
    </w:pPr>
  </w:style>
  <w:style w:type="character" w:styleId="Accentuationintense">
    <w:name w:val="Intense Emphasis"/>
    <w:basedOn w:val="Policepardfaut"/>
    <w:uiPriority w:val="21"/>
    <w:qFormat/>
    <w:rsid w:val="008A7FBE"/>
    <w:rPr>
      <w:i/>
      <w:iCs/>
      <w:color w:val="0F4761" w:themeColor="accent1" w:themeShade="BF"/>
    </w:rPr>
  </w:style>
  <w:style w:type="paragraph" w:styleId="Citationintense">
    <w:name w:val="Intense Quote"/>
    <w:basedOn w:val="Normal"/>
    <w:next w:val="Normal"/>
    <w:link w:val="CitationintenseCar"/>
    <w:uiPriority w:val="30"/>
    <w:qFormat/>
    <w:rsid w:val="008A7FB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8A7FBE"/>
    <w:rPr>
      <w:i/>
      <w:iCs/>
      <w:color w:val="0F4761" w:themeColor="accent1" w:themeShade="BF"/>
    </w:rPr>
  </w:style>
  <w:style w:type="character" w:styleId="Rfrenceintense">
    <w:name w:val="Intense Reference"/>
    <w:basedOn w:val="Policepardfaut"/>
    <w:uiPriority w:val="32"/>
    <w:qFormat/>
    <w:rsid w:val="008A7FBE"/>
    <w:rPr>
      <w:b/>
      <w:bCs/>
      <w:smallCaps/>
      <w:color w:val="0F4761" w:themeColor="accent1" w:themeShade="BF"/>
      <w:spacing w:val="5"/>
    </w:rPr>
  </w:style>
  <w:style w:type="paragraph" w:styleId="En-tte">
    <w:name w:val="header"/>
    <w:basedOn w:val="Normal"/>
    <w:link w:val="En-tteCar"/>
    <w:uiPriority w:val="99"/>
    <w:unhideWhenUsed/>
    <w:rsid w:val="008074D2"/>
    <w:pPr>
      <w:tabs>
        <w:tab w:val="center" w:pos="4536"/>
        <w:tab w:val="right" w:pos="9072"/>
      </w:tabs>
      <w:spacing w:after="0" w:line="240" w:lineRule="auto"/>
    </w:pPr>
  </w:style>
  <w:style w:type="character" w:customStyle="1" w:styleId="En-tteCar">
    <w:name w:val="En-tête Car"/>
    <w:basedOn w:val="Policepardfaut"/>
    <w:link w:val="En-tte"/>
    <w:uiPriority w:val="99"/>
    <w:rsid w:val="008074D2"/>
  </w:style>
  <w:style w:type="paragraph" w:styleId="Pieddepage">
    <w:name w:val="footer"/>
    <w:basedOn w:val="Normal"/>
    <w:link w:val="PieddepageCar"/>
    <w:uiPriority w:val="99"/>
    <w:unhideWhenUsed/>
    <w:rsid w:val="008074D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074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4647506">
      <w:bodyDiv w:val="1"/>
      <w:marLeft w:val="0"/>
      <w:marRight w:val="0"/>
      <w:marTop w:val="0"/>
      <w:marBottom w:val="0"/>
      <w:divBdr>
        <w:top w:val="none" w:sz="0" w:space="0" w:color="auto"/>
        <w:left w:val="none" w:sz="0" w:space="0" w:color="auto"/>
        <w:bottom w:val="none" w:sz="0" w:space="0" w:color="auto"/>
        <w:right w:val="none" w:sz="0" w:space="0" w:color="auto"/>
      </w:divBdr>
    </w:div>
    <w:div w:id="1071345086">
      <w:bodyDiv w:val="1"/>
      <w:marLeft w:val="0"/>
      <w:marRight w:val="0"/>
      <w:marTop w:val="0"/>
      <w:marBottom w:val="0"/>
      <w:divBdr>
        <w:top w:val="none" w:sz="0" w:space="0" w:color="auto"/>
        <w:left w:val="none" w:sz="0" w:space="0" w:color="auto"/>
        <w:bottom w:val="none" w:sz="0" w:space="0" w:color="auto"/>
        <w:right w:val="none" w:sz="0" w:space="0" w:color="auto"/>
      </w:divBdr>
    </w:div>
    <w:div w:id="1525241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767</Words>
  <Characters>4220</Characters>
  <Application>Microsoft Office Word</Application>
  <DocSecurity>0</DocSecurity>
  <Lines>35</Lines>
  <Paragraphs>9</Paragraphs>
  <ScaleCrop>false</ScaleCrop>
  <HeadingPairs>
    <vt:vector size="2" baseType="variant">
      <vt:variant>
        <vt:lpstr>Titre</vt:lpstr>
      </vt:variant>
      <vt:variant>
        <vt:i4>1</vt:i4>
      </vt:variant>
    </vt:vector>
  </HeadingPairs>
  <TitlesOfParts>
    <vt:vector size="1" baseType="lpstr">
      <vt:lpstr/>
    </vt:vector>
  </TitlesOfParts>
  <Company>Accanto Avocats</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MONTPELLIER</dc:creator>
  <cp:keywords/>
  <dc:description/>
  <cp:lastModifiedBy>Thomas MONTPELLIER</cp:lastModifiedBy>
  <cp:revision>3</cp:revision>
  <dcterms:created xsi:type="dcterms:W3CDTF">2025-02-08T14:09:00Z</dcterms:created>
  <dcterms:modified xsi:type="dcterms:W3CDTF">2025-03-18T16:28:00Z</dcterms:modified>
</cp:coreProperties>
</file>