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0B0FDE6" w14:textId="4148D261" w:rsidR="00881066" w:rsidRPr="009777B7" w:rsidRDefault="006020FC" w:rsidP="004E2990">
      <w:pPr>
        <w:pStyle w:val="Titre1"/>
        <w:spacing w:before="0"/>
        <w:rPr>
          <w:rFonts w:ascii="Times New Roman" w:hAnsi="Times New Roman" w:cs="Times New Roman"/>
          <w:color w:val="auto"/>
          <w:sz w:val="24"/>
          <w:szCs w:val="24"/>
        </w:rPr>
      </w:pPr>
      <w:bookmarkStart w:id="0" w:name="_Toc257964"/>
      <w:r w:rsidRPr="009777B7">
        <w:rPr>
          <w:rFonts w:ascii="Times New Roman" w:hAnsi="Times New Roman" w:cs="Times New Roman"/>
          <w:color w:val="auto"/>
          <w:sz w:val="24"/>
          <w:szCs w:val="24"/>
        </w:rPr>
        <w:t xml:space="preserve">Chapitre </w:t>
      </w:r>
      <w:r w:rsidR="002A5518" w:rsidRPr="009777B7">
        <w:rPr>
          <w:rFonts w:ascii="Times New Roman" w:hAnsi="Times New Roman" w:cs="Times New Roman"/>
          <w:color w:val="auto"/>
          <w:sz w:val="24"/>
          <w:szCs w:val="24"/>
        </w:rPr>
        <w:t>1.</w:t>
      </w:r>
      <w:r w:rsidRPr="009777B7">
        <w:rPr>
          <w:rFonts w:ascii="Times New Roman" w:hAnsi="Times New Roman" w:cs="Times New Roman"/>
          <w:color w:val="auto"/>
          <w:sz w:val="24"/>
          <w:szCs w:val="24"/>
        </w:rPr>
        <w:t xml:space="preserve"> Les sources constitutionnelles</w:t>
      </w:r>
      <w:bookmarkEnd w:id="0"/>
      <w:r w:rsidR="00256367" w:rsidRPr="009777B7">
        <w:rPr>
          <w:rFonts w:ascii="Times New Roman" w:hAnsi="Times New Roman" w:cs="Times New Roman"/>
          <w:color w:val="auto"/>
          <w:sz w:val="24"/>
          <w:szCs w:val="24"/>
        </w:rPr>
        <w:t xml:space="preserve"> du droit fiscal</w:t>
      </w:r>
    </w:p>
    <w:p w14:paraId="395B9962" w14:textId="77777777" w:rsidR="00256367" w:rsidRPr="009777B7" w:rsidRDefault="00256367" w:rsidP="004E2990">
      <w:pPr>
        <w:ind w:firstLine="723"/>
        <w:rPr>
          <w:rFonts w:cs="Times New Roman"/>
          <w:szCs w:val="24"/>
        </w:rPr>
      </w:pPr>
    </w:p>
    <w:p w14:paraId="61387F74" w14:textId="21BBB6AC" w:rsidR="005370E3" w:rsidRPr="009777B7" w:rsidRDefault="00881066" w:rsidP="004E2990">
      <w:pPr>
        <w:ind w:firstLine="723"/>
        <w:rPr>
          <w:rFonts w:cs="Times New Roman"/>
          <w:szCs w:val="24"/>
        </w:rPr>
      </w:pPr>
      <w:r w:rsidRPr="009777B7">
        <w:rPr>
          <w:rFonts w:cs="Times New Roman"/>
          <w:szCs w:val="24"/>
        </w:rPr>
        <w:t xml:space="preserve">Les rapports entre le droit constitutionnel et le droit fiscal sont étroits. </w:t>
      </w:r>
      <w:r w:rsidR="006B7560" w:rsidRPr="009777B7">
        <w:rPr>
          <w:rFonts w:cs="Times New Roman"/>
          <w:szCs w:val="24"/>
        </w:rPr>
        <w:t>Le régime parlementaire s’est d’ailleurs développé en lien avec des</w:t>
      </w:r>
      <w:r w:rsidRPr="009777B7">
        <w:rPr>
          <w:rFonts w:cs="Times New Roman"/>
          <w:szCs w:val="24"/>
        </w:rPr>
        <w:t xml:space="preserve"> questions fiscales</w:t>
      </w:r>
      <w:r w:rsidR="00082E35" w:rsidRPr="009777B7">
        <w:rPr>
          <w:rFonts w:cs="Times New Roman"/>
          <w:szCs w:val="24"/>
        </w:rPr>
        <w:t>, lesquelles sont hautement politiques.</w:t>
      </w:r>
    </w:p>
    <w:p w14:paraId="68F1B541" w14:textId="77777777" w:rsidR="00814320" w:rsidRDefault="00814320" w:rsidP="004E2990">
      <w:pPr>
        <w:ind w:firstLine="723"/>
        <w:rPr>
          <w:rFonts w:cs="Times New Roman"/>
          <w:szCs w:val="24"/>
        </w:rPr>
      </w:pPr>
    </w:p>
    <w:p w14:paraId="61100B7B" w14:textId="77D95DD5" w:rsidR="00E37764" w:rsidRPr="009777B7" w:rsidRDefault="00881066" w:rsidP="004E2990">
      <w:pPr>
        <w:ind w:firstLine="723"/>
        <w:rPr>
          <w:rFonts w:cs="Times New Roman"/>
          <w:szCs w:val="24"/>
        </w:rPr>
      </w:pPr>
      <w:r w:rsidRPr="009777B7">
        <w:rPr>
          <w:rFonts w:cs="Times New Roman"/>
          <w:szCs w:val="24"/>
        </w:rPr>
        <w:t>L’apparition et le développement d’un contrôle de constitutionnalité des lois ont accentué la dimension constitutionnelle du droit fiscal.</w:t>
      </w:r>
      <w:r w:rsidR="00E66AF3">
        <w:rPr>
          <w:rFonts w:cs="Times New Roman"/>
          <w:szCs w:val="24"/>
        </w:rPr>
        <w:t xml:space="preserve"> </w:t>
      </w:r>
      <w:r w:rsidRPr="009777B7">
        <w:rPr>
          <w:rFonts w:cs="Times New Roman"/>
          <w:szCs w:val="24"/>
        </w:rPr>
        <w:t xml:space="preserve">En pratique, l’opposition </w:t>
      </w:r>
      <w:r w:rsidR="00CA3663" w:rsidRPr="009777B7">
        <w:rPr>
          <w:rFonts w:cs="Times New Roman"/>
          <w:szCs w:val="24"/>
        </w:rPr>
        <w:t>parlementaire</w:t>
      </w:r>
      <w:r w:rsidRPr="009777B7">
        <w:rPr>
          <w:rFonts w:cs="Times New Roman"/>
          <w:szCs w:val="24"/>
        </w:rPr>
        <w:t xml:space="preserve"> provoque</w:t>
      </w:r>
      <w:r w:rsidR="004F493D" w:rsidRPr="009777B7">
        <w:rPr>
          <w:rFonts w:cs="Times New Roman"/>
          <w:szCs w:val="24"/>
        </w:rPr>
        <w:t xml:space="preserve"> </w:t>
      </w:r>
      <w:r w:rsidRPr="009777B7">
        <w:rPr>
          <w:rFonts w:cs="Times New Roman"/>
          <w:szCs w:val="24"/>
        </w:rPr>
        <w:t>r</w:t>
      </w:r>
      <w:r w:rsidR="004F493D" w:rsidRPr="009777B7">
        <w:rPr>
          <w:rFonts w:cs="Times New Roman"/>
          <w:szCs w:val="24"/>
        </w:rPr>
        <w:t>égulièrement</w:t>
      </w:r>
      <w:r w:rsidRPr="009777B7">
        <w:rPr>
          <w:rFonts w:cs="Times New Roman"/>
          <w:szCs w:val="24"/>
        </w:rPr>
        <w:t xml:space="preserve"> un</w:t>
      </w:r>
      <w:r w:rsidR="004F493D" w:rsidRPr="009777B7">
        <w:rPr>
          <w:rFonts w:cs="Times New Roman"/>
          <w:szCs w:val="24"/>
        </w:rPr>
        <w:t xml:space="preserve"> tel</w:t>
      </w:r>
      <w:r w:rsidRPr="009777B7">
        <w:rPr>
          <w:rFonts w:cs="Times New Roman"/>
          <w:szCs w:val="24"/>
        </w:rPr>
        <w:t xml:space="preserve"> contrôle de la constitutionnalité des lois</w:t>
      </w:r>
      <w:r w:rsidR="00DB5ECF" w:rsidRPr="009777B7">
        <w:rPr>
          <w:rFonts w:cs="Times New Roman"/>
          <w:szCs w:val="24"/>
        </w:rPr>
        <w:t>, notamment en matière fiscale</w:t>
      </w:r>
      <w:r w:rsidRPr="009777B7">
        <w:rPr>
          <w:rFonts w:cs="Times New Roman"/>
          <w:szCs w:val="24"/>
        </w:rPr>
        <w:t>.</w:t>
      </w:r>
      <w:r w:rsidR="001F0B18" w:rsidRPr="009777B7">
        <w:rPr>
          <w:rFonts w:cs="Times New Roman"/>
          <w:szCs w:val="24"/>
        </w:rPr>
        <w:t xml:space="preserve"> </w:t>
      </w:r>
      <w:r w:rsidR="00510A0D" w:rsidRPr="009777B7">
        <w:rPr>
          <w:rFonts w:cs="Times New Roman"/>
          <w:szCs w:val="24"/>
        </w:rPr>
        <w:t>À</w:t>
      </w:r>
      <w:r w:rsidRPr="009777B7">
        <w:rPr>
          <w:rFonts w:cs="Times New Roman"/>
          <w:szCs w:val="24"/>
        </w:rPr>
        <w:t xml:space="preserve"> titre d’illustration, le Conseil constitutionnel a déclaré inconstitutionnelles une dizaine de dispositions fiscales figurant dans la loi de finances pour 2014</w:t>
      </w:r>
      <w:r w:rsidRPr="009777B7">
        <w:rPr>
          <w:rFonts w:cs="Times New Roman"/>
          <w:szCs w:val="24"/>
          <w:vertAlign w:val="superscript"/>
        </w:rPr>
        <w:footnoteReference w:id="1"/>
      </w:r>
      <w:r w:rsidRPr="009777B7">
        <w:rPr>
          <w:rFonts w:cs="Times New Roman"/>
          <w:szCs w:val="24"/>
        </w:rPr>
        <w:t xml:space="preserve">. </w:t>
      </w:r>
      <w:r w:rsidR="001475BA" w:rsidRPr="009777B7">
        <w:rPr>
          <w:rFonts w:cs="Times New Roman"/>
          <w:szCs w:val="24"/>
        </w:rPr>
        <w:t xml:space="preserve">En revanche, il </w:t>
      </w:r>
      <w:r w:rsidR="006C4CCA" w:rsidRPr="009777B7">
        <w:rPr>
          <w:rFonts w:cs="Times New Roman"/>
          <w:szCs w:val="24"/>
        </w:rPr>
        <w:t xml:space="preserve">a dernièrement </w:t>
      </w:r>
      <w:r w:rsidR="001475BA" w:rsidRPr="009777B7">
        <w:rPr>
          <w:rFonts w:cs="Times New Roman"/>
          <w:szCs w:val="24"/>
        </w:rPr>
        <w:t>admis la conformité</w:t>
      </w:r>
      <w:r w:rsidR="00F36FFD" w:rsidRPr="009777B7">
        <w:rPr>
          <w:rFonts w:cs="Times New Roman"/>
          <w:szCs w:val="24"/>
        </w:rPr>
        <w:t xml:space="preserve"> à la Constitution de la suppression de la taxe d’habitatio</w:t>
      </w:r>
      <w:r w:rsidR="008015FC" w:rsidRPr="009777B7">
        <w:rPr>
          <w:rFonts w:cs="Times New Roman"/>
          <w:szCs w:val="24"/>
        </w:rPr>
        <w:t>n</w:t>
      </w:r>
      <w:r w:rsidR="00C05C66" w:rsidRPr="009777B7">
        <w:rPr>
          <w:rFonts w:cs="Times New Roman"/>
          <w:szCs w:val="24"/>
        </w:rPr>
        <w:t xml:space="preserve"> (totale à l’horizon 2023).</w:t>
      </w:r>
    </w:p>
    <w:p w14:paraId="731F909A" w14:textId="70C66A22" w:rsidR="009A7F89" w:rsidRDefault="006C108B" w:rsidP="00C775A2">
      <w:pPr>
        <w:ind w:firstLine="723"/>
        <w:rPr>
          <w:rFonts w:cs="Times New Roman"/>
          <w:szCs w:val="24"/>
        </w:rPr>
      </w:pPr>
      <w:r w:rsidRPr="009777B7">
        <w:rPr>
          <w:rFonts w:cs="Times New Roman"/>
          <w:szCs w:val="24"/>
        </w:rPr>
        <w:t xml:space="preserve">Depuis 2008 et surtout depuis 2010, </w:t>
      </w:r>
      <w:r w:rsidR="00470C8A" w:rsidRPr="009777B7">
        <w:rPr>
          <w:rFonts w:cs="Times New Roman"/>
          <w:szCs w:val="24"/>
        </w:rPr>
        <w:t>une nouvelle</w:t>
      </w:r>
      <w:r w:rsidR="000E21E7" w:rsidRPr="009777B7">
        <w:rPr>
          <w:rFonts w:cs="Times New Roman"/>
          <w:szCs w:val="24"/>
        </w:rPr>
        <w:t xml:space="preserve"> voie de</w:t>
      </w:r>
      <w:r w:rsidR="00470C8A" w:rsidRPr="009777B7">
        <w:rPr>
          <w:rFonts w:cs="Times New Roman"/>
          <w:szCs w:val="24"/>
        </w:rPr>
        <w:t xml:space="preserve"> droit est ouverte pour contester </w:t>
      </w:r>
      <w:r w:rsidR="000B1820" w:rsidRPr="009777B7">
        <w:rPr>
          <w:rFonts w:cs="Times New Roman"/>
          <w:szCs w:val="24"/>
        </w:rPr>
        <w:t xml:space="preserve">les </w:t>
      </w:r>
      <w:r w:rsidR="00A45B04" w:rsidRPr="009777B7">
        <w:rPr>
          <w:rFonts w:cs="Times New Roman"/>
          <w:szCs w:val="24"/>
        </w:rPr>
        <w:t>dispositions fiscales</w:t>
      </w:r>
      <w:r w:rsidR="00905AB1" w:rsidRPr="009777B7">
        <w:rPr>
          <w:rFonts w:cs="Times New Roman"/>
          <w:szCs w:val="24"/>
        </w:rPr>
        <w:t xml:space="preserve"> qui iraient à l’encontre des droits et libertés garantis par la Constitution, à savoir la </w:t>
      </w:r>
      <w:r w:rsidR="00071E9F" w:rsidRPr="009777B7">
        <w:rPr>
          <w:rFonts w:cs="Times New Roman"/>
          <w:szCs w:val="24"/>
        </w:rPr>
        <w:t>question prioritaire de constitutionalité (QPC).</w:t>
      </w:r>
    </w:p>
    <w:p w14:paraId="06E291A4" w14:textId="77777777" w:rsidR="00C775A2" w:rsidRPr="009777B7" w:rsidRDefault="00C775A2" w:rsidP="00C775A2">
      <w:pPr>
        <w:ind w:firstLine="723"/>
        <w:rPr>
          <w:rFonts w:cs="Times New Roman"/>
          <w:szCs w:val="24"/>
        </w:rPr>
      </w:pPr>
    </w:p>
    <w:p w14:paraId="7072AF4A" w14:textId="0FC39DE8" w:rsidR="004F4080" w:rsidRPr="009777B7" w:rsidRDefault="009A7F89" w:rsidP="004E2990">
      <w:pPr>
        <w:ind w:firstLine="723"/>
        <w:rPr>
          <w:rFonts w:cs="Times New Roman"/>
          <w:szCs w:val="24"/>
        </w:rPr>
      </w:pPr>
      <w:r w:rsidRPr="009777B7">
        <w:rPr>
          <w:rFonts w:cs="Times New Roman"/>
          <w:szCs w:val="24"/>
        </w:rPr>
        <w:t>C</w:t>
      </w:r>
      <w:r w:rsidR="00881066" w:rsidRPr="009777B7">
        <w:rPr>
          <w:rFonts w:cs="Times New Roman"/>
          <w:szCs w:val="24"/>
        </w:rPr>
        <w:t xml:space="preserve">es </w:t>
      </w:r>
      <w:r w:rsidR="006E4E64" w:rsidRPr="009777B7">
        <w:rPr>
          <w:rFonts w:cs="Times New Roman"/>
          <w:szCs w:val="24"/>
        </w:rPr>
        <w:t>deux mécanismes emportent</w:t>
      </w:r>
      <w:r w:rsidR="00881066" w:rsidRPr="009777B7">
        <w:rPr>
          <w:rFonts w:cs="Times New Roman"/>
          <w:szCs w:val="24"/>
        </w:rPr>
        <w:t xml:space="preserve"> des effets remarquables :</w:t>
      </w:r>
    </w:p>
    <w:p w14:paraId="40C3592B" w14:textId="77777777" w:rsidR="0017448B" w:rsidRPr="009777B7" w:rsidRDefault="00113F54" w:rsidP="004E2990">
      <w:pPr>
        <w:pStyle w:val="Paragraphedeliste"/>
        <w:numPr>
          <w:ilvl w:val="0"/>
          <w:numId w:val="15"/>
        </w:numPr>
        <w:ind w:left="0"/>
        <w:rPr>
          <w:rFonts w:cs="Times New Roman"/>
          <w:szCs w:val="24"/>
        </w:rPr>
      </w:pPr>
      <w:r w:rsidRPr="009777B7">
        <w:rPr>
          <w:rFonts w:cs="Times New Roman"/>
          <w:szCs w:val="24"/>
        </w:rPr>
        <w:t>L</w:t>
      </w:r>
      <w:r w:rsidR="00881066" w:rsidRPr="009777B7">
        <w:rPr>
          <w:rFonts w:cs="Times New Roman"/>
          <w:szCs w:val="24"/>
        </w:rPr>
        <w:t xml:space="preserve">e contrôle </w:t>
      </w:r>
      <w:r w:rsidR="002642FD" w:rsidRPr="009777B7">
        <w:rPr>
          <w:rFonts w:cs="Times New Roman"/>
          <w:i/>
          <w:iCs/>
          <w:szCs w:val="24"/>
        </w:rPr>
        <w:t>a priori</w:t>
      </w:r>
      <w:r w:rsidR="00881066" w:rsidRPr="009777B7">
        <w:rPr>
          <w:rFonts w:cs="Times New Roman"/>
          <w:szCs w:val="24"/>
        </w:rPr>
        <w:t xml:space="preserve"> permet de purger la loi de ses dispositions inconstitutionnelles avant sa promulgation et sa publication (art. 62, 1</w:t>
      </w:r>
      <w:r w:rsidR="00881066" w:rsidRPr="009777B7">
        <w:rPr>
          <w:rFonts w:cs="Times New Roman"/>
          <w:szCs w:val="24"/>
          <w:vertAlign w:val="superscript"/>
        </w:rPr>
        <w:t>er</w:t>
      </w:r>
      <w:r w:rsidR="00881066" w:rsidRPr="009777B7">
        <w:rPr>
          <w:rFonts w:cs="Times New Roman"/>
          <w:szCs w:val="24"/>
        </w:rPr>
        <w:t xml:space="preserve"> alinéa). Celles-ci ne peuvent donc être mises en œuvre.</w:t>
      </w:r>
    </w:p>
    <w:p w14:paraId="383D5520" w14:textId="3A3104E9" w:rsidR="00881066" w:rsidRPr="009777B7" w:rsidRDefault="00881066" w:rsidP="004E2990">
      <w:pPr>
        <w:pStyle w:val="Paragraphedeliste"/>
        <w:numPr>
          <w:ilvl w:val="0"/>
          <w:numId w:val="15"/>
        </w:numPr>
        <w:ind w:left="0"/>
        <w:rPr>
          <w:rFonts w:cs="Times New Roman"/>
          <w:szCs w:val="24"/>
        </w:rPr>
      </w:pPr>
      <w:r w:rsidRPr="009777B7">
        <w:rPr>
          <w:rFonts w:cs="Times New Roman"/>
          <w:szCs w:val="24"/>
        </w:rPr>
        <w:t>Postérieure à l’entrée de vigueur de la loi, la question prioritaire de constitutionnalité de l’art. 61-1 est réglée rapidement, le juge devant lequel elle est soulevée se prononçant sans délai. S’il décide de renvoyer au Conseil d’</w:t>
      </w:r>
      <w:r w:rsidR="00E4424F" w:rsidRPr="009777B7">
        <w:rPr>
          <w:rFonts w:cs="Times New Roman"/>
          <w:szCs w:val="24"/>
        </w:rPr>
        <w:t>État</w:t>
      </w:r>
      <w:r w:rsidRPr="009777B7">
        <w:rPr>
          <w:rFonts w:cs="Times New Roman"/>
          <w:szCs w:val="24"/>
        </w:rPr>
        <w:t xml:space="preserve"> ou à la Cour de cassation, il </w:t>
      </w:r>
      <w:r w:rsidR="00D9356B" w:rsidRPr="009777B7">
        <w:rPr>
          <w:rFonts w:cs="Times New Roman"/>
          <w:szCs w:val="24"/>
        </w:rPr>
        <w:t>sursoit</w:t>
      </w:r>
      <w:r w:rsidRPr="009777B7">
        <w:rPr>
          <w:rFonts w:cs="Times New Roman"/>
          <w:szCs w:val="24"/>
        </w:rPr>
        <w:t xml:space="preserve"> à statuer sur le litige. Le Conseil d’</w:t>
      </w:r>
      <w:r w:rsidR="00E4424F" w:rsidRPr="009777B7">
        <w:rPr>
          <w:rFonts w:cs="Times New Roman"/>
          <w:szCs w:val="24"/>
        </w:rPr>
        <w:t>État</w:t>
      </w:r>
      <w:r w:rsidRPr="009777B7">
        <w:rPr>
          <w:rFonts w:cs="Times New Roman"/>
          <w:szCs w:val="24"/>
        </w:rPr>
        <w:t xml:space="preserve"> et la Cour de cassation doivent statuer dans les 3 mois suivant la transmission. Si la question est renvoyée devant le Conseil constitutionnel, celui-ci doit statuer dans les 3 mois à compter de sa saisine. Et l’éventuelle déclaration d’inconstitutionnalité d’une telle disposition légale entraîne de plein droit son abrogation (art. 62, 2</w:t>
      </w:r>
      <w:r w:rsidRPr="009777B7">
        <w:rPr>
          <w:rFonts w:cs="Times New Roman"/>
          <w:szCs w:val="24"/>
          <w:vertAlign w:val="superscript"/>
        </w:rPr>
        <w:t>e</w:t>
      </w:r>
      <w:r w:rsidRPr="009777B7">
        <w:rPr>
          <w:rFonts w:cs="Times New Roman"/>
          <w:szCs w:val="24"/>
        </w:rPr>
        <w:t xml:space="preserve"> alinéa).</w:t>
      </w:r>
    </w:p>
    <w:p w14:paraId="23F77695" w14:textId="05AE43C3" w:rsidR="00881066" w:rsidRDefault="00881066" w:rsidP="004E2990">
      <w:pPr>
        <w:jc w:val="left"/>
        <w:rPr>
          <w:rFonts w:cs="Times New Roman"/>
          <w:szCs w:val="24"/>
        </w:rPr>
      </w:pPr>
    </w:p>
    <w:p w14:paraId="096A43EB" w14:textId="4CBC4B10" w:rsidR="000E794B" w:rsidRDefault="000E794B" w:rsidP="004E2990">
      <w:pPr>
        <w:jc w:val="left"/>
        <w:rPr>
          <w:rFonts w:cs="Times New Roman"/>
          <w:szCs w:val="24"/>
        </w:rPr>
      </w:pPr>
    </w:p>
    <w:p w14:paraId="6E988398" w14:textId="77777777" w:rsidR="000E794B" w:rsidRPr="009777B7" w:rsidRDefault="000E794B" w:rsidP="004E2990">
      <w:pPr>
        <w:jc w:val="left"/>
        <w:rPr>
          <w:rFonts w:cs="Times New Roman"/>
          <w:szCs w:val="24"/>
        </w:rPr>
      </w:pPr>
    </w:p>
    <w:p w14:paraId="678CF051" w14:textId="34DF0835" w:rsidR="00881066" w:rsidRPr="009777B7" w:rsidRDefault="00FB578C" w:rsidP="004E2990">
      <w:pPr>
        <w:pStyle w:val="Titre2"/>
        <w:spacing w:before="0"/>
        <w:rPr>
          <w:rFonts w:ascii="Times New Roman" w:hAnsi="Times New Roman" w:cs="Times New Roman"/>
          <w:color w:val="auto"/>
          <w:sz w:val="24"/>
          <w:szCs w:val="24"/>
        </w:rPr>
      </w:pPr>
      <w:bookmarkStart w:id="1" w:name="_Toc257965"/>
      <w:r w:rsidRPr="009777B7">
        <w:rPr>
          <w:rFonts w:ascii="Times New Roman" w:hAnsi="Times New Roman" w:cs="Times New Roman"/>
          <w:color w:val="auto"/>
          <w:sz w:val="24"/>
          <w:szCs w:val="24"/>
        </w:rPr>
        <w:lastRenderedPageBreak/>
        <w:t>Section 1</w:t>
      </w:r>
      <w:r w:rsidR="006400A1" w:rsidRPr="009777B7">
        <w:rPr>
          <w:rFonts w:ascii="Times New Roman" w:hAnsi="Times New Roman" w:cs="Times New Roman"/>
          <w:color w:val="auto"/>
          <w:sz w:val="24"/>
          <w:szCs w:val="24"/>
        </w:rPr>
        <w:t>. L</w:t>
      </w:r>
      <w:r w:rsidRPr="009777B7">
        <w:rPr>
          <w:rFonts w:ascii="Times New Roman" w:hAnsi="Times New Roman" w:cs="Times New Roman"/>
          <w:color w:val="auto"/>
          <w:sz w:val="24"/>
          <w:szCs w:val="24"/>
        </w:rPr>
        <w:t>es habilitations constitutionnelles</w:t>
      </w:r>
      <w:bookmarkEnd w:id="1"/>
    </w:p>
    <w:p w14:paraId="17756D03" w14:textId="4F4CBE42" w:rsidR="00881066" w:rsidRPr="009777B7" w:rsidRDefault="00881066" w:rsidP="004E2990">
      <w:pPr>
        <w:jc w:val="left"/>
        <w:rPr>
          <w:rFonts w:cs="Times New Roman"/>
          <w:szCs w:val="24"/>
        </w:rPr>
      </w:pPr>
    </w:p>
    <w:p w14:paraId="0EE3B920" w14:textId="5D039480" w:rsidR="00881066" w:rsidRPr="009777B7" w:rsidRDefault="00881066" w:rsidP="004E2990">
      <w:pPr>
        <w:pStyle w:val="Titre3"/>
        <w:spacing w:before="0"/>
        <w:rPr>
          <w:rFonts w:cs="Times New Roman"/>
          <w:color w:val="auto"/>
        </w:rPr>
      </w:pPr>
      <w:bookmarkStart w:id="2" w:name="_Toc257966"/>
      <w:r w:rsidRPr="009777B7">
        <w:rPr>
          <w:rFonts w:cs="Times New Roman"/>
          <w:color w:val="auto"/>
        </w:rPr>
        <w:t>§ 1</w:t>
      </w:r>
      <w:r w:rsidR="003C6B5B" w:rsidRPr="009777B7">
        <w:rPr>
          <w:rFonts w:cs="Times New Roman"/>
          <w:color w:val="auto"/>
        </w:rPr>
        <w:t>.</w:t>
      </w:r>
      <w:r w:rsidRPr="009777B7">
        <w:rPr>
          <w:rFonts w:cs="Times New Roman"/>
          <w:color w:val="auto"/>
        </w:rPr>
        <w:t xml:space="preserve"> Le principe du consentement à l’impôt </w:t>
      </w:r>
      <w:bookmarkEnd w:id="2"/>
    </w:p>
    <w:p w14:paraId="43E9ABD1" w14:textId="175080F4" w:rsidR="00881066" w:rsidRPr="009777B7" w:rsidRDefault="00881066" w:rsidP="004E2990">
      <w:pPr>
        <w:jc w:val="left"/>
        <w:rPr>
          <w:rFonts w:cs="Times New Roman"/>
          <w:szCs w:val="24"/>
        </w:rPr>
      </w:pPr>
    </w:p>
    <w:p w14:paraId="0F625244" w14:textId="3388E3CA" w:rsidR="00717AEA" w:rsidRPr="009777B7" w:rsidRDefault="00881066" w:rsidP="004E2990">
      <w:pPr>
        <w:ind w:firstLine="723"/>
        <w:rPr>
          <w:rFonts w:cs="Times New Roman"/>
          <w:szCs w:val="24"/>
        </w:rPr>
      </w:pPr>
      <w:r w:rsidRPr="009777B7">
        <w:rPr>
          <w:rFonts w:cs="Times New Roman"/>
          <w:szCs w:val="24"/>
        </w:rPr>
        <w:t xml:space="preserve">Son origine remonte aux réunions des </w:t>
      </w:r>
      <w:r w:rsidR="00745A1B" w:rsidRPr="009777B7">
        <w:rPr>
          <w:rFonts w:cs="Times New Roman"/>
          <w:szCs w:val="24"/>
        </w:rPr>
        <w:t>États</w:t>
      </w:r>
      <w:r w:rsidRPr="009777B7">
        <w:rPr>
          <w:rFonts w:cs="Times New Roman"/>
          <w:szCs w:val="24"/>
        </w:rPr>
        <w:t xml:space="preserve"> généraux, afin de permettre au Roi de lever l’impôt. </w:t>
      </w:r>
      <w:r w:rsidR="00224DFF">
        <w:rPr>
          <w:rFonts w:cs="Times New Roman"/>
          <w:szCs w:val="24"/>
        </w:rPr>
        <w:t>Mais</w:t>
      </w:r>
      <w:r w:rsidRPr="009777B7">
        <w:rPr>
          <w:rFonts w:cs="Times New Roman"/>
          <w:szCs w:val="24"/>
        </w:rPr>
        <w:t xml:space="preserve"> les </w:t>
      </w:r>
      <w:r w:rsidR="00745A1B" w:rsidRPr="009777B7">
        <w:rPr>
          <w:rFonts w:cs="Times New Roman"/>
          <w:szCs w:val="24"/>
        </w:rPr>
        <w:t>États</w:t>
      </w:r>
      <w:r w:rsidRPr="009777B7">
        <w:rPr>
          <w:rFonts w:cs="Times New Roman"/>
          <w:szCs w:val="24"/>
        </w:rPr>
        <w:t xml:space="preserve"> généraux n’ont toutefois pas réussi à en imposer au Roi le renouvellement périodique.</w:t>
      </w:r>
    </w:p>
    <w:p w14:paraId="4A065FEC" w14:textId="2D7E31A3" w:rsidR="00881066" w:rsidRPr="009777B7" w:rsidRDefault="00881066" w:rsidP="004E2990">
      <w:pPr>
        <w:ind w:firstLine="723"/>
        <w:rPr>
          <w:rFonts w:cs="Times New Roman"/>
          <w:szCs w:val="24"/>
        </w:rPr>
      </w:pPr>
      <w:r w:rsidRPr="009777B7">
        <w:rPr>
          <w:rFonts w:cs="Times New Roman"/>
          <w:szCs w:val="24"/>
        </w:rPr>
        <w:t>Depuis la Révolution jusqu’aux lois constitutionnelles de 1875, les Constitutions l’ont exprimé, sous la seule réserve</w:t>
      </w:r>
      <w:r w:rsidR="005748E5">
        <w:rPr>
          <w:rFonts w:cs="Times New Roman"/>
          <w:szCs w:val="24"/>
        </w:rPr>
        <w:t xml:space="preserve"> des Constitutions</w:t>
      </w:r>
      <w:r w:rsidRPr="009777B7">
        <w:rPr>
          <w:rFonts w:cs="Times New Roman"/>
          <w:szCs w:val="24"/>
        </w:rPr>
        <w:t xml:space="preserve"> du Consulat et de l’Empire : </w:t>
      </w:r>
    </w:p>
    <w:p w14:paraId="719AB82C" w14:textId="5A443DD9" w:rsidR="00881066" w:rsidRPr="009777B7" w:rsidRDefault="00881066" w:rsidP="004E2990">
      <w:pPr>
        <w:numPr>
          <w:ilvl w:val="1"/>
          <w:numId w:val="5"/>
        </w:numPr>
        <w:ind w:left="0" w:hanging="360"/>
        <w:rPr>
          <w:rFonts w:cs="Times New Roman"/>
          <w:szCs w:val="24"/>
        </w:rPr>
      </w:pPr>
      <w:r w:rsidRPr="009777B7">
        <w:rPr>
          <w:rFonts w:cs="Times New Roman"/>
          <w:szCs w:val="24"/>
        </w:rPr>
        <w:t>Depuis un décret de l’Assemblée nationale du 7 oct</w:t>
      </w:r>
      <w:r w:rsidR="00997EF4">
        <w:rPr>
          <w:rFonts w:cs="Times New Roman"/>
          <w:szCs w:val="24"/>
        </w:rPr>
        <w:t>obre</w:t>
      </w:r>
      <w:r w:rsidRPr="009777B7">
        <w:rPr>
          <w:rFonts w:cs="Times New Roman"/>
          <w:szCs w:val="24"/>
        </w:rPr>
        <w:t xml:space="preserve"> 1789, le consentement doit être périodique.</w:t>
      </w:r>
    </w:p>
    <w:p w14:paraId="0DEF54F2" w14:textId="3A356982" w:rsidR="00881066" w:rsidRPr="009777B7" w:rsidRDefault="00881066" w:rsidP="004E2990">
      <w:pPr>
        <w:numPr>
          <w:ilvl w:val="1"/>
          <w:numId w:val="5"/>
        </w:numPr>
        <w:ind w:left="0" w:hanging="360"/>
        <w:rPr>
          <w:rFonts w:cs="Times New Roman"/>
          <w:szCs w:val="24"/>
        </w:rPr>
      </w:pPr>
      <w:r w:rsidRPr="009777B7">
        <w:rPr>
          <w:rFonts w:cs="Times New Roman"/>
          <w:szCs w:val="24"/>
        </w:rPr>
        <w:t xml:space="preserve">Charte du 4 juin 1814 (art. 48 : « Aucun impôt ne peut être établi ni perçu s’il n’a été consenti par les deux Chambres et sanctionné par le Roi »). </w:t>
      </w:r>
    </w:p>
    <w:p w14:paraId="319A71BA" w14:textId="597858C9" w:rsidR="00881066" w:rsidRPr="009777B7" w:rsidRDefault="00881066" w:rsidP="004E2990">
      <w:pPr>
        <w:ind w:firstLine="723"/>
        <w:rPr>
          <w:rFonts w:cs="Times New Roman"/>
          <w:szCs w:val="24"/>
        </w:rPr>
      </w:pPr>
      <w:r w:rsidRPr="009777B7">
        <w:rPr>
          <w:rFonts w:cs="Times New Roman"/>
          <w:szCs w:val="24"/>
        </w:rPr>
        <w:t>L’annualité du consentement découle de la Constitution du 3 sept</w:t>
      </w:r>
      <w:r w:rsidR="00112B5E">
        <w:rPr>
          <w:rFonts w:cs="Times New Roman"/>
          <w:szCs w:val="24"/>
        </w:rPr>
        <w:t>embre</w:t>
      </w:r>
      <w:r w:rsidRPr="009777B7">
        <w:rPr>
          <w:rFonts w:cs="Times New Roman"/>
          <w:szCs w:val="24"/>
        </w:rPr>
        <w:t xml:space="preserve"> 1791 («</w:t>
      </w:r>
      <w:r w:rsidR="00036ABD">
        <w:rPr>
          <w:rFonts w:cs="Times New Roman"/>
          <w:szCs w:val="24"/>
        </w:rPr>
        <w:t> </w:t>
      </w:r>
      <w:r w:rsidRPr="009777B7">
        <w:rPr>
          <w:rFonts w:cs="Times New Roman"/>
          <w:szCs w:val="24"/>
        </w:rPr>
        <w:t>Les contributions publiques seront délibérées et fixées chaque année par le Corps législatif, et ne pourront subsister au-delà du dernier jour de la session suivante, si elles n’ont pas été expressément renouvelées »).</w:t>
      </w:r>
    </w:p>
    <w:p w14:paraId="4758E67E" w14:textId="66B7E787" w:rsidR="00881066" w:rsidRPr="009777B7" w:rsidRDefault="00881066" w:rsidP="004E2990">
      <w:pPr>
        <w:numPr>
          <w:ilvl w:val="1"/>
          <w:numId w:val="5"/>
        </w:numPr>
        <w:ind w:left="0" w:hanging="360"/>
        <w:rPr>
          <w:rFonts w:cs="Times New Roman"/>
          <w:szCs w:val="24"/>
        </w:rPr>
      </w:pPr>
      <w:r w:rsidRPr="009777B7">
        <w:rPr>
          <w:rFonts w:cs="Times New Roman"/>
          <w:szCs w:val="24"/>
        </w:rPr>
        <w:t>L’objet du consentement fut ensuit</w:t>
      </w:r>
      <w:r w:rsidR="00851C1F" w:rsidRPr="009777B7">
        <w:rPr>
          <w:rFonts w:cs="Times New Roman"/>
          <w:szCs w:val="24"/>
        </w:rPr>
        <w:t>e</w:t>
      </w:r>
      <w:r w:rsidRPr="009777B7">
        <w:rPr>
          <w:rFonts w:cs="Times New Roman"/>
          <w:szCs w:val="24"/>
        </w:rPr>
        <w:t xml:space="preserve"> réduit aux seuls impôts directs (Constitution du 5 fructidor an III ; Charte du 4 juin 1814 ; Charte du 14 août 1830 ; Constitution du 4 nov</w:t>
      </w:r>
      <w:r w:rsidR="00B60E80">
        <w:rPr>
          <w:rFonts w:cs="Times New Roman"/>
          <w:szCs w:val="24"/>
        </w:rPr>
        <w:t>embre</w:t>
      </w:r>
      <w:r w:rsidRPr="009777B7">
        <w:rPr>
          <w:rFonts w:cs="Times New Roman"/>
          <w:szCs w:val="24"/>
        </w:rPr>
        <w:t xml:space="preserve"> 1848). </w:t>
      </w:r>
    </w:p>
    <w:p w14:paraId="1C225024" w14:textId="6C1BCF3E" w:rsidR="00881066" w:rsidRPr="009777B7" w:rsidRDefault="00881066" w:rsidP="004E2990">
      <w:pPr>
        <w:ind w:firstLine="582"/>
        <w:rPr>
          <w:rFonts w:cs="Times New Roman"/>
          <w:szCs w:val="24"/>
        </w:rPr>
      </w:pPr>
      <w:r w:rsidRPr="009777B7">
        <w:rPr>
          <w:rFonts w:cs="Times New Roman"/>
          <w:szCs w:val="24"/>
        </w:rPr>
        <w:t>Les Constitutions ultérieures n’évoquent pas le principe du consentement à l’impôt.</w:t>
      </w:r>
      <w:r w:rsidR="005404E6" w:rsidRPr="009777B7">
        <w:rPr>
          <w:rFonts w:cs="Times New Roman"/>
          <w:szCs w:val="24"/>
        </w:rPr>
        <w:t xml:space="preserve"> </w:t>
      </w:r>
      <w:r w:rsidRPr="009777B7">
        <w:rPr>
          <w:rFonts w:cs="Times New Roman"/>
          <w:szCs w:val="24"/>
        </w:rPr>
        <w:t>La</w:t>
      </w:r>
      <w:r w:rsidR="00755856" w:rsidRPr="009777B7">
        <w:rPr>
          <w:rFonts w:cs="Times New Roman"/>
          <w:szCs w:val="24"/>
        </w:rPr>
        <w:t xml:space="preserve"> Ve</w:t>
      </w:r>
      <w:r w:rsidRPr="009777B7">
        <w:rPr>
          <w:rFonts w:cs="Times New Roman"/>
          <w:szCs w:val="24"/>
        </w:rPr>
        <w:t xml:space="preserve"> République a affirmé le principe du consentement en renvoyant à</w:t>
      </w:r>
      <w:r w:rsidR="004E1576" w:rsidRPr="009777B7">
        <w:rPr>
          <w:rFonts w:cs="Times New Roman"/>
          <w:szCs w:val="24"/>
        </w:rPr>
        <w:t xml:space="preserve"> l’article 14</w:t>
      </w:r>
      <w:r w:rsidR="00132C1F" w:rsidRPr="009777B7">
        <w:rPr>
          <w:rFonts w:cs="Times New Roman"/>
          <w:szCs w:val="24"/>
        </w:rPr>
        <w:t xml:space="preserve"> de</w:t>
      </w:r>
      <w:r w:rsidRPr="009777B7">
        <w:rPr>
          <w:rFonts w:cs="Times New Roman"/>
          <w:szCs w:val="24"/>
        </w:rPr>
        <w:t xml:space="preserve"> la Déclaration des droits de l’homme et du citoyen du 16 août 1789.</w:t>
      </w:r>
      <w:r w:rsidR="00A8011B" w:rsidRPr="009777B7">
        <w:rPr>
          <w:rFonts w:cs="Times New Roman"/>
          <w:szCs w:val="24"/>
        </w:rPr>
        <w:t xml:space="preserve"> </w:t>
      </w:r>
      <w:r w:rsidRPr="009777B7">
        <w:rPr>
          <w:rFonts w:cs="Times New Roman"/>
          <w:szCs w:val="24"/>
        </w:rPr>
        <w:t>Plus précisément, l’art</w:t>
      </w:r>
      <w:r w:rsidR="00614408">
        <w:rPr>
          <w:rFonts w:cs="Times New Roman"/>
          <w:szCs w:val="24"/>
        </w:rPr>
        <w:t>icle</w:t>
      </w:r>
      <w:r w:rsidRPr="009777B7">
        <w:rPr>
          <w:rFonts w:cs="Times New Roman"/>
          <w:szCs w:val="24"/>
        </w:rPr>
        <w:t xml:space="preserve"> 47 de la Constitution renvoie à une loi organique le soin de préciser les modalités d’élaboration des lois de finances.</w:t>
      </w:r>
      <w:r w:rsidR="002C6F2F" w:rsidRPr="009777B7">
        <w:rPr>
          <w:rFonts w:cs="Times New Roman"/>
          <w:szCs w:val="24"/>
        </w:rPr>
        <w:t xml:space="preserve"> Selon</w:t>
      </w:r>
      <w:r w:rsidR="00160530">
        <w:rPr>
          <w:rFonts w:cs="Times New Roman"/>
          <w:szCs w:val="24"/>
        </w:rPr>
        <w:t xml:space="preserve"> </w:t>
      </w:r>
      <w:r w:rsidR="00160530" w:rsidRPr="009777B7">
        <w:rPr>
          <w:rFonts w:cs="Times New Roman"/>
          <w:szCs w:val="24"/>
        </w:rPr>
        <w:t>l’art</w:t>
      </w:r>
      <w:r w:rsidR="00160530">
        <w:rPr>
          <w:rFonts w:cs="Times New Roman"/>
          <w:szCs w:val="24"/>
        </w:rPr>
        <w:t>icle 4 de</w:t>
      </w:r>
      <w:r w:rsidR="002C6F2F" w:rsidRPr="009777B7">
        <w:rPr>
          <w:rFonts w:cs="Times New Roman"/>
          <w:szCs w:val="24"/>
        </w:rPr>
        <w:t xml:space="preserve"> l</w:t>
      </w:r>
      <w:r w:rsidRPr="009777B7">
        <w:rPr>
          <w:rFonts w:cs="Times New Roman"/>
          <w:szCs w:val="24"/>
        </w:rPr>
        <w:t xml:space="preserve">a </w:t>
      </w:r>
      <w:r w:rsidR="00D04131" w:rsidRPr="009777B7">
        <w:rPr>
          <w:rFonts w:cs="Times New Roman"/>
          <w:szCs w:val="24"/>
        </w:rPr>
        <w:t>LOLF,</w:t>
      </w:r>
      <w:r w:rsidRPr="009777B7">
        <w:rPr>
          <w:rFonts w:cs="Times New Roman"/>
          <w:szCs w:val="24"/>
        </w:rPr>
        <w:t xml:space="preserve"> « la loi de finances de l’année autorise, pour l’année, la perception des ressources de l’</w:t>
      </w:r>
      <w:r w:rsidR="002A28F3" w:rsidRPr="009777B7">
        <w:rPr>
          <w:rFonts w:cs="Times New Roman"/>
          <w:szCs w:val="24"/>
        </w:rPr>
        <w:t>État</w:t>
      </w:r>
      <w:r w:rsidRPr="009777B7">
        <w:rPr>
          <w:rFonts w:cs="Times New Roman"/>
          <w:szCs w:val="24"/>
        </w:rPr>
        <w:t xml:space="preserve"> et des impositions de toute </w:t>
      </w:r>
      <w:proofErr w:type="gramStart"/>
      <w:r w:rsidRPr="009777B7">
        <w:rPr>
          <w:rFonts w:cs="Times New Roman"/>
          <w:szCs w:val="24"/>
        </w:rPr>
        <w:t>nature affectées</w:t>
      </w:r>
      <w:proofErr w:type="gramEnd"/>
      <w:r w:rsidRPr="009777B7">
        <w:rPr>
          <w:rFonts w:cs="Times New Roman"/>
          <w:szCs w:val="24"/>
        </w:rPr>
        <w:t xml:space="preserve"> à des personnes morales autres que l’</w:t>
      </w:r>
      <w:r w:rsidR="002A28F3" w:rsidRPr="009777B7">
        <w:rPr>
          <w:rFonts w:cs="Times New Roman"/>
          <w:szCs w:val="24"/>
        </w:rPr>
        <w:t>État</w:t>
      </w:r>
      <w:r w:rsidRPr="009777B7">
        <w:rPr>
          <w:rFonts w:cs="Times New Roman"/>
          <w:szCs w:val="24"/>
        </w:rPr>
        <w:t xml:space="preserve"> ».</w:t>
      </w:r>
    </w:p>
    <w:p w14:paraId="12B2EB33" w14:textId="76F77B3B" w:rsidR="00881066" w:rsidRPr="009777B7" w:rsidRDefault="00881066" w:rsidP="004E2990">
      <w:pPr>
        <w:ind w:firstLine="582"/>
        <w:rPr>
          <w:rFonts w:cs="Times New Roman"/>
          <w:szCs w:val="24"/>
        </w:rPr>
      </w:pPr>
      <w:r w:rsidRPr="009777B7">
        <w:rPr>
          <w:rFonts w:cs="Times New Roman"/>
          <w:szCs w:val="24"/>
        </w:rPr>
        <w:t xml:space="preserve">En cas de déclaration d’inconstitutionnalité de la loi de finances de l’année, </w:t>
      </w:r>
      <w:r w:rsidR="0074708D" w:rsidRPr="009777B7">
        <w:rPr>
          <w:rFonts w:cs="Times New Roman"/>
          <w:szCs w:val="24"/>
        </w:rPr>
        <w:t>l’art</w:t>
      </w:r>
      <w:r w:rsidR="0074708D">
        <w:rPr>
          <w:rFonts w:cs="Times New Roman"/>
          <w:szCs w:val="24"/>
        </w:rPr>
        <w:t>icle</w:t>
      </w:r>
      <w:r w:rsidRPr="009777B7">
        <w:rPr>
          <w:rFonts w:cs="Times New Roman"/>
          <w:szCs w:val="24"/>
        </w:rPr>
        <w:t xml:space="preserve">. 45 de la </w:t>
      </w:r>
      <w:r w:rsidR="00470C2C">
        <w:rPr>
          <w:rFonts w:cs="Times New Roman"/>
          <w:szCs w:val="24"/>
        </w:rPr>
        <w:t>LOLF</w:t>
      </w:r>
      <w:r w:rsidRPr="009777B7">
        <w:rPr>
          <w:rFonts w:cs="Times New Roman"/>
          <w:szCs w:val="24"/>
        </w:rPr>
        <w:t xml:space="preserve"> prévoit une procédure isolant l’autorisation de percevoir les impôts.</w:t>
      </w:r>
    </w:p>
    <w:p w14:paraId="793E6557" w14:textId="6373F9E7" w:rsidR="00881066" w:rsidRPr="009777B7" w:rsidRDefault="00881066" w:rsidP="004E2990">
      <w:pPr>
        <w:ind w:firstLine="582"/>
        <w:rPr>
          <w:rFonts w:cs="Times New Roman"/>
          <w:szCs w:val="24"/>
        </w:rPr>
      </w:pPr>
      <w:r w:rsidRPr="009777B7">
        <w:rPr>
          <w:rFonts w:cs="Times New Roman"/>
          <w:szCs w:val="24"/>
        </w:rPr>
        <w:t>Le Conseil constitutionnel a évoqué l’existence d’un principe de nécessité de l’impôt, distinct de celui du consentement à l’impôt.</w:t>
      </w:r>
      <w:r w:rsidR="007A1FF7">
        <w:rPr>
          <w:rFonts w:cs="Times New Roman"/>
          <w:szCs w:val="24"/>
        </w:rPr>
        <w:t xml:space="preserve"> Mais</w:t>
      </w:r>
      <w:r w:rsidRPr="009777B7">
        <w:rPr>
          <w:rFonts w:cs="Times New Roman"/>
          <w:szCs w:val="24"/>
        </w:rPr>
        <w:t xml:space="preserve"> la méconnaissance de ce principe de nécessité de l’impôt </w:t>
      </w:r>
      <w:r w:rsidR="00D34F55">
        <w:rPr>
          <w:rFonts w:cs="Times New Roman"/>
          <w:szCs w:val="24"/>
        </w:rPr>
        <w:t>ne s’av</w:t>
      </w:r>
      <w:r w:rsidR="00C64655">
        <w:rPr>
          <w:rFonts w:cs="Times New Roman"/>
          <w:szCs w:val="24"/>
        </w:rPr>
        <w:t>ère pas forcément utile en raison de son imprécision</w:t>
      </w:r>
      <w:r w:rsidRPr="009777B7">
        <w:rPr>
          <w:rFonts w:cs="Times New Roman"/>
          <w:szCs w:val="24"/>
          <w:vertAlign w:val="superscript"/>
        </w:rPr>
        <w:footnoteReference w:id="2"/>
      </w:r>
      <w:r w:rsidRPr="009777B7">
        <w:rPr>
          <w:rFonts w:cs="Times New Roman"/>
          <w:szCs w:val="24"/>
        </w:rPr>
        <w:t xml:space="preserve">. </w:t>
      </w:r>
      <w:r w:rsidR="00B3135C">
        <w:rPr>
          <w:rFonts w:cs="Times New Roman"/>
          <w:szCs w:val="24"/>
        </w:rPr>
        <w:t>E</w:t>
      </w:r>
      <w:r w:rsidR="00F14BF1">
        <w:rPr>
          <w:rFonts w:cs="Times New Roman"/>
          <w:szCs w:val="24"/>
        </w:rPr>
        <w:t>n</w:t>
      </w:r>
      <w:r w:rsidR="00B3135C">
        <w:rPr>
          <w:rFonts w:cs="Times New Roman"/>
          <w:szCs w:val="24"/>
        </w:rPr>
        <w:t xml:space="preserve"> outre,</w:t>
      </w:r>
      <w:r w:rsidR="0070068E">
        <w:rPr>
          <w:rFonts w:cs="Times New Roman"/>
          <w:szCs w:val="24"/>
        </w:rPr>
        <w:t xml:space="preserve"> </w:t>
      </w:r>
      <w:r w:rsidRPr="009777B7">
        <w:rPr>
          <w:rFonts w:cs="Times New Roman"/>
          <w:szCs w:val="24"/>
        </w:rPr>
        <w:t>le Conseil constitutionnel ne se reconnait pas de pouvoir d’appréciation comparable à celui du Parlement.</w:t>
      </w:r>
    </w:p>
    <w:p w14:paraId="6D9C937E" w14:textId="20FDCE2E" w:rsidR="00881066" w:rsidRPr="009777B7" w:rsidRDefault="00881066" w:rsidP="004E2990">
      <w:pPr>
        <w:jc w:val="left"/>
        <w:rPr>
          <w:rFonts w:cs="Times New Roman"/>
          <w:szCs w:val="24"/>
        </w:rPr>
      </w:pPr>
    </w:p>
    <w:p w14:paraId="2AD34B00" w14:textId="5BB40C68" w:rsidR="00881066" w:rsidRPr="009777B7" w:rsidRDefault="00881066" w:rsidP="004E2990">
      <w:pPr>
        <w:pStyle w:val="Titre3"/>
        <w:spacing w:before="0"/>
        <w:rPr>
          <w:rFonts w:cs="Times New Roman"/>
          <w:color w:val="auto"/>
        </w:rPr>
      </w:pPr>
      <w:bookmarkStart w:id="3" w:name="_Toc257967"/>
      <w:r w:rsidRPr="009777B7">
        <w:rPr>
          <w:rFonts w:cs="Times New Roman"/>
          <w:color w:val="auto"/>
        </w:rPr>
        <w:t>§ 2</w:t>
      </w:r>
      <w:r w:rsidR="009B2DAD" w:rsidRPr="009777B7">
        <w:rPr>
          <w:rFonts w:cs="Times New Roman"/>
          <w:color w:val="auto"/>
        </w:rPr>
        <w:t xml:space="preserve">. </w:t>
      </w:r>
      <w:r w:rsidRPr="009777B7">
        <w:rPr>
          <w:rFonts w:cs="Times New Roman"/>
          <w:color w:val="auto"/>
        </w:rPr>
        <w:t xml:space="preserve">La répartition des compétences entre le législateur et le pouvoir réglementaire </w:t>
      </w:r>
      <w:bookmarkEnd w:id="3"/>
    </w:p>
    <w:p w14:paraId="689255F3" w14:textId="58139272" w:rsidR="00881066" w:rsidRPr="009777B7" w:rsidRDefault="00881066" w:rsidP="004E2990">
      <w:pPr>
        <w:jc w:val="left"/>
        <w:rPr>
          <w:rFonts w:cs="Times New Roman"/>
          <w:szCs w:val="24"/>
        </w:rPr>
      </w:pPr>
    </w:p>
    <w:p w14:paraId="6B8100F3" w14:textId="7EF9CB71" w:rsidR="00463BD5" w:rsidRPr="009777B7" w:rsidRDefault="00881066" w:rsidP="004E2990">
      <w:pPr>
        <w:ind w:firstLine="723"/>
        <w:rPr>
          <w:rFonts w:cs="Times New Roman"/>
          <w:szCs w:val="24"/>
        </w:rPr>
      </w:pPr>
      <w:r w:rsidRPr="009777B7">
        <w:rPr>
          <w:rFonts w:cs="Times New Roman"/>
          <w:szCs w:val="24"/>
        </w:rPr>
        <w:t xml:space="preserve">Le principe de la légalité n’est évidemment pas apparu </w:t>
      </w:r>
      <w:r w:rsidR="0013720E" w:rsidRPr="009777B7">
        <w:rPr>
          <w:rFonts w:cs="Times New Roman"/>
          <w:szCs w:val="24"/>
        </w:rPr>
        <w:t>en 1958</w:t>
      </w:r>
      <w:r w:rsidRPr="009777B7">
        <w:rPr>
          <w:rFonts w:cs="Times New Roman"/>
          <w:szCs w:val="24"/>
        </w:rPr>
        <w:t>. Sous réserve du Consulat et de l’Empire, il découle de l’émergence du parlementarisme.</w:t>
      </w:r>
      <w:r w:rsidR="002B04D3">
        <w:rPr>
          <w:rFonts w:cs="Times New Roman"/>
          <w:szCs w:val="24"/>
        </w:rPr>
        <w:t xml:space="preserve"> </w:t>
      </w:r>
      <w:r w:rsidRPr="009777B7">
        <w:rPr>
          <w:rFonts w:cs="Times New Roman"/>
          <w:szCs w:val="24"/>
        </w:rPr>
        <w:t>Le principe de la légalité fiscale a rapidement été dégagé par la Cour de cassation à propos d’impositions créées par des communes</w:t>
      </w:r>
      <w:r w:rsidRPr="009777B7">
        <w:rPr>
          <w:rFonts w:cs="Times New Roman"/>
          <w:szCs w:val="24"/>
          <w:vertAlign w:val="superscript"/>
        </w:rPr>
        <w:footnoteReference w:id="3"/>
      </w:r>
      <w:r w:rsidRPr="009777B7">
        <w:rPr>
          <w:rFonts w:cs="Times New Roman"/>
          <w:szCs w:val="24"/>
        </w:rPr>
        <w:t>. Elle l’a ensuite consacré de manière générale</w:t>
      </w:r>
      <w:r w:rsidR="003F4FA1" w:rsidRPr="009777B7">
        <w:rPr>
          <w:rFonts w:cs="Times New Roman"/>
          <w:szCs w:val="24"/>
        </w:rPr>
        <w:t> </w:t>
      </w:r>
      <w:r w:rsidRPr="009777B7">
        <w:rPr>
          <w:rFonts w:cs="Times New Roman"/>
          <w:szCs w:val="24"/>
        </w:rPr>
        <w:t>: « aucun impôt, soit direct, soit indirect, ne peut être augmenté, diminué ou modifié, qu’en vertu d’une loi</w:t>
      </w:r>
      <w:r w:rsidR="00C27721">
        <w:rPr>
          <w:rFonts w:cs="Times New Roman"/>
          <w:szCs w:val="24"/>
        </w:rPr>
        <w:t> </w:t>
      </w:r>
      <w:r w:rsidRPr="009777B7">
        <w:rPr>
          <w:rFonts w:cs="Times New Roman"/>
          <w:szCs w:val="24"/>
        </w:rPr>
        <w:t>»</w:t>
      </w:r>
      <w:r w:rsidRPr="009777B7">
        <w:rPr>
          <w:rFonts w:cs="Times New Roman"/>
          <w:szCs w:val="24"/>
          <w:vertAlign w:val="superscript"/>
        </w:rPr>
        <w:footnoteReference w:id="4"/>
      </w:r>
      <w:r w:rsidRPr="009777B7">
        <w:rPr>
          <w:rFonts w:cs="Times New Roman"/>
          <w:szCs w:val="24"/>
        </w:rPr>
        <w:t>.</w:t>
      </w:r>
    </w:p>
    <w:p w14:paraId="5750095C" w14:textId="040F0635" w:rsidR="00247A8A" w:rsidRPr="009777B7" w:rsidRDefault="00881066" w:rsidP="004E2990">
      <w:pPr>
        <w:ind w:firstLine="723"/>
        <w:rPr>
          <w:rFonts w:cs="Times New Roman"/>
          <w:szCs w:val="24"/>
        </w:rPr>
      </w:pPr>
      <w:r w:rsidRPr="009777B7">
        <w:rPr>
          <w:rFonts w:cs="Times New Roman"/>
          <w:szCs w:val="24"/>
        </w:rPr>
        <w:t>Dans un premier temps, le Conseil d’</w:t>
      </w:r>
      <w:r w:rsidR="00D0104B" w:rsidRPr="009777B7">
        <w:rPr>
          <w:rFonts w:cs="Times New Roman"/>
          <w:szCs w:val="24"/>
        </w:rPr>
        <w:t>État</w:t>
      </w:r>
      <w:r w:rsidRPr="009777B7">
        <w:rPr>
          <w:rFonts w:cs="Times New Roman"/>
          <w:szCs w:val="24"/>
        </w:rPr>
        <w:t xml:space="preserve"> n’a pas été aussi explicite. Mais</w:t>
      </w:r>
      <w:r w:rsidR="00247A8A" w:rsidRPr="009777B7">
        <w:rPr>
          <w:rFonts w:cs="Times New Roman"/>
          <w:szCs w:val="24"/>
        </w:rPr>
        <w:t>,</w:t>
      </w:r>
      <w:r w:rsidRPr="009777B7">
        <w:rPr>
          <w:rFonts w:cs="Times New Roman"/>
          <w:szCs w:val="24"/>
        </w:rPr>
        <w:t xml:space="preserve"> </w:t>
      </w:r>
      <w:r w:rsidR="00247A8A" w:rsidRPr="009777B7">
        <w:rPr>
          <w:rFonts w:cs="Times New Roman"/>
          <w:szCs w:val="24"/>
        </w:rPr>
        <w:t>s</w:t>
      </w:r>
      <w:r w:rsidRPr="009777B7">
        <w:rPr>
          <w:rFonts w:cs="Times New Roman"/>
          <w:szCs w:val="24"/>
        </w:rPr>
        <w:t xml:space="preserve">elon Jean Romieu, « </w:t>
      </w:r>
      <w:r w:rsidRPr="009777B7">
        <w:rPr>
          <w:rFonts w:cs="Times New Roman"/>
          <w:i/>
          <w:szCs w:val="24"/>
        </w:rPr>
        <w:t>relèvent par leur nature du pouvoir législatif toutes les questions relatives directement ou indirectement aux obligations à imposer aux citoyens par voie d’autorité sans aucun lien contractuel</w:t>
      </w:r>
      <w:r w:rsidRPr="009777B7">
        <w:rPr>
          <w:rFonts w:cs="Times New Roman"/>
          <w:szCs w:val="24"/>
        </w:rPr>
        <w:t xml:space="preserve"> (par exemple tout ce qui concerne le droit de commander et de contraindre l’organisation de la force publique et des juridictions, la prise de possession de la propriété privée, le vote des impôts et des dépenses publiques qui y donnent lieu, etc., etc.)</w:t>
      </w:r>
      <w:r w:rsidR="00F67816" w:rsidRPr="009777B7">
        <w:rPr>
          <w:rFonts w:cs="Times New Roman"/>
          <w:szCs w:val="24"/>
        </w:rPr>
        <w:t> </w:t>
      </w:r>
      <w:r w:rsidRPr="009777B7">
        <w:rPr>
          <w:rFonts w:cs="Times New Roman"/>
          <w:szCs w:val="24"/>
        </w:rPr>
        <w:t>»</w:t>
      </w:r>
      <w:r w:rsidR="009B0594" w:rsidRPr="009777B7">
        <w:rPr>
          <w:rStyle w:val="Appelnotedebasdep"/>
          <w:rFonts w:cs="Times New Roman"/>
          <w:szCs w:val="24"/>
        </w:rPr>
        <w:footnoteReference w:id="5"/>
      </w:r>
      <w:r w:rsidRPr="009777B7">
        <w:rPr>
          <w:rFonts w:cs="Times New Roman"/>
          <w:szCs w:val="24"/>
        </w:rPr>
        <w:t>.</w:t>
      </w:r>
    </w:p>
    <w:p w14:paraId="6850971B" w14:textId="40CD3D8A" w:rsidR="00881066" w:rsidRPr="009777B7" w:rsidRDefault="00881066" w:rsidP="004E2990">
      <w:pPr>
        <w:ind w:firstLine="723"/>
        <w:rPr>
          <w:rFonts w:cs="Times New Roman"/>
          <w:szCs w:val="24"/>
        </w:rPr>
      </w:pPr>
      <w:r w:rsidRPr="009777B7">
        <w:rPr>
          <w:rFonts w:cs="Times New Roman"/>
          <w:szCs w:val="24"/>
        </w:rPr>
        <w:t>Dans un second temps, le Conseil d’</w:t>
      </w:r>
      <w:r w:rsidR="00D0104B" w:rsidRPr="009777B7">
        <w:rPr>
          <w:rFonts w:cs="Times New Roman"/>
          <w:szCs w:val="24"/>
        </w:rPr>
        <w:t>État</w:t>
      </w:r>
      <w:r w:rsidRPr="009777B7">
        <w:rPr>
          <w:rFonts w:cs="Times New Roman"/>
          <w:szCs w:val="24"/>
        </w:rPr>
        <w:t xml:space="preserve"> a été plus explicite pour canaliser la pratique des décrets-lois. Il a évoqué une réserve de la loi. Dans un avis </w:t>
      </w:r>
      <w:r w:rsidR="006770C2" w:rsidRPr="009777B7">
        <w:rPr>
          <w:rFonts w:cs="Times New Roman"/>
          <w:szCs w:val="24"/>
        </w:rPr>
        <w:t xml:space="preserve">n° 60.497 du 6 février </w:t>
      </w:r>
      <w:r w:rsidRPr="009777B7">
        <w:rPr>
          <w:rFonts w:cs="Times New Roman"/>
          <w:szCs w:val="24"/>
        </w:rPr>
        <w:t>1953, il a considéré que «</w:t>
      </w:r>
      <w:r w:rsidR="00DA75C7" w:rsidRPr="009777B7">
        <w:rPr>
          <w:rFonts w:cs="Times New Roman"/>
          <w:szCs w:val="24"/>
        </w:rPr>
        <w:t> </w:t>
      </w:r>
      <w:r w:rsidRPr="009777B7">
        <w:rPr>
          <w:rFonts w:cs="Times New Roman"/>
          <w:szCs w:val="24"/>
        </w:rPr>
        <w:t>certaines matières sont réservées à la loi soit en vertu des dispositions de la Constitution, soit</w:t>
      </w:r>
      <w:r w:rsidR="00BF2694" w:rsidRPr="009777B7">
        <w:rPr>
          <w:rFonts w:cs="Times New Roman"/>
          <w:szCs w:val="24"/>
        </w:rPr>
        <w:t> </w:t>
      </w:r>
      <w:r w:rsidRPr="009777B7">
        <w:rPr>
          <w:rFonts w:cs="Times New Roman"/>
          <w:szCs w:val="24"/>
        </w:rPr>
        <w:t>par la tradition constitutionnelle républicaine résultant notamment du Préambule de la Constitution et de la Déclaration des droits de l’homme de 1789 ».</w:t>
      </w:r>
    </w:p>
    <w:p w14:paraId="0749B575" w14:textId="24ED2590" w:rsidR="00881066" w:rsidRPr="009777B7" w:rsidRDefault="00881066" w:rsidP="004E2990">
      <w:pPr>
        <w:jc w:val="left"/>
        <w:rPr>
          <w:rFonts w:cs="Times New Roman"/>
          <w:szCs w:val="24"/>
        </w:rPr>
      </w:pPr>
    </w:p>
    <w:p w14:paraId="1ED20D7B" w14:textId="48FBAD86" w:rsidR="00881066" w:rsidRPr="009777B7" w:rsidRDefault="00881066" w:rsidP="004E2990">
      <w:pPr>
        <w:pStyle w:val="Titre4"/>
        <w:spacing w:before="0"/>
        <w:rPr>
          <w:rFonts w:ascii="Times New Roman" w:hAnsi="Times New Roman" w:cs="Times New Roman"/>
          <w:color w:val="auto"/>
          <w:szCs w:val="24"/>
        </w:rPr>
      </w:pPr>
      <w:bookmarkStart w:id="4" w:name="_Toc257968"/>
      <w:r w:rsidRPr="009777B7">
        <w:rPr>
          <w:rFonts w:ascii="Times New Roman" w:eastAsia="Cambria" w:hAnsi="Times New Roman" w:cs="Times New Roman"/>
          <w:color w:val="auto"/>
          <w:szCs w:val="24"/>
        </w:rPr>
        <w:t>A</w:t>
      </w:r>
      <w:r w:rsidR="007E35F4" w:rsidRPr="009777B7">
        <w:rPr>
          <w:rFonts w:ascii="Times New Roman" w:eastAsia="Cambria" w:hAnsi="Times New Roman" w:cs="Times New Roman"/>
          <w:color w:val="auto"/>
          <w:szCs w:val="24"/>
        </w:rPr>
        <w:t>.</w:t>
      </w:r>
      <w:r w:rsidRPr="009777B7">
        <w:rPr>
          <w:rFonts w:ascii="Times New Roman" w:eastAsia="Arial" w:hAnsi="Times New Roman" w:cs="Times New Roman"/>
          <w:color w:val="auto"/>
          <w:szCs w:val="24"/>
        </w:rPr>
        <w:t xml:space="preserve"> </w:t>
      </w:r>
      <w:r w:rsidRPr="009777B7">
        <w:rPr>
          <w:rFonts w:ascii="Times New Roman" w:hAnsi="Times New Roman" w:cs="Times New Roman"/>
          <w:color w:val="auto"/>
          <w:szCs w:val="24"/>
        </w:rPr>
        <w:t>La consistance du domaine réservé à la loi</w:t>
      </w:r>
      <w:bookmarkEnd w:id="4"/>
    </w:p>
    <w:p w14:paraId="7B5BECB0" w14:textId="4B293A7B" w:rsidR="00881066" w:rsidRPr="009777B7" w:rsidRDefault="00881066" w:rsidP="004E2990">
      <w:pPr>
        <w:jc w:val="left"/>
        <w:rPr>
          <w:rFonts w:cs="Times New Roman"/>
          <w:szCs w:val="24"/>
        </w:rPr>
      </w:pPr>
    </w:p>
    <w:p w14:paraId="1F1DDFFD" w14:textId="43506280" w:rsidR="0008053D" w:rsidRPr="009777B7" w:rsidRDefault="00881066" w:rsidP="004E2990">
      <w:pPr>
        <w:ind w:firstLine="723"/>
        <w:rPr>
          <w:rFonts w:cs="Times New Roman"/>
          <w:szCs w:val="24"/>
        </w:rPr>
      </w:pPr>
      <w:r w:rsidRPr="009777B7">
        <w:rPr>
          <w:rFonts w:cs="Times New Roman"/>
          <w:szCs w:val="24"/>
        </w:rPr>
        <w:t xml:space="preserve">La Constitution a solennellement consacré l’existence d’un domaine réservé au législateur. Selon son </w:t>
      </w:r>
      <w:r w:rsidR="00E41F53" w:rsidRPr="009777B7">
        <w:rPr>
          <w:rFonts w:cs="Times New Roman"/>
          <w:szCs w:val="24"/>
        </w:rPr>
        <w:t>art</w:t>
      </w:r>
      <w:r w:rsidR="00E41F53">
        <w:rPr>
          <w:rFonts w:cs="Times New Roman"/>
          <w:szCs w:val="24"/>
        </w:rPr>
        <w:t>icle</w:t>
      </w:r>
      <w:r w:rsidRPr="009777B7">
        <w:rPr>
          <w:rFonts w:cs="Times New Roman"/>
          <w:szCs w:val="24"/>
        </w:rPr>
        <w:t xml:space="preserve"> 34, « la loi fixe les règles concernant … l’assiette, le taux et les modalités de recouvrement des impositions de toutes natures ».</w:t>
      </w:r>
    </w:p>
    <w:p w14:paraId="14BCDADA" w14:textId="57053082" w:rsidR="00881066" w:rsidRPr="009777B7" w:rsidRDefault="00881066" w:rsidP="004E2990">
      <w:pPr>
        <w:ind w:firstLine="723"/>
        <w:rPr>
          <w:rFonts w:cs="Times New Roman"/>
          <w:szCs w:val="24"/>
        </w:rPr>
      </w:pPr>
      <w:r w:rsidRPr="009777B7">
        <w:rPr>
          <w:rFonts w:cs="Times New Roman"/>
          <w:szCs w:val="24"/>
        </w:rPr>
        <w:t xml:space="preserve">Ce faisant, </w:t>
      </w:r>
      <w:r w:rsidR="00FB5BCE" w:rsidRPr="009777B7">
        <w:rPr>
          <w:rFonts w:cs="Times New Roman"/>
          <w:szCs w:val="24"/>
        </w:rPr>
        <w:t>l’art</w:t>
      </w:r>
      <w:r w:rsidR="00FB5BCE">
        <w:rPr>
          <w:rFonts w:cs="Times New Roman"/>
          <w:szCs w:val="24"/>
        </w:rPr>
        <w:t>icle</w:t>
      </w:r>
      <w:r w:rsidRPr="009777B7">
        <w:rPr>
          <w:rFonts w:cs="Times New Roman"/>
          <w:szCs w:val="24"/>
        </w:rPr>
        <w:t xml:space="preserve"> 34 protège la compétence du législateur vis-à-vis du pouvoir réglementaire. En principe, celui-ci n’est fondé à intervenir que de deux manières : </w:t>
      </w:r>
    </w:p>
    <w:p w14:paraId="2C249684" w14:textId="77777777" w:rsidR="00881066" w:rsidRPr="009777B7" w:rsidRDefault="00881066" w:rsidP="004E2990">
      <w:pPr>
        <w:numPr>
          <w:ilvl w:val="0"/>
          <w:numId w:val="6"/>
        </w:numPr>
        <w:ind w:left="0" w:hanging="360"/>
        <w:rPr>
          <w:rFonts w:cs="Times New Roman"/>
          <w:szCs w:val="24"/>
        </w:rPr>
      </w:pPr>
      <w:r w:rsidRPr="009777B7">
        <w:rPr>
          <w:rFonts w:cs="Times New Roman"/>
          <w:szCs w:val="24"/>
        </w:rPr>
        <w:t xml:space="preserve">Soit, en ce qui concerne l’assiette, le taux et le recouvrement des impositions de toute nature, pour en préciser les règles définies par la loi ; </w:t>
      </w:r>
    </w:p>
    <w:p w14:paraId="39CD3068" w14:textId="77777777" w:rsidR="00B4324F" w:rsidRPr="009777B7" w:rsidRDefault="00881066" w:rsidP="004E2990">
      <w:pPr>
        <w:numPr>
          <w:ilvl w:val="0"/>
          <w:numId w:val="6"/>
        </w:numPr>
        <w:ind w:left="0" w:hanging="360"/>
        <w:rPr>
          <w:rFonts w:cs="Times New Roman"/>
          <w:szCs w:val="24"/>
        </w:rPr>
      </w:pPr>
      <w:r w:rsidRPr="009777B7">
        <w:rPr>
          <w:rFonts w:cs="Times New Roman"/>
          <w:szCs w:val="24"/>
        </w:rPr>
        <w:lastRenderedPageBreak/>
        <w:t>Soit, en dehors de ce domaine réservé à la loi, à propos de toute autre question fiscale.</w:t>
      </w:r>
    </w:p>
    <w:p w14:paraId="5D101654" w14:textId="77777777" w:rsidR="00B4324F" w:rsidRPr="009777B7" w:rsidRDefault="00B4324F" w:rsidP="004E2990">
      <w:pPr>
        <w:rPr>
          <w:rFonts w:cs="Times New Roman"/>
          <w:szCs w:val="24"/>
        </w:rPr>
      </w:pPr>
    </w:p>
    <w:p w14:paraId="08BF9C88" w14:textId="6F7B7306" w:rsidR="00881066" w:rsidRPr="009777B7" w:rsidRDefault="00881066" w:rsidP="004E2990">
      <w:pPr>
        <w:ind w:firstLine="567"/>
        <w:rPr>
          <w:rFonts w:cs="Times New Roman"/>
          <w:szCs w:val="24"/>
        </w:rPr>
      </w:pPr>
      <w:r w:rsidRPr="009777B7">
        <w:rPr>
          <w:rFonts w:cs="Times New Roman"/>
          <w:szCs w:val="24"/>
        </w:rPr>
        <w:t>Dans ce cadre, les lois fiscales peuvent évidemment faire l’objet d’un contrôle par le Conseil constitutionnel permettant de vérifier que l’habilitation constitutionnelle a été respectée. Ce contrôle est dissymétrique. L’incompétence positive est en quelque sorte neutralisée</w:t>
      </w:r>
      <w:r w:rsidR="0003365D" w:rsidRPr="009777B7">
        <w:rPr>
          <w:rFonts w:cs="Times New Roman"/>
          <w:szCs w:val="24"/>
        </w:rPr>
        <w:t>, a</w:t>
      </w:r>
      <w:r w:rsidRPr="009777B7">
        <w:rPr>
          <w:rFonts w:cs="Times New Roman"/>
          <w:szCs w:val="24"/>
        </w:rPr>
        <w:t>lors que l’incompétence négative entraîne l’inconstitutionnalité.</w:t>
      </w:r>
      <w:r w:rsidR="008E2424" w:rsidRPr="009777B7">
        <w:rPr>
          <w:rFonts w:cs="Times New Roman"/>
          <w:szCs w:val="24"/>
        </w:rPr>
        <w:t xml:space="preserve"> À cet égard, l</w:t>
      </w:r>
      <w:r w:rsidRPr="009777B7">
        <w:rPr>
          <w:rFonts w:cs="Times New Roman"/>
          <w:szCs w:val="24"/>
        </w:rPr>
        <w:t>e Conseil constitutionnel a considéré que les dispositions de l’article 34 et du premier alinéa de l’article 37 de la Constitution ne sauraient être interprétées indépendamment de celles de l’article 41 et du deuxième alinéa de l’article 37. Il a déduit «</w:t>
      </w:r>
      <w:r w:rsidR="00663B72">
        <w:rPr>
          <w:rFonts w:cs="Times New Roman"/>
          <w:szCs w:val="24"/>
        </w:rPr>
        <w:t> </w:t>
      </w:r>
      <w:r w:rsidRPr="009777B7">
        <w:rPr>
          <w:rFonts w:cs="Times New Roman"/>
          <w:szCs w:val="24"/>
        </w:rPr>
        <w:t>de leur combinaison que n’est pas frappée d’inconstitutionnalité, du seul fait de sa nature réglementaire, une disposition contenue dans une loi, lorsque le Gouvernement ne s’est pas opposé à son insertion, par la voie d’une irrecevabilité, au cours de la procédure parlementaire »</w:t>
      </w:r>
      <w:r w:rsidRPr="009777B7">
        <w:rPr>
          <w:rFonts w:cs="Times New Roman"/>
          <w:szCs w:val="24"/>
          <w:vertAlign w:val="superscript"/>
        </w:rPr>
        <w:footnoteReference w:id="6"/>
      </w:r>
      <w:r w:rsidRPr="009777B7">
        <w:rPr>
          <w:rFonts w:cs="Times New Roman"/>
          <w:szCs w:val="24"/>
        </w:rPr>
        <w:t xml:space="preserve">. </w:t>
      </w:r>
      <w:r w:rsidR="009E4E0C" w:rsidRPr="009777B7">
        <w:rPr>
          <w:rFonts w:cs="Times New Roman"/>
          <w:szCs w:val="24"/>
        </w:rPr>
        <w:t>En pratique, l</w:t>
      </w:r>
      <w:r w:rsidR="00115D25" w:rsidRPr="009777B7">
        <w:rPr>
          <w:rFonts w:cs="Times New Roman"/>
          <w:szCs w:val="24"/>
        </w:rPr>
        <w:t xml:space="preserve">’exécutif n’utilise que très rarement </w:t>
      </w:r>
      <w:r w:rsidR="005F56CF" w:rsidRPr="009777B7">
        <w:rPr>
          <w:rFonts w:cs="Times New Roman"/>
          <w:szCs w:val="24"/>
        </w:rPr>
        <w:t>l’irrecevabilité prévue à l’article 41 de la Constitution.</w:t>
      </w:r>
    </w:p>
    <w:p w14:paraId="39E4CA06" w14:textId="2B7ABC48" w:rsidR="00881066" w:rsidRPr="009777B7" w:rsidRDefault="00881066" w:rsidP="004E2990">
      <w:pPr>
        <w:jc w:val="left"/>
        <w:rPr>
          <w:rFonts w:cs="Times New Roman"/>
          <w:szCs w:val="24"/>
        </w:rPr>
      </w:pPr>
    </w:p>
    <w:p w14:paraId="19272000" w14:textId="76F8F65A" w:rsidR="00881066" w:rsidRPr="009777B7" w:rsidRDefault="00881066" w:rsidP="004E2990">
      <w:pPr>
        <w:pStyle w:val="Titre4"/>
        <w:spacing w:before="0"/>
        <w:rPr>
          <w:rFonts w:ascii="Times New Roman" w:hAnsi="Times New Roman" w:cs="Times New Roman"/>
          <w:color w:val="auto"/>
          <w:szCs w:val="24"/>
        </w:rPr>
      </w:pPr>
      <w:bookmarkStart w:id="5" w:name="_Toc257969"/>
      <w:r w:rsidRPr="009777B7">
        <w:rPr>
          <w:rFonts w:ascii="Times New Roman" w:eastAsia="Cambria" w:hAnsi="Times New Roman" w:cs="Times New Roman"/>
          <w:color w:val="auto"/>
          <w:szCs w:val="24"/>
        </w:rPr>
        <w:t>B</w:t>
      </w:r>
      <w:r w:rsidR="001457F0" w:rsidRPr="009777B7">
        <w:rPr>
          <w:rFonts w:ascii="Times New Roman" w:eastAsia="Cambria" w:hAnsi="Times New Roman" w:cs="Times New Roman"/>
          <w:color w:val="auto"/>
          <w:szCs w:val="24"/>
        </w:rPr>
        <w:t>.</w:t>
      </w:r>
      <w:r w:rsidRPr="009777B7">
        <w:rPr>
          <w:rFonts w:ascii="Times New Roman" w:eastAsia="Arial" w:hAnsi="Times New Roman" w:cs="Times New Roman"/>
          <w:color w:val="auto"/>
          <w:szCs w:val="24"/>
        </w:rPr>
        <w:t xml:space="preserve"> </w:t>
      </w:r>
      <w:r w:rsidRPr="009777B7">
        <w:rPr>
          <w:rFonts w:ascii="Times New Roman" w:hAnsi="Times New Roman" w:cs="Times New Roman"/>
          <w:color w:val="auto"/>
          <w:szCs w:val="24"/>
        </w:rPr>
        <w:t xml:space="preserve">L’inconstitutionnalité du fait d’une incompétence négative </w:t>
      </w:r>
      <w:bookmarkEnd w:id="5"/>
    </w:p>
    <w:p w14:paraId="52F9C8C0" w14:textId="68ED6A1D" w:rsidR="00881066" w:rsidRPr="009777B7" w:rsidRDefault="00881066" w:rsidP="004E2990">
      <w:pPr>
        <w:jc w:val="left"/>
        <w:rPr>
          <w:rFonts w:cs="Times New Roman"/>
          <w:szCs w:val="24"/>
        </w:rPr>
      </w:pPr>
    </w:p>
    <w:p w14:paraId="03195438" w14:textId="7DC08BC8" w:rsidR="0075104E" w:rsidRPr="004C0A12" w:rsidRDefault="00BC7DEC" w:rsidP="004E2990">
      <w:pPr>
        <w:ind w:firstLine="723"/>
        <w:rPr>
          <w:rFonts w:cs="Times New Roman"/>
          <w:szCs w:val="24"/>
        </w:rPr>
      </w:pPr>
      <w:r w:rsidRPr="004C0A12">
        <w:rPr>
          <w:rFonts w:cs="Times New Roman"/>
          <w:szCs w:val="24"/>
        </w:rPr>
        <w:t>L</w:t>
      </w:r>
      <w:r w:rsidR="00881066" w:rsidRPr="004C0A12">
        <w:rPr>
          <w:rFonts w:cs="Times New Roman"/>
          <w:szCs w:val="24"/>
        </w:rPr>
        <w:t xml:space="preserve">’incompétence négative </w:t>
      </w:r>
      <w:r w:rsidR="00A6547D" w:rsidRPr="004C0A12">
        <w:rPr>
          <w:rFonts w:cs="Times New Roman"/>
          <w:szCs w:val="24"/>
        </w:rPr>
        <w:t>provient du</w:t>
      </w:r>
      <w:r w:rsidR="00881066" w:rsidRPr="004C0A12">
        <w:rPr>
          <w:rFonts w:cs="Times New Roman"/>
          <w:szCs w:val="24"/>
        </w:rPr>
        <w:t xml:space="preserve"> contentieux administratif. Elle correspond, selon la formule d’Edouard Laferrière, au « cas où une autorité, au lieu de franchir les limites de sa compétence, reste en deçà »</w:t>
      </w:r>
      <w:r w:rsidR="00131BCB" w:rsidRPr="004C0A12">
        <w:rPr>
          <w:rFonts w:cs="Times New Roman"/>
          <w:szCs w:val="24"/>
        </w:rPr>
        <w:t>.</w:t>
      </w:r>
      <w:r w:rsidR="0075104E" w:rsidRPr="004C0A12">
        <w:rPr>
          <w:rFonts w:cs="Times New Roman"/>
          <w:szCs w:val="24"/>
        </w:rPr>
        <w:t xml:space="preserve"> </w:t>
      </w:r>
      <w:r w:rsidR="00881066" w:rsidRPr="004C0A12">
        <w:rPr>
          <w:rFonts w:cs="Times New Roman"/>
          <w:szCs w:val="24"/>
        </w:rPr>
        <w:t>Le Parlement étant tenu d’épuiser sa compétence, toute disposition légale entachée d’une telle incompétence négative est susceptible d’être déclarée inconstitutionnelle.</w:t>
      </w:r>
    </w:p>
    <w:p w14:paraId="4FF4E245" w14:textId="7D4E315A" w:rsidR="00DA1134" w:rsidRPr="009777B7" w:rsidRDefault="00881066" w:rsidP="004E2990">
      <w:pPr>
        <w:ind w:firstLine="723"/>
        <w:rPr>
          <w:rFonts w:cs="Times New Roman"/>
          <w:szCs w:val="24"/>
        </w:rPr>
      </w:pPr>
      <w:r w:rsidRPr="009777B7">
        <w:rPr>
          <w:rFonts w:cs="Times New Roman"/>
          <w:szCs w:val="24"/>
        </w:rPr>
        <w:t xml:space="preserve">S’agissant de l’assiette et du taux de chaque imposition de toute nature, </w:t>
      </w:r>
      <w:r w:rsidR="00A270FF" w:rsidRPr="009777B7">
        <w:rPr>
          <w:rFonts w:cs="Times New Roman"/>
          <w:szCs w:val="24"/>
        </w:rPr>
        <w:t>l’art</w:t>
      </w:r>
      <w:r w:rsidR="00A270FF">
        <w:rPr>
          <w:rFonts w:cs="Times New Roman"/>
          <w:szCs w:val="24"/>
        </w:rPr>
        <w:t>icle</w:t>
      </w:r>
      <w:r w:rsidR="00BF6307">
        <w:rPr>
          <w:rFonts w:cs="Times New Roman"/>
          <w:szCs w:val="24"/>
        </w:rPr>
        <w:t> </w:t>
      </w:r>
      <w:r w:rsidRPr="009777B7">
        <w:rPr>
          <w:rFonts w:cs="Times New Roman"/>
          <w:szCs w:val="24"/>
        </w:rPr>
        <w:t>34 ne confère une habilitation exclusive qu’à l’égard de la fixation de leurs règles. Le Conseil constitutionnel en a déduit que le législateur ne devait pas nécessairement fixer lui-même l’assiette et le taux de chaque imposition.</w:t>
      </w:r>
    </w:p>
    <w:p w14:paraId="63FE0307" w14:textId="77777777" w:rsidR="00C96348" w:rsidRPr="009777B7" w:rsidRDefault="00881066" w:rsidP="004E2990">
      <w:pPr>
        <w:ind w:firstLine="723"/>
        <w:rPr>
          <w:rFonts w:cs="Times New Roman"/>
          <w:szCs w:val="24"/>
        </w:rPr>
      </w:pPr>
      <w:r w:rsidRPr="009777B7">
        <w:rPr>
          <w:rFonts w:cs="Times New Roman"/>
          <w:szCs w:val="24"/>
        </w:rPr>
        <w:t>Par voie de conséquence, le législateur peut parfaitement, d’une part, fixer les règles relatives à l’assiette, au taux et aux modalités de recouvrement d’une imposition, d’autre part, habiliter une autorité – autre que le Premier ministre, lequel dispose d’une habilitation en vertu des dispositions combinées des articles 21 et 37, alinéa 1</w:t>
      </w:r>
      <w:r w:rsidRPr="009777B7">
        <w:rPr>
          <w:rFonts w:cs="Times New Roman"/>
          <w:szCs w:val="24"/>
          <w:vertAlign w:val="superscript"/>
        </w:rPr>
        <w:t>er</w:t>
      </w:r>
      <w:r w:rsidRPr="009777B7">
        <w:rPr>
          <w:rFonts w:cs="Times New Roman"/>
          <w:szCs w:val="24"/>
        </w:rPr>
        <w:t xml:space="preserve"> – à en préciser les conditions d’application.</w:t>
      </w:r>
    </w:p>
    <w:p w14:paraId="4C6B4B4B" w14:textId="77777777" w:rsidR="00C96348" w:rsidRPr="009777B7" w:rsidRDefault="00C96348" w:rsidP="004E2990">
      <w:pPr>
        <w:ind w:firstLine="723"/>
        <w:rPr>
          <w:rFonts w:cs="Times New Roman"/>
          <w:szCs w:val="24"/>
        </w:rPr>
      </w:pPr>
    </w:p>
    <w:p w14:paraId="7D4C22E0" w14:textId="04D03895" w:rsidR="004E61A0" w:rsidRPr="009777B7" w:rsidRDefault="00C96348" w:rsidP="004E2990">
      <w:pPr>
        <w:ind w:firstLine="723"/>
        <w:rPr>
          <w:rFonts w:cs="Times New Roman"/>
          <w:szCs w:val="24"/>
        </w:rPr>
      </w:pPr>
      <w:r w:rsidRPr="009777B7">
        <w:rPr>
          <w:rFonts w:cs="Times New Roman"/>
          <w:szCs w:val="24"/>
        </w:rPr>
        <w:lastRenderedPageBreak/>
        <w:t>Par exemple, s</w:t>
      </w:r>
      <w:r w:rsidR="00881066" w:rsidRPr="009777B7">
        <w:rPr>
          <w:rFonts w:cs="Times New Roman"/>
          <w:szCs w:val="24"/>
        </w:rPr>
        <w:t xml:space="preserve">’agissant </w:t>
      </w:r>
      <w:r w:rsidR="00584D46" w:rsidRPr="009777B7">
        <w:rPr>
          <w:rFonts w:cs="Times New Roman"/>
          <w:szCs w:val="24"/>
        </w:rPr>
        <w:t>du</w:t>
      </w:r>
      <w:r w:rsidR="00881066" w:rsidRPr="009777B7">
        <w:rPr>
          <w:rFonts w:cs="Times New Roman"/>
          <w:szCs w:val="24"/>
        </w:rPr>
        <w:t xml:space="preserve"> recouvrement, </w:t>
      </w:r>
      <w:r w:rsidR="00E30D2A" w:rsidRPr="009777B7">
        <w:rPr>
          <w:rFonts w:cs="Times New Roman"/>
          <w:szCs w:val="24"/>
        </w:rPr>
        <w:t>i</w:t>
      </w:r>
      <w:r w:rsidR="00881066" w:rsidRPr="009777B7">
        <w:rPr>
          <w:rFonts w:cs="Times New Roman"/>
          <w:szCs w:val="24"/>
        </w:rPr>
        <w:t>l n’exist</w:t>
      </w:r>
      <w:r w:rsidR="00E3240A" w:rsidRPr="009777B7">
        <w:rPr>
          <w:rFonts w:cs="Times New Roman"/>
          <w:szCs w:val="24"/>
        </w:rPr>
        <w:t>e</w:t>
      </w:r>
      <w:r w:rsidR="00881066" w:rsidRPr="009777B7">
        <w:rPr>
          <w:rFonts w:cs="Times New Roman"/>
          <w:szCs w:val="24"/>
        </w:rPr>
        <w:t xml:space="preserve"> «</w:t>
      </w:r>
      <w:r w:rsidR="00EA735C">
        <w:rPr>
          <w:rFonts w:cs="Times New Roman"/>
          <w:szCs w:val="24"/>
        </w:rPr>
        <w:t> </w:t>
      </w:r>
      <w:r w:rsidR="00881066" w:rsidRPr="009777B7">
        <w:rPr>
          <w:rFonts w:cs="Times New Roman"/>
          <w:szCs w:val="24"/>
        </w:rPr>
        <w:t>aucun principe fondamental reconnu par les lois de la République » conférant à l’</w:t>
      </w:r>
      <w:r w:rsidR="00E30D2A" w:rsidRPr="009777B7">
        <w:rPr>
          <w:rFonts w:cs="Times New Roman"/>
          <w:szCs w:val="24"/>
        </w:rPr>
        <w:t>État</w:t>
      </w:r>
      <w:r w:rsidR="00881066" w:rsidRPr="009777B7">
        <w:rPr>
          <w:rFonts w:cs="Times New Roman"/>
          <w:szCs w:val="24"/>
        </w:rPr>
        <w:t xml:space="preserve"> l’exclusivité du recouvrement de l’impôt</w:t>
      </w:r>
      <w:r w:rsidR="00233BB2" w:rsidRPr="009777B7">
        <w:rPr>
          <w:rFonts w:cs="Times New Roman"/>
          <w:szCs w:val="24"/>
        </w:rPr>
        <w:t>, m</w:t>
      </w:r>
      <w:r w:rsidR="00881066" w:rsidRPr="009777B7">
        <w:rPr>
          <w:rFonts w:cs="Times New Roman"/>
          <w:szCs w:val="24"/>
        </w:rPr>
        <w:t xml:space="preserve">ais </w:t>
      </w:r>
      <w:r w:rsidR="00233BB2" w:rsidRPr="009777B7">
        <w:rPr>
          <w:rFonts w:cs="Times New Roman"/>
          <w:szCs w:val="24"/>
        </w:rPr>
        <w:t>selon le Conseil constitutionnel</w:t>
      </w:r>
      <w:r w:rsidR="00881066" w:rsidRPr="009777B7">
        <w:rPr>
          <w:rFonts w:cs="Times New Roman"/>
          <w:szCs w:val="24"/>
        </w:rPr>
        <w:t xml:space="preserve"> « le recouvrement d’une imposition contribuant, conformément à l’article 13 de la Déclaration de 1789, aux charges de la Nation, ne peut être effectué que par des services ou organismes placés sous l’autorité de l’État ou son contrôle</w:t>
      </w:r>
      <w:r w:rsidR="00AC5F77" w:rsidRPr="009777B7">
        <w:rPr>
          <w:rFonts w:cs="Times New Roman"/>
          <w:szCs w:val="24"/>
        </w:rPr>
        <w:t> </w:t>
      </w:r>
      <w:r w:rsidR="00881066" w:rsidRPr="009777B7">
        <w:rPr>
          <w:rFonts w:cs="Times New Roman"/>
          <w:szCs w:val="24"/>
        </w:rPr>
        <w:t>»</w:t>
      </w:r>
      <w:r w:rsidR="00881066" w:rsidRPr="009777B7">
        <w:rPr>
          <w:rFonts w:cs="Times New Roman"/>
          <w:szCs w:val="24"/>
          <w:vertAlign w:val="superscript"/>
        </w:rPr>
        <w:footnoteReference w:id="7"/>
      </w:r>
      <w:r w:rsidR="00881066" w:rsidRPr="009777B7">
        <w:rPr>
          <w:rFonts w:cs="Times New Roman"/>
          <w:szCs w:val="24"/>
        </w:rPr>
        <w:t>.</w:t>
      </w:r>
      <w:r w:rsidR="0032105A" w:rsidRPr="009777B7">
        <w:rPr>
          <w:rFonts w:cs="Times New Roman"/>
          <w:szCs w:val="24"/>
        </w:rPr>
        <w:t xml:space="preserve"> Ainsi y a-t-il </w:t>
      </w:r>
      <w:r w:rsidR="006C0B22" w:rsidRPr="009777B7">
        <w:rPr>
          <w:rFonts w:cs="Times New Roman"/>
          <w:szCs w:val="24"/>
        </w:rPr>
        <w:t xml:space="preserve">incompétence négative </w:t>
      </w:r>
      <w:r w:rsidR="00510952" w:rsidRPr="009777B7">
        <w:rPr>
          <w:rFonts w:cs="Times New Roman"/>
          <w:szCs w:val="24"/>
        </w:rPr>
        <w:t>lorsque le législateur</w:t>
      </w:r>
      <w:r w:rsidR="007518E8" w:rsidRPr="009777B7">
        <w:rPr>
          <w:rFonts w:cs="Times New Roman"/>
          <w:szCs w:val="24"/>
        </w:rPr>
        <w:t xml:space="preserve"> procède au</w:t>
      </w:r>
      <w:r w:rsidR="00093D5E" w:rsidRPr="009777B7">
        <w:rPr>
          <w:rFonts w:cs="Times New Roman"/>
          <w:szCs w:val="24"/>
        </w:rPr>
        <w:t xml:space="preserve"> t</w:t>
      </w:r>
      <w:r w:rsidR="00B702E2" w:rsidRPr="009777B7">
        <w:rPr>
          <w:rFonts w:cs="Times New Roman"/>
          <w:szCs w:val="24"/>
        </w:rPr>
        <w:t>r</w:t>
      </w:r>
      <w:r w:rsidR="00093D5E" w:rsidRPr="009777B7">
        <w:rPr>
          <w:rFonts w:cs="Times New Roman"/>
          <w:szCs w:val="24"/>
        </w:rPr>
        <w:t>ansfert inconditionné aux collectivités territoriales du recouvrement d’une imposition leur étant affecté</w:t>
      </w:r>
      <w:r w:rsidR="0029049E" w:rsidRPr="009777B7">
        <w:rPr>
          <w:rFonts w:cs="Times New Roman"/>
          <w:szCs w:val="24"/>
        </w:rPr>
        <w:t>e</w:t>
      </w:r>
      <w:r w:rsidR="0047460A" w:rsidRPr="009777B7">
        <w:rPr>
          <w:rStyle w:val="Appelnotedebasdep"/>
          <w:rFonts w:cs="Times New Roman"/>
          <w:szCs w:val="24"/>
        </w:rPr>
        <w:footnoteReference w:id="8"/>
      </w:r>
      <w:r w:rsidR="0044517B" w:rsidRPr="009777B7">
        <w:rPr>
          <w:rFonts w:cs="Times New Roman"/>
          <w:szCs w:val="24"/>
        </w:rPr>
        <w:t>.</w:t>
      </w:r>
      <w:r w:rsidR="009866F9" w:rsidRPr="009777B7">
        <w:rPr>
          <w:rFonts w:cs="Times New Roman"/>
          <w:szCs w:val="24"/>
        </w:rPr>
        <w:t xml:space="preserve"> Les règles qu’il fixe </w:t>
      </w:r>
      <w:r w:rsidR="00BE313E" w:rsidRPr="009777B7">
        <w:rPr>
          <w:rFonts w:cs="Times New Roman"/>
          <w:szCs w:val="24"/>
        </w:rPr>
        <w:t>doivent donc être précises</w:t>
      </w:r>
      <w:r w:rsidR="00940026" w:rsidRPr="009777B7">
        <w:rPr>
          <w:rFonts w:cs="Times New Roman"/>
          <w:szCs w:val="24"/>
        </w:rPr>
        <w:t>, c’est-à-dire épuiser sa compétence</w:t>
      </w:r>
      <w:r w:rsidR="007C0A63" w:rsidRPr="009777B7">
        <w:rPr>
          <w:rStyle w:val="Appelnotedebasdep"/>
          <w:rFonts w:cs="Times New Roman"/>
          <w:szCs w:val="24"/>
        </w:rPr>
        <w:footnoteReference w:id="9"/>
      </w:r>
      <w:r w:rsidR="00940026" w:rsidRPr="009777B7">
        <w:rPr>
          <w:rFonts w:cs="Times New Roman"/>
          <w:szCs w:val="24"/>
        </w:rPr>
        <w:t>.</w:t>
      </w:r>
      <w:r w:rsidR="00B717B8" w:rsidRPr="009777B7">
        <w:rPr>
          <w:rFonts w:cs="Times New Roman"/>
          <w:szCs w:val="24"/>
        </w:rPr>
        <w:t xml:space="preserve"> </w:t>
      </w:r>
      <w:r w:rsidR="00881066" w:rsidRPr="009777B7">
        <w:rPr>
          <w:rFonts w:cs="Times New Roman"/>
          <w:szCs w:val="24"/>
        </w:rPr>
        <w:t>L’incompétence négative peut encore résulter de l’indétermination légale de la date d’entrée en vigueur de dispositions</w:t>
      </w:r>
      <w:r w:rsidR="00881066" w:rsidRPr="009777B7">
        <w:rPr>
          <w:rFonts w:cs="Times New Roman"/>
          <w:szCs w:val="24"/>
          <w:vertAlign w:val="superscript"/>
        </w:rPr>
        <w:footnoteReference w:id="10"/>
      </w:r>
      <w:r w:rsidR="00881066" w:rsidRPr="009777B7">
        <w:rPr>
          <w:rFonts w:cs="Times New Roman"/>
          <w:szCs w:val="24"/>
        </w:rPr>
        <w:t>.</w:t>
      </w:r>
    </w:p>
    <w:p w14:paraId="63D10CAF" w14:textId="6D637DAD" w:rsidR="00881066" w:rsidRPr="009777B7" w:rsidRDefault="004E61A0" w:rsidP="004E2990">
      <w:pPr>
        <w:ind w:firstLine="723"/>
        <w:rPr>
          <w:rFonts w:cs="Times New Roman"/>
          <w:szCs w:val="24"/>
        </w:rPr>
      </w:pPr>
      <w:r w:rsidRPr="009777B7">
        <w:rPr>
          <w:rFonts w:cs="Times New Roman"/>
          <w:szCs w:val="24"/>
        </w:rPr>
        <w:t>Du r</w:t>
      </w:r>
      <w:r w:rsidR="00881066" w:rsidRPr="009777B7">
        <w:rPr>
          <w:rFonts w:cs="Times New Roman"/>
          <w:szCs w:val="24"/>
        </w:rPr>
        <w:t>este</w:t>
      </w:r>
      <w:r w:rsidR="00066EAD" w:rsidRPr="009777B7">
        <w:rPr>
          <w:rFonts w:cs="Times New Roman"/>
          <w:szCs w:val="24"/>
        </w:rPr>
        <w:t>,</w:t>
      </w:r>
      <w:r w:rsidR="00881066" w:rsidRPr="009777B7">
        <w:rPr>
          <w:rFonts w:cs="Times New Roman"/>
          <w:szCs w:val="24"/>
        </w:rPr>
        <w:t xml:space="preserve"> le Conseil constitutionnel n’a pas admis que l’incompétence négative du législateur puisse être utilement invoquée</w:t>
      </w:r>
      <w:r w:rsidR="001D4AA0" w:rsidRPr="009777B7">
        <w:rPr>
          <w:rFonts w:cs="Times New Roman"/>
          <w:szCs w:val="24"/>
        </w:rPr>
        <w:t xml:space="preserve"> en tant que telle</w:t>
      </w:r>
      <w:r w:rsidR="00881066" w:rsidRPr="009777B7">
        <w:rPr>
          <w:rFonts w:cs="Times New Roman"/>
          <w:szCs w:val="24"/>
        </w:rPr>
        <w:t xml:space="preserve"> dans le cadre d’une question prioritaire de constitutionnalité en matière fiscale </w:t>
      </w:r>
      <w:r w:rsidR="00294A59" w:rsidRPr="009777B7">
        <w:rPr>
          <w:rFonts w:cs="Times New Roman"/>
          <w:szCs w:val="24"/>
        </w:rPr>
        <w:t>(</w:t>
      </w:r>
      <w:r w:rsidR="00881066" w:rsidRPr="009777B7">
        <w:rPr>
          <w:rFonts w:cs="Times New Roman"/>
          <w:szCs w:val="24"/>
        </w:rPr>
        <w:t>décision SNC Kimberly Clark du 18 juin 2010</w:t>
      </w:r>
      <w:r w:rsidR="00294A59" w:rsidRPr="009777B7">
        <w:rPr>
          <w:rFonts w:cs="Times New Roman"/>
          <w:szCs w:val="24"/>
        </w:rPr>
        <w:t>) </w:t>
      </w:r>
      <w:r w:rsidR="00881066" w:rsidRPr="009777B7">
        <w:rPr>
          <w:rFonts w:cs="Times New Roman"/>
          <w:szCs w:val="24"/>
        </w:rPr>
        <w:t>:</w:t>
      </w:r>
      <w:r w:rsidR="00712397" w:rsidRPr="009777B7">
        <w:rPr>
          <w:rFonts w:cs="Times New Roman"/>
          <w:szCs w:val="24"/>
        </w:rPr>
        <w:t xml:space="preserve"> </w:t>
      </w:r>
      <w:r w:rsidR="00881066" w:rsidRPr="009777B7">
        <w:rPr>
          <w:rFonts w:cs="Times New Roman"/>
          <w:szCs w:val="24"/>
        </w:rPr>
        <w:t xml:space="preserve">« </w:t>
      </w:r>
      <w:r w:rsidR="00712397" w:rsidRPr="009777B7">
        <w:rPr>
          <w:rFonts w:cs="Times New Roman"/>
          <w:szCs w:val="24"/>
        </w:rPr>
        <w:t>l</w:t>
      </w:r>
      <w:r w:rsidR="00335895" w:rsidRPr="009777B7">
        <w:rPr>
          <w:rFonts w:cs="Times New Roman"/>
          <w:szCs w:val="24"/>
        </w:rPr>
        <w:t>a</w:t>
      </w:r>
      <w:r w:rsidR="00881066" w:rsidRPr="009777B7">
        <w:rPr>
          <w:rFonts w:cs="Times New Roman"/>
          <w:szCs w:val="24"/>
        </w:rPr>
        <w:t xml:space="preserve"> méconnaissance par le législateur de sa propre compétence ne peut être invoquée à l’appui d’une question prioritaire de constitutionnalité que dans le cas où est affecté un droit ou une liberté que la Constitution garantit »</w:t>
      </w:r>
      <w:r w:rsidR="00EF28A4" w:rsidRPr="009777B7">
        <w:rPr>
          <w:rFonts w:cs="Times New Roman"/>
          <w:szCs w:val="24"/>
        </w:rPr>
        <w:t>.</w:t>
      </w:r>
      <w:r w:rsidR="00F92C27" w:rsidRPr="009777B7">
        <w:rPr>
          <w:rFonts w:cs="Times New Roman"/>
          <w:szCs w:val="24"/>
        </w:rPr>
        <w:t xml:space="preserve"> L’incompétence négative </w:t>
      </w:r>
      <w:r w:rsidR="00412F26" w:rsidRPr="009777B7">
        <w:rPr>
          <w:rFonts w:cs="Times New Roman"/>
          <w:szCs w:val="24"/>
        </w:rPr>
        <w:t xml:space="preserve">ne concerne donc que le contrôle de constitutionnalité </w:t>
      </w:r>
      <w:r w:rsidR="00412F26" w:rsidRPr="009777B7">
        <w:rPr>
          <w:rFonts w:cs="Times New Roman"/>
          <w:i/>
          <w:iCs/>
          <w:szCs w:val="24"/>
        </w:rPr>
        <w:t>a priori</w:t>
      </w:r>
      <w:r w:rsidR="00412F26" w:rsidRPr="009777B7">
        <w:rPr>
          <w:rFonts w:cs="Times New Roman"/>
          <w:szCs w:val="24"/>
        </w:rPr>
        <w:t>.</w:t>
      </w:r>
    </w:p>
    <w:p w14:paraId="65E08657" w14:textId="3D819D28" w:rsidR="00881066" w:rsidRPr="009777B7" w:rsidRDefault="00881066" w:rsidP="004E2990">
      <w:pPr>
        <w:jc w:val="left"/>
        <w:rPr>
          <w:rFonts w:cs="Times New Roman"/>
          <w:szCs w:val="24"/>
        </w:rPr>
      </w:pPr>
    </w:p>
    <w:p w14:paraId="078DDBA6" w14:textId="4182E2F0" w:rsidR="00881066" w:rsidRPr="009777B7" w:rsidRDefault="00F35506" w:rsidP="004E2990">
      <w:pPr>
        <w:pStyle w:val="Titre2"/>
        <w:spacing w:before="0"/>
        <w:rPr>
          <w:rFonts w:ascii="Times New Roman" w:hAnsi="Times New Roman" w:cs="Times New Roman"/>
          <w:color w:val="auto"/>
          <w:sz w:val="24"/>
          <w:szCs w:val="24"/>
        </w:rPr>
      </w:pPr>
      <w:bookmarkStart w:id="6" w:name="_Toc257970"/>
      <w:r w:rsidRPr="009777B7">
        <w:rPr>
          <w:rFonts w:ascii="Times New Roman" w:hAnsi="Times New Roman" w:cs="Times New Roman"/>
          <w:color w:val="auto"/>
          <w:sz w:val="24"/>
          <w:szCs w:val="24"/>
        </w:rPr>
        <w:t>Section 2. La constitutionnalit</w:t>
      </w:r>
      <w:r w:rsidR="00602946" w:rsidRPr="009777B7">
        <w:rPr>
          <w:rFonts w:ascii="Times New Roman" w:hAnsi="Times New Roman" w:cs="Times New Roman"/>
          <w:color w:val="auto"/>
          <w:sz w:val="24"/>
          <w:szCs w:val="24"/>
        </w:rPr>
        <w:t>é</w:t>
      </w:r>
      <w:r w:rsidRPr="009777B7">
        <w:rPr>
          <w:rFonts w:ascii="Times New Roman" w:hAnsi="Times New Roman" w:cs="Times New Roman"/>
          <w:color w:val="auto"/>
          <w:sz w:val="24"/>
          <w:szCs w:val="24"/>
        </w:rPr>
        <w:t xml:space="preserve"> des lois fiscales</w:t>
      </w:r>
      <w:bookmarkEnd w:id="6"/>
    </w:p>
    <w:p w14:paraId="75700910" w14:textId="5CE43693" w:rsidR="00881066" w:rsidRPr="009777B7" w:rsidRDefault="00881066" w:rsidP="004E2990">
      <w:pPr>
        <w:jc w:val="left"/>
        <w:rPr>
          <w:rFonts w:cs="Times New Roman"/>
          <w:szCs w:val="24"/>
        </w:rPr>
      </w:pPr>
    </w:p>
    <w:p w14:paraId="661890F0" w14:textId="26E0EB15" w:rsidR="00881066" w:rsidRPr="009777B7" w:rsidRDefault="00881066" w:rsidP="004E2990">
      <w:pPr>
        <w:pStyle w:val="Titre3"/>
        <w:spacing w:before="0"/>
        <w:rPr>
          <w:rFonts w:cs="Times New Roman"/>
          <w:color w:val="auto"/>
        </w:rPr>
      </w:pPr>
      <w:bookmarkStart w:id="7" w:name="_Toc257971"/>
      <w:r w:rsidRPr="009777B7">
        <w:rPr>
          <w:rFonts w:cs="Times New Roman"/>
          <w:color w:val="auto"/>
        </w:rPr>
        <w:t>§ 1</w:t>
      </w:r>
      <w:r w:rsidR="00B65812" w:rsidRPr="009777B7">
        <w:rPr>
          <w:rFonts w:cs="Times New Roman"/>
          <w:color w:val="auto"/>
        </w:rPr>
        <w:t>.</w:t>
      </w:r>
      <w:r w:rsidRPr="009777B7">
        <w:rPr>
          <w:rFonts w:cs="Times New Roman"/>
          <w:color w:val="auto"/>
        </w:rPr>
        <w:t xml:space="preserve"> Le principe d’égalité</w:t>
      </w:r>
      <w:bookmarkEnd w:id="7"/>
    </w:p>
    <w:p w14:paraId="022317EB" w14:textId="475D1159" w:rsidR="00DE178A" w:rsidRPr="009777B7" w:rsidRDefault="00DE178A" w:rsidP="004E2990">
      <w:pPr>
        <w:jc w:val="left"/>
        <w:rPr>
          <w:rFonts w:cs="Times New Roman"/>
          <w:szCs w:val="24"/>
        </w:rPr>
      </w:pPr>
    </w:p>
    <w:p w14:paraId="2A6E14D5" w14:textId="2773EF8C" w:rsidR="00881066" w:rsidRDefault="00380C53" w:rsidP="004E2990">
      <w:pPr>
        <w:ind w:firstLine="723"/>
        <w:rPr>
          <w:rFonts w:cs="Times New Roman"/>
          <w:szCs w:val="24"/>
        </w:rPr>
      </w:pPr>
      <w:r w:rsidRPr="009777B7">
        <w:rPr>
          <w:rFonts w:cs="Times New Roman"/>
          <w:szCs w:val="24"/>
        </w:rPr>
        <w:t>À</w:t>
      </w:r>
      <w:r w:rsidR="00881066" w:rsidRPr="009777B7">
        <w:rPr>
          <w:rFonts w:cs="Times New Roman"/>
          <w:szCs w:val="24"/>
        </w:rPr>
        <w:t xml:space="preserve"> partir d’une décision </w:t>
      </w:r>
      <w:proofErr w:type="spellStart"/>
      <w:r w:rsidR="00881066" w:rsidRPr="009777B7">
        <w:rPr>
          <w:rFonts w:cs="Times New Roman"/>
          <w:i/>
          <w:szCs w:val="24"/>
        </w:rPr>
        <w:t>Guieysse</w:t>
      </w:r>
      <w:proofErr w:type="spellEnd"/>
      <w:r w:rsidR="00881066" w:rsidRPr="009777B7">
        <w:rPr>
          <w:rFonts w:cs="Times New Roman"/>
          <w:szCs w:val="24"/>
        </w:rPr>
        <w:t xml:space="preserve"> du 4 févr</w:t>
      </w:r>
      <w:r w:rsidR="00FC72FC" w:rsidRPr="009777B7">
        <w:rPr>
          <w:rFonts w:cs="Times New Roman"/>
          <w:szCs w:val="24"/>
        </w:rPr>
        <w:t>ier</w:t>
      </w:r>
      <w:r w:rsidR="00881066" w:rsidRPr="009777B7">
        <w:rPr>
          <w:rFonts w:cs="Times New Roman"/>
          <w:szCs w:val="24"/>
        </w:rPr>
        <w:t xml:space="preserve"> 1944, l’égalité devant l’impôt a été l’un des premiers principes généraux du droit</w:t>
      </w:r>
      <w:r>
        <w:rPr>
          <w:rFonts w:cs="Times New Roman"/>
          <w:szCs w:val="24"/>
        </w:rPr>
        <w:t xml:space="preserve"> fran</w:t>
      </w:r>
      <w:r w:rsidR="00436728">
        <w:rPr>
          <w:rFonts w:cs="Times New Roman"/>
          <w:szCs w:val="24"/>
        </w:rPr>
        <w:t>ç</w:t>
      </w:r>
      <w:r>
        <w:rPr>
          <w:rFonts w:cs="Times New Roman"/>
          <w:szCs w:val="24"/>
        </w:rPr>
        <w:t>ais</w:t>
      </w:r>
      <w:r w:rsidR="00881066" w:rsidRPr="009777B7">
        <w:rPr>
          <w:rFonts w:cs="Times New Roman"/>
          <w:szCs w:val="24"/>
          <w:vertAlign w:val="superscript"/>
        </w:rPr>
        <w:footnoteReference w:id="11"/>
      </w:r>
      <w:r w:rsidR="00881066" w:rsidRPr="009777B7">
        <w:rPr>
          <w:rFonts w:cs="Times New Roman"/>
          <w:szCs w:val="24"/>
        </w:rPr>
        <w:t>.</w:t>
      </w:r>
    </w:p>
    <w:p w14:paraId="54AB8FFB" w14:textId="77777777" w:rsidR="00BC0788" w:rsidRDefault="003C7893" w:rsidP="004E2990">
      <w:pPr>
        <w:ind w:firstLine="723"/>
        <w:rPr>
          <w:rFonts w:cs="Times New Roman"/>
          <w:szCs w:val="24"/>
        </w:rPr>
      </w:pPr>
      <w:r>
        <w:rPr>
          <w:rFonts w:cs="Times New Roman"/>
          <w:szCs w:val="24"/>
        </w:rPr>
        <w:t>Sous la Ve République, c</w:t>
      </w:r>
      <w:r w:rsidR="00881066" w:rsidRPr="009777B7">
        <w:rPr>
          <w:rFonts w:cs="Times New Roman"/>
          <w:szCs w:val="24"/>
        </w:rPr>
        <w:t xml:space="preserve">’est en matière fiscale que le principe d’égalité </w:t>
      </w:r>
      <w:r w:rsidR="00A57681">
        <w:rPr>
          <w:rFonts w:cs="Times New Roman"/>
          <w:szCs w:val="24"/>
        </w:rPr>
        <w:t>a</w:t>
      </w:r>
      <w:r w:rsidR="00881066" w:rsidRPr="009777B7">
        <w:rPr>
          <w:rFonts w:cs="Times New Roman"/>
          <w:szCs w:val="24"/>
        </w:rPr>
        <w:t xml:space="preserve"> pour la</w:t>
      </w:r>
      <w:r w:rsidR="00185A8F">
        <w:rPr>
          <w:rFonts w:cs="Times New Roman"/>
          <w:szCs w:val="24"/>
        </w:rPr>
        <w:t xml:space="preserve"> première </w:t>
      </w:r>
      <w:r w:rsidR="00881066" w:rsidRPr="009777B7">
        <w:rPr>
          <w:rFonts w:cs="Times New Roman"/>
          <w:szCs w:val="24"/>
        </w:rPr>
        <w:t xml:space="preserve">fois </w:t>
      </w:r>
      <w:r w:rsidR="00542E35" w:rsidRPr="009777B7">
        <w:rPr>
          <w:rFonts w:cs="Times New Roman"/>
          <w:szCs w:val="24"/>
        </w:rPr>
        <w:t xml:space="preserve">été </w:t>
      </w:r>
      <w:r w:rsidR="00881066" w:rsidRPr="009777B7">
        <w:rPr>
          <w:rFonts w:cs="Times New Roman"/>
          <w:szCs w:val="24"/>
        </w:rPr>
        <w:t>utilisé par le Conseil constitutionnel (51 DC, 27 déc</w:t>
      </w:r>
      <w:r w:rsidR="00CD5CF0">
        <w:rPr>
          <w:rFonts w:cs="Times New Roman"/>
          <w:szCs w:val="24"/>
        </w:rPr>
        <w:t>embre</w:t>
      </w:r>
      <w:r w:rsidR="00881066" w:rsidRPr="009777B7">
        <w:rPr>
          <w:rFonts w:cs="Times New Roman"/>
          <w:szCs w:val="24"/>
        </w:rPr>
        <w:t xml:space="preserve"> 1973, </w:t>
      </w:r>
      <w:r w:rsidR="00881066" w:rsidRPr="009777B7">
        <w:rPr>
          <w:rFonts w:cs="Times New Roman"/>
          <w:i/>
          <w:szCs w:val="24"/>
        </w:rPr>
        <w:t>Taxation d’office</w:t>
      </w:r>
      <w:r w:rsidR="00881066" w:rsidRPr="009777B7">
        <w:rPr>
          <w:rFonts w:cs="Times New Roman"/>
          <w:szCs w:val="24"/>
        </w:rPr>
        <w:t>). Il est rattaché à l’article 13 de la Déclaration</w:t>
      </w:r>
      <w:r w:rsidR="00F739C7">
        <w:rPr>
          <w:rFonts w:cs="Times New Roman"/>
          <w:szCs w:val="24"/>
        </w:rPr>
        <w:t xml:space="preserve"> des droits de l’homme et du citoyen</w:t>
      </w:r>
      <w:r w:rsidR="00595137">
        <w:rPr>
          <w:rFonts w:cs="Times New Roman"/>
          <w:szCs w:val="24"/>
        </w:rPr>
        <w:t>.</w:t>
      </w:r>
    </w:p>
    <w:p w14:paraId="4DE52CED" w14:textId="1654F79A" w:rsidR="00881066" w:rsidRPr="009777B7" w:rsidRDefault="00992B12" w:rsidP="004E2990">
      <w:pPr>
        <w:ind w:firstLine="723"/>
        <w:rPr>
          <w:rFonts w:cs="Times New Roman"/>
          <w:szCs w:val="24"/>
        </w:rPr>
      </w:pPr>
      <w:r>
        <w:rPr>
          <w:rFonts w:cs="Times New Roman"/>
          <w:szCs w:val="24"/>
        </w:rPr>
        <w:lastRenderedPageBreak/>
        <w:t>Ce principe est très souvent invoqué</w:t>
      </w:r>
      <w:r w:rsidR="00EB72D8">
        <w:rPr>
          <w:rFonts w:cs="Times New Roman"/>
          <w:szCs w:val="24"/>
        </w:rPr>
        <w:t xml:space="preserve"> dans le cadre </w:t>
      </w:r>
      <w:r w:rsidR="00F142E1">
        <w:rPr>
          <w:rFonts w:cs="Times New Roman"/>
          <w:szCs w:val="24"/>
        </w:rPr>
        <w:t>du contrôle de constitutionnalité et de la QPC.</w:t>
      </w:r>
      <w:r w:rsidR="00ED7AD6">
        <w:rPr>
          <w:rFonts w:cs="Times New Roman"/>
          <w:szCs w:val="24"/>
        </w:rPr>
        <w:t xml:space="preserve"> Il s’agit alors de vérifier </w:t>
      </w:r>
      <w:r w:rsidR="005357FF">
        <w:rPr>
          <w:rFonts w:cs="Times New Roman"/>
          <w:szCs w:val="24"/>
        </w:rPr>
        <w:t>que le législateur a pris en compte</w:t>
      </w:r>
      <w:r w:rsidR="00712EE3">
        <w:rPr>
          <w:rFonts w:cs="Times New Roman"/>
          <w:szCs w:val="24"/>
        </w:rPr>
        <w:t xml:space="preserve"> les facultés contributives respectives des différents contribuables</w:t>
      </w:r>
      <w:r w:rsidR="00C11A0F">
        <w:rPr>
          <w:rFonts w:cs="Times New Roman"/>
          <w:szCs w:val="24"/>
        </w:rPr>
        <w:t>,</w:t>
      </w:r>
      <w:r w:rsidR="00D825BB">
        <w:rPr>
          <w:rFonts w:cs="Times New Roman"/>
          <w:szCs w:val="24"/>
        </w:rPr>
        <w:t xml:space="preserve"> </w:t>
      </w:r>
      <w:r w:rsidR="00D825BB" w:rsidRPr="009777B7">
        <w:rPr>
          <w:rFonts w:cs="Times New Roman"/>
          <w:szCs w:val="24"/>
        </w:rPr>
        <w:t>le caractère objectif de l’assiette de l’impôt</w:t>
      </w:r>
      <w:r w:rsidR="006969DE">
        <w:rPr>
          <w:rFonts w:cs="Times New Roman"/>
          <w:szCs w:val="24"/>
        </w:rPr>
        <w:t xml:space="preserve"> et des taux d’imposition</w:t>
      </w:r>
      <w:r w:rsidR="001C253E">
        <w:rPr>
          <w:rFonts w:cs="Times New Roman"/>
          <w:szCs w:val="24"/>
        </w:rPr>
        <w:t xml:space="preserve">, ainsi que </w:t>
      </w:r>
      <w:r w:rsidR="00D825BB" w:rsidRPr="009777B7">
        <w:rPr>
          <w:rFonts w:cs="Times New Roman"/>
          <w:szCs w:val="24"/>
        </w:rPr>
        <w:t>l’adaptation de sa structure à l’objectif poursuivi.</w:t>
      </w:r>
    </w:p>
    <w:p w14:paraId="6BF95AD5" w14:textId="2FFDF0C9" w:rsidR="00881066" w:rsidRPr="009777B7" w:rsidRDefault="00881066" w:rsidP="004E2990">
      <w:pPr>
        <w:jc w:val="left"/>
        <w:rPr>
          <w:rFonts w:cs="Times New Roman"/>
          <w:szCs w:val="24"/>
        </w:rPr>
      </w:pPr>
    </w:p>
    <w:p w14:paraId="581E9C4E" w14:textId="29923A1A" w:rsidR="00881066" w:rsidRPr="009777B7" w:rsidRDefault="00881066" w:rsidP="004E2990">
      <w:pPr>
        <w:pStyle w:val="Titre4"/>
        <w:spacing w:before="0"/>
        <w:rPr>
          <w:rFonts w:ascii="Times New Roman" w:hAnsi="Times New Roman" w:cs="Times New Roman"/>
          <w:color w:val="auto"/>
          <w:szCs w:val="24"/>
        </w:rPr>
      </w:pPr>
      <w:bookmarkStart w:id="8" w:name="_Toc257972"/>
      <w:r w:rsidRPr="009777B7">
        <w:rPr>
          <w:rFonts w:ascii="Times New Roman" w:eastAsia="Cambria" w:hAnsi="Times New Roman" w:cs="Times New Roman"/>
          <w:color w:val="auto"/>
          <w:szCs w:val="24"/>
        </w:rPr>
        <w:t>A</w:t>
      </w:r>
      <w:r w:rsidR="00137CBD" w:rsidRPr="009777B7">
        <w:rPr>
          <w:rFonts w:ascii="Times New Roman" w:eastAsia="Cambria" w:hAnsi="Times New Roman" w:cs="Times New Roman"/>
          <w:color w:val="auto"/>
          <w:szCs w:val="24"/>
        </w:rPr>
        <w:t>.</w:t>
      </w:r>
      <w:r w:rsidRPr="009777B7">
        <w:rPr>
          <w:rFonts w:ascii="Times New Roman" w:eastAsia="Arial" w:hAnsi="Times New Roman" w:cs="Times New Roman"/>
          <w:color w:val="auto"/>
          <w:szCs w:val="24"/>
        </w:rPr>
        <w:t xml:space="preserve"> </w:t>
      </w:r>
      <w:r w:rsidRPr="009777B7">
        <w:rPr>
          <w:rFonts w:ascii="Times New Roman" w:hAnsi="Times New Roman" w:cs="Times New Roman"/>
          <w:color w:val="auto"/>
          <w:szCs w:val="24"/>
        </w:rPr>
        <w:t>L’identification de la situation des contribuables</w:t>
      </w:r>
      <w:bookmarkEnd w:id="8"/>
    </w:p>
    <w:p w14:paraId="48B8FF76" w14:textId="3695BD76" w:rsidR="00881066" w:rsidRPr="009777B7" w:rsidRDefault="00881066" w:rsidP="004E2990">
      <w:pPr>
        <w:jc w:val="left"/>
        <w:rPr>
          <w:rFonts w:cs="Times New Roman"/>
          <w:szCs w:val="24"/>
        </w:rPr>
      </w:pPr>
    </w:p>
    <w:p w14:paraId="348C5F17" w14:textId="66D7C9FA" w:rsidR="001E2F42" w:rsidRDefault="00881066" w:rsidP="004E2990">
      <w:pPr>
        <w:ind w:firstLine="723"/>
        <w:rPr>
          <w:rFonts w:cs="Times New Roman"/>
          <w:szCs w:val="24"/>
        </w:rPr>
      </w:pPr>
      <w:r w:rsidRPr="009777B7">
        <w:rPr>
          <w:rFonts w:cs="Times New Roman"/>
          <w:szCs w:val="24"/>
        </w:rPr>
        <w:t xml:space="preserve">La jurisprudence constitutionnelle laisse au législateur une marge d’appréciation quant à l’identification de la situation des contribuables. </w:t>
      </w:r>
      <w:r w:rsidR="00F3358B">
        <w:rPr>
          <w:rFonts w:cs="Times New Roman"/>
          <w:szCs w:val="24"/>
        </w:rPr>
        <w:t>L</w:t>
      </w:r>
      <w:r w:rsidRPr="009777B7">
        <w:rPr>
          <w:rFonts w:cs="Times New Roman"/>
          <w:szCs w:val="24"/>
        </w:rPr>
        <w:t>e principe d’égalité n’impose pas de traitement uniforme des contribuables</w:t>
      </w:r>
      <w:r w:rsidRPr="009777B7">
        <w:rPr>
          <w:rFonts w:cs="Times New Roman"/>
          <w:szCs w:val="24"/>
          <w:vertAlign w:val="superscript"/>
        </w:rPr>
        <w:footnoteReference w:id="12"/>
      </w:r>
      <w:r w:rsidRPr="009777B7">
        <w:rPr>
          <w:rFonts w:cs="Times New Roman"/>
          <w:szCs w:val="24"/>
        </w:rPr>
        <w:t>.</w:t>
      </w:r>
    </w:p>
    <w:p w14:paraId="1B47546C" w14:textId="77777777" w:rsidR="002E0607" w:rsidRDefault="001E2F42" w:rsidP="004E2990">
      <w:pPr>
        <w:ind w:firstLine="723"/>
        <w:rPr>
          <w:rFonts w:cs="Times New Roman"/>
          <w:szCs w:val="24"/>
        </w:rPr>
      </w:pPr>
      <w:r w:rsidRPr="00DE6CCE">
        <w:rPr>
          <w:rFonts w:cs="Times New Roman"/>
          <w:szCs w:val="24"/>
        </w:rPr>
        <w:t>Ainsi</w:t>
      </w:r>
      <w:r w:rsidR="00881066" w:rsidRPr="00DE6CCE">
        <w:rPr>
          <w:rFonts w:cs="Times New Roman"/>
          <w:szCs w:val="24"/>
        </w:rPr>
        <w:t xml:space="preserve">, des personnes se trouvant dans une même situation doivent être traitées de la même manière. </w:t>
      </w:r>
      <w:r w:rsidR="007722F2" w:rsidRPr="00DE6CCE">
        <w:rPr>
          <w:rFonts w:cs="Times New Roman"/>
          <w:szCs w:val="24"/>
        </w:rPr>
        <w:t>En témoigne</w:t>
      </w:r>
      <w:r w:rsidR="00881066" w:rsidRPr="00DE6CCE">
        <w:rPr>
          <w:rFonts w:cs="Times New Roman"/>
          <w:szCs w:val="24"/>
        </w:rPr>
        <w:t xml:space="preserve"> la taxation à 75</w:t>
      </w:r>
      <w:r w:rsidR="00C25C0F" w:rsidRPr="00DE6CCE">
        <w:rPr>
          <w:rFonts w:cs="Times New Roman"/>
          <w:szCs w:val="24"/>
        </w:rPr>
        <w:t> </w:t>
      </w:r>
      <w:r w:rsidR="00881066" w:rsidRPr="00DE6CCE">
        <w:rPr>
          <w:rFonts w:cs="Times New Roman"/>
          <w:szCs w:val="24"/>
        </w:rPr>
        <w:t>% des très hauts revenus professionnels, supérieurs à un million d’euros annuels. Issue d’un engagement de François Hollande, une contribution exceptionnelle a été adoptée par le Parlement, cette contribution devant s’ajouter aux autres impositions des contribuables concernés afin d’atteindre ce plafond de 75</w:t>
      </w:r>
      <w:r w:rsidR="00B50406" w:rsidRPr="00DE6CCE">
        <w:rPr>
          <w:rFonts w:cs="Times New Roman"/>
          <w:szCs w:val="24"/>
        </w:rPr>
        <w:t> </w:t>
      </w:r>
      <w:r w:rsidR="00881066" w:rsidRPr="00DE6CCE">
        <w:rPr>
          <w:rFonts w:cs="Times New Roman"/>
          <w:szCs w:val="24"/>
        </w:rPr>
        <w:t>%.</w:t>
      </w:r>
      <w:r w:rsidR="006D254B">
        <w:rPr>
          <w:rFonts w:cs="Times New Roman"/>
          <w:szCs w:val="24"/>
        </w:rPr>
        <w:t xml:space="preserve"> En 2012, le CC a invalidé cette mesure</w:t>
      </w:r>
      <w:r w:rsidR="00E12D22">
        <w:rPr>
          <w:rFonts w:cs="Times New Roman"/>
          <w:szCs w:val="24"/>
        </w:rPr>
        <w:t xml:space="preserve"> en rai</w:t>
      </w:r>
      <w:r w:rsidR="00C17293">
        <w:rPr>
          <w:rFonts w:cs="Times New Roman"/>
          <w:szCs w:val="24"/>
        </w:rPr>
        <w:t>s</w:t>
      </w:r>
      <w:r w:rsidR="00E12D22">
        <w:rPr>
          <w:rFonts w:cs="Times New Roman"/>
          <w:szCs w:val="24"/>
        </w:rPr>
        <w:t>on</w:t>
      </w:r>
      <w:r w:rsidR="00881066" w:rsidRPr="009777B7">
        <w:rPr>
          <w:rFonts w:cs="Times New Roman"/>
          <w:szCs w:val="24"/>
        </w:rPr>
        <w:t xml:space="preserve"> de</w:t>
      </w:r>
      <w:r w:rsidR="00C17293">
        <w:rPr>
          <w:rFonts w:cs="Times New Roman"/>
          <w:szCs w:val="24"/>
        </w:rPr>
        <w:t xml:space="preserve"> la</w:t>
      </w:r>
      <w:r w:rsidR="00881066" w:rsidRPr="009777B7">
        <w:rPr>
          <w:rFonts w:cs="Times New Roman"/>
          <w:szCs w:val="24"/>
        </w:rPr>
        <w:t xml:space="preserve"> rupture du principe d’égalité</w:t>
      </w:r>
      <w:r w:rsidR="005B2AD5">
        <w:rPr>
          <w:rFonts w:cs="Times New Roman"/>
          <w:szCs w:val="24"/>
        </w:rPr>
        <w:t xml:space="preserve"> ainsi introduite</w:t>
      </w:r>
      <w:r w:rsidR="005B2AD5" w:rsidRPr="009777B7">
        <w:rPr>
          <w:rFonts w:cs="Times New Roman"/>
          <w:szCs w:val="24"/>
          <w:vertAlign w:val="superscript"/>
        </w:rPr>
        <w:footnoteReference w:id="13"/>
      </w:r>
      <w:r w:rsidR="00881066" w:rsidRPr="009777B7">
        <w:rPr>
          <w:rFonts w:cs="Times New Roman"/>
          <w:szCs w:val="24"/>
        </w:rPr>
        <w:t>.</w:t>
      </w:r>
    </w:p>
    <w:p w14:paraId="19E87CFA" w14:textId="77777777" w:rsidR="004064F7" w:rsidRDefault="002E0607" w:rsidP="004E2990">
      <w:pPr>
        <w:ind w:firstLine="723"/>
        <w:rPr>
          <w:rFonts w:cs="Times New Roman"/>
          <w:szCs w:val="24"/>
        </w:rPr>
      </w:pPr>
      <w:r w:rsidRPr="009C382F">
        <w:rPr>
          <w:rFonts w:cs="Times New Roman"/>
          <w:szCs w:val="24"/>
        </w:rPr>
        <w:t>Par ailleurs</w:t>
      </w:r>
      <w:r w:rsidR="00881066" w:rsidRPr="009C382F">
        <w:rPr>
          <w:rFonts w:cs="Times New Roman"/>
          <w:szCs w:val="24"/>
        </w:rPr>
        <w:t xml:space="preserve">, des personnes se trouvant dans des situations différentes peuvent être traitées de manière différente. </w:t>
      </w:r>
      <w:r w:rsidR="000501E0">
        <w:rPr>
          <w:rFonts w:cs="Times New Roman"/>
          <w:szCs w:val="24"/>
        </w:rPr>
        <w:t>Par exemple, l</w:t>
      </w:r>
      <w:r w:rsidR="00881066" w:rsidRPr="009C382F">
        <w:rPr>
          <w:rFonts w:cs="Times New Roman"/>
          <w:szCs w:val="24"/>
        </w:rPr>
        <w:t xml:space="preserve">’impôt sur le revenu des personnes mariées, pacsées ou vivant en concubinage </w:t>
      </w:r>
      <w:r w:rsidR="00D163BC">
        <w:rPr>
          <w:rFonts w:cs="Times New Roman"/>
          <w:szCs w:val="24"/>
        </w:rPr>
        <w:t xml:space="preserve">le souligne. Selon </w:t>
      </w:r>
      <w:r w:rsidR="00F72142" w:rsidRPr="009777B7">
        <w:rPr>
          <w:rFonts w:cs="Times New Roman"/>
          <w:szCs w:val="24"/>
        </w:rPr>
        <w:t>l’art</w:t>
      </w:r>
      <w:r w:rsidR="00F72142">
        <w:rPr>
          <w:rFonts w:cs="Times New Roman"/>
          <w:szCs w:val="24"/>
        </w:rPr>
        <w:t>icle</w:t>
      </w:r>
      <w:r w:rsidR="00881066" w:rsidRPr="009777B7">
        <w:rPr>
          <w:rFonts w:cs="Times New Roman"/>
          <w:szCs w:val="24"/>
        </w:rPr>
        <w:t xml:space="preserve"> 6 du Code général des impôts</w:t>
      </w:r>
      <w:r w:rsidR="00283FFB">
        <w:rPr>
          <w:rFonts w:cs="Times New Roman"/>
          <w:szCs w:val="24"/>
        </w:rPr>
        <w:t>,</w:t>
      </w:r>
      <w:r w:rsidR="00881066" w:rsidRPr="009777B7">
        <w:rPr>
          <w:rFonts w:cs="Times New Roman"/>
          <w:szCs w:val="24"/>
        </w:rPr>
        <w:t xml:space="preserve"> relatif à l’impôt sur le revenu des personnes physiques, « les partenaires liés par un pacte civil de solidarité défini à </w:t>
      </w:r>
      <w:r w:rsidR="00BF3B4F" w:rsidRPr="009777B7">
        <w:rPr>
          <w:rFonts w:cs="Times New Roman"/>
          <w:szCs w:val="24"/>
        </w:rPr>
        <w:t>l’art</w:t>
      </w:r>
      <w:r w:rsidR="00BF3B4F">
        <w:rPr>
          <w:rFonts w:cs="Times New Roman"/>
          <w:szCs w:val="24"/>
        </w:rPr>
        <w:t>icle</w:t>
      </w:r>
      <w:r w:rsidR="00881066" w:rsidRPr="009777B7">
        <w:rPr>
          <w:rFonts w:cs="Times New Roman"/>
          <w:szCs w:val="24"/>
        </w:rPr>
        <w:t xml:space="preserve"> 551-5 du code civil font l’objet… d’une imposition commune ». </w:t>
      </w:r>
      <w:r w:rsidR="000F757F">
        <w:rPr>
          <w:rFonts w:cs="Times New Roman"/>
          <w:szCs w:val="24"/>
        </w:rPr>
        <w:t xml:space="preserve">Les concubins ne sont pas traités de la même façon que les </w:t>
      </w:r>
      <w:r w:rsidR="00BB4185">
        <w:rPr>
          <w:rFonts w:cs="Times New Roman"/>
          <w:szCs w:val="24"/>
        </w:rPr>
        <w:t>personnes mariées ou pacsées.</w:t>
      </w:r>
    </w:p>
    <w:p w14:paraId="4D51CBD6" w14:textId="35861E55" w:rsidR="003A61AE" w:rsidRPr="009777B7" w:rsidRDefault="00DA717B" w:rsidP="00C305A9">
      <w:pPr>
        <w:ind w:firstLine="723"/>
        <w:rPr>
          <w:rFonts w:cs="Times New Roman"/>
          <w:szCs w:val="24"/>
        </w:rPr>
      </w:pPr>
      <w:r>
        <w:rPr>
          <w:rFonts w:cs="Times New Roman"/>
          <w:szCs w:val="24"/>
        </w:rPr>
        <w:t>Dans le même esprit, les collectivités territoriales ne doivent pas introduire de telles ruptures d’égalité en matière de fiscalité locale.</w:t>
      </w:r>
      <w:r w:rsidR="002239A0">
        <w:rPr>
          <w:rFonts w:cs="Times New Roman"/>
          <w:szCs w:val="24"/>
        </w:rPr>
        <w:t xml:space="preserve"> Globalement</w:t>
      </w:r>
      <w:r w:rsidR="00881066" w:rsidRPr="009777B7">
        <w:rPr>
          <w:rFonts w:cs="Times New Roman"/>
          <w:szCs w:val="24"/>
        </w:rPr>
        <w:t>, l’appréciation de la conformité au principe d’égalité de la détermination des contribuables et de leur situation juridique repose sur une casuistique.</w:t>
      </w:r>
    </w:p>
    <w:sectPr w:rsidR="003A61AE" w:rsidRPr="009777B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E8E7E3A" w14:textId="77777777" w:rsidR="0015715F" w:rsidRDefault="0015715F" w:rsidP="00244D78">
      <w:pPr>
        <w:spacing w:line="240" w:lineRule="auto"/>
      </w:pPr>
      <w:r>
        <w:separator/>
      </w:r>
    </w:p>
  </w:endnote>
  <w:endnote w:type="continuationSeparator" w:id="0">
    <w:p w14:paraId="67296F08" w14:textId="77777777" w:rsidR="0015715F" w:rsidRDefault="0015715F" w:rsidP="00244D7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B5FA40B" w14:textId="77777777" w:rsidR="0015715F" w:rsidRDefault="0015715F" w:rsidP="00244D78">
      <w:pPr>
        <w:spacing w:line="240" w:lineRule="auto"/>
      </w:pPr>
      <w:r>
        <w:separator/>
      </w:r>
    </w:p>
  </w:footnote>
  <w:footnote w:type="continuationSeparator" w:id="0">
    <w:p w14:paraId="7478267E" w14:textId="77777777" w:rsidR="0015715F" w:rsidRDefault="0015715F" w:rsidP="00244D78">
      <w:pPr>
        <w:spacing w:line="240" w:lineRule="auto"/>
      </w:pPr>
      <w:r>
        <w:continuationSeparator/>
      </w:r>
    </w:p>
  </w:footnote>
  <w:footnote w:id="1">
    <w:p w14:paraId="44BA7430" w14:textId="77777777" w:rsidR="00881066" w:rsidRPr="00F60594" w:rsidRDefault="00881066" w:rsidP="0070518B">
      <w:pPr>
        <w:pStyle w:val="footnotedescription"/>
        <w:spacing w:line="240" w:lineRule="auto"/>
        <w:jc w:val="both"/>
        <w:rPr>
          <w:rFonts w:ascii="Times New Roman" w:hAnsi="Times New Roman" w:cs="Times New Roman"/>
          <w:szCs w:val="20"/>
        </w:rPr>
      </w:pPr>
      <w:r w:rsidRPr="00F60594">
        <w:rPr>
          <w:rStyle w:val="footnotemark"/>
          <w:rFonts w:ascii="Times New Roman" w:hAnsi="Times New Roman" w:cs="Times New Roman"/>
          <w:szCs w:val="20"/>
        </w:rPr>
        <w:footnoteRef/>
      </w:r>
      <w:r w:rsidRPr="00F60594">
        <w:rPr>
          <w:rFonts w:ascii="Times New Roman" w:hAnsi="Times New Roman" w:cs="Times New Roman"/>
          <w:szCs w:val="20"/>
        </w:rPr>
        <w:t xml:space="preserve"> Cons. </w:t>
      </w:r>
      <w:proofErr w:type="spellStart"/>
      <w:proofErr w:type="gramStart"/>
      <w:r w:rsidRPr="00F60594">
        <w:rPr>
          <w:rFonts w:ascii="Times New Roman" w:hAnsi="Times New Roman" w:cs="Times New Roman"/>
          <w:szCs w:val="20"/>
        </w:rPr>
        <w:t>const</w:t>
      </w:r>
      <w:proofErr w:type="spellEnd"/>
      <w:proofErr w:type="gramEnd"/>
      <w:r w:rsidRPr="00F60594">
        <w:rPr>
          <w:rFonts w:ascii="Times New Roman" w:hAnsi="Times New Roman" w:cs="Times New Roman"/>
          <w:szCs w:val="20"/>
        </w:rPr>
        <w:t xml:space="preserve">. 685 DC, 29 déc. 2013, </w:t>
      </w:r>
      <w:r w:rsidRPr="00F60594">
        <w:rPr>
          <w:rFonts w:ascii="Times New Roman" w:hAnsi="Times New Roman" w:cs="Times New Roman"/>
          <w:i/>
          <w:szCs w:val="20"/>
        </w:rPr>
        <w:t>Loi de finances pour 2014</w:t>
      </w:r>
      <w:r w:rsidRPr="00F60594">
        <w:rPr>
          <w:rFonts w:ascii="Times New Roman" w:hAnsi="Times New Roman" w:cs="Times New Roman"/>
          <w:szCs w:val="20"/>
        </w:rPr>
        <w:t xml:space="preserve">, </w:t>
      </w:r>
      <w:r w:rsidRPr="00F60594">
        <w:rPr>
          <w:rFonts w:ascii="Times New Roman" w:hAnsi="Times New Roman" w:cs="Times New Roman"/>
          <w:i/>
          <w:szCs w:val="20"/>
        </w:rPr>
        <w:t>JORF</w:t>
      </w:r>
      <w:r w:rsidRPr="00F60594">
        <w:rPr>
          <w:rFonts w:ascii="Times New Roman" w:hAnsi="Times New Roman" w:cs="Times New Roman"/>
          <w:szCs w:val="20"/>
        </w:rPr>
        <w:t xml:space="preserve"> 30 déc. </w:t>
      </w:r>
    </w:p>
  </w:footnote>
  <w:footnote w:id="2">
    <w:p w14:paraId="22C954F8" w14:textId="00CC8592" w:rsidR="00881066" w:rsidRPr="00F60594" w:rsidRDefault="00881066" w:rsidP="0070518B">
      <w:pPr>
        <w:pStyle w:val="footnotedescription"/>
        <w:spacing w:line="240" w:lineRule="auto"/>
        <w:jc w:val="both"/>
        <w:rPr>
          <w:rFonts w:ascii="Times New Roman" w:hAnsi="Times New Roman" w:cs="Times New Roman"/>
          <w:szCs w:val="20"/>
        </w:rPr>
      </w:pPr>
      <w:r w:rsidRPr="00F60594">
        <w:rPr>
          <w:rStyle w:val="footnotemark"/>
          <w:rFonts w:ascii="Times New Roman" w:hAnsi="Times New Roman" w:cs="Times New Roman"/>
          <w:szCs w:val="20"/>
        </w:rPr>
        <w:footnoteRef/>
      </w:r>
      <w:r w:rsidRPr="00F60594">
        <w:rPr>
          <w:rFonts w:ascii="Times New Roman" w:hAnsi="Times New Roman" w:cs="Times New Roman"/>
          <w:szCs w:val="20"/>
        </w:rPr>
        <w:t xml:space="preserve"> Cons. </w:t>
      </w:r>
      <w:proofErr w:type="spellStart"/>
      <w:proofErr w:type="gramStart"/>
      <w:r w:rsidRPr="00F60594">
        <w:rPr>
          <w:rFonts w:ascii="Times New Roman" w:hAnsi="Times New Roman" w:cs="Times New Roman"/>
          <w:szCs w:val="20"/>
        </w:rPr>
        <w:t>const</w:t>
      </w:r>
      <w:proofErr w:type="spellEnd"/>
      <w:proofErr w:type="gramEnd"/>
      <w:r w:rsidRPr="00F60594">
        <w:rPr>
          <w:rFonts w:ascii="Times New Roman" w:hAnsi="Times New Roman" w:cs="Times New Roman"/>
          <w:szCs w:val="20"/>
        </w:rPr>
        <w:t xml:space="preserve">. 453 DC, 18 déc. 2001, </w:t>
      </w:r>
      <w:r w:rsidRPr="00F60594">
        <w:rPr>
          <w:rFonts w:ascii="Times New Roman" w:hAnsi="Times New Roman" w:cs="Times New Roman"/>
          <w:i/>
          <w:szCs w:val="20"/>
        </w:rPr>
        <w:t>Loi de financement de la Sécurité sociale pour 2002</w:t>
      </w:r>
      <w:r w:rsidRPr="00F60594">
        <w:rPr>
          <w:rFonts w:ascii="Times New Roman" w:hAnsi="Times New Roman" w:cs="Times New Roman"/>
          <w:szCs w:val="20"/>
        </w:rPr>
        <w:t>,</w:t>
      </w:r>
      <w:r w:rsidRPr="00F60594">
        <w:rPr>
          <w:rFonts w:ascii="Times New Roman" w:hAnsi="Times New Roman" w:cs="Times New Roman"/>
          <w:i/>
          <w:szCs w:val="20"/>
        </w:rPr>
        <w:t xml:space="preserve"> Rec.</w:t>
      </w:r>
      <w:r w:rsidRPr="00F60594">
        <w:rPr>
          <w:rFonts w:ascii="Times New Roman" w:hAnsi="Times New Roman" w:cs="Times New Roman"/>
          <w:szCs w:val="20"/>
        </w:rPr>
        <w:t xml:space="preserve"> 164, cons. 44.</w:t>
      </w:r>
    </w:p>
  </w:footnote>
  <w:footnote w:id="3">
    <w:p w14:paraId="20CD80E4" w14:textId="77777777" w:rsidR="00881066" w:rsidRPr="00F60594" w:rsidRDefault="00881066" w:rsidP="0070518B">
      <w:pPr>
        <w:pStyle w:val="footnotedescription"/>
        <w:spacing w:line="240" w:lineRule="auto"/>
        <w:jc w:val="both"/>
        <w:rPr>
          <w:rFonts w:ascii="Times New Roman" w:hAnsi="Times New Roman" w:cs="Times New Roman"/>
          <w:szCs w:val="20"/>
        </w:rPr>
      </w:pPr>
      <w:r w:rsidRPr="00F60594">
        <w:rPr>
          <w:rStyle w:val="footnotemark"/>
          <w:rFonts w:ascii="Times New Roman" w:hAnsi="Times New Roman" w:cs="Times New Roman"/>
          <w:szCs w:val="20"/>
        </w:rPr>
        <w:footnoteRef/>
      </w:r>
      <w:r w:rsidRPr="00F60594">
        <w:rPr>
          <w:rFonts w:ascii="Times New Roman" w:hAnsi="Times New Roman" w:cs="Times New Roman"/>
          <w:szCs w:val="20"/>
        </w:rPr>
        <w:t xml:space="preserve"> </w:t>
      </w:r>
      <w:proofErr w:type="spellStart"/>
      <w:r w:rsidRPr="00F60594">
        <w:rPr>
          <w:rFonts w:ascii="Times New Roman" w:hAnsi="Times New Roman" w:cs="Times New Roman"/>
          <w:szCs w:val="20"/>
        </w:rPr>
        <w:t>Civ</w:t>
      </w:r>
      <w:proofErr w:type="spellEnd"/>
      <w:r w:rsidRPr="00F60594">
        <w:rPr>
          <w:rFonts w:ascii="Times New Roman" w:hAnsi="Times New Roman" w:cs="Times New Roman"/>
          <w:szCs w:val="20"/>
        </w:rPr>
        <w:t xml:space="preserve">., 22 févr. 1825, </w:t>
      </w:r>
      <w:r w:rsidRPr="00F60594">
        <w:rPr>
          <w:rFonts w:ascii="Times New Roman" w:hAnsi="Times New Roman" w:cs="Times New Roman"/>
          <w:i/>
          <w:szCs w:val="20"/>
        </w:rPr>
        <w:t>Henri c/ Hautot et autres</w:t>
      </w:r>
      <w:r w:rsidRPr="00F60594">
        <w:rPr>
          <w:rFonts w:ascii="Times New Roman" w:hAnsi="Times New Roman" w:cs="Times New Roman"/>
          <w:szCs w:val="20"/>
        </w:rPr>
        <w:t xml:space="preserve">, </w:t>
      </w:r>
      <w:r w:rsidRPr="00F60594">
        <w:rPr>
          <w:rFonts w:ascii="Times New Roman" w:hAnsi="Times New Roman" w:cs="Times New Roman"/>
          <w:i/>
          <w:szCs w:val="20"/>
        </w:rPr>
        <w:t>S.</w:t>
      </w:r>
      <w:r w:rsidRPr="00F60594">
        <w:rPr>
          <w:rFonts w:ascii="Times New Roman" w:hAnsi="Times New Roman" w:cs="Times New Roman"/>
          <w:szCs w:val="20"/>
        </w:rPr>
        <w:t xml:space="preserve"> 1825, I, 341 : « aucune loi ne leur permet d’établir des taxes pour l’exécution de ces règlements ; qu’au contraire, l’article 32 de la loi du 28 avril 1816, maintenu par les lois postérieures, interdit formellement toutes les contributions directes ou indirectes, et sous quelque dénomination que ce soit, autres que celles autorisées par la loi ». </w:t>
      </w:r>
    </w:p>
  </w:footnote>
  <w:footnote w:id="4">
    <w:p w14:paraId="6D05D8CD" w14:textId="66B16273" w:rsidR="00881066" w:rsidRPr="00F60594" w:rsidRDefault="00881066" w:rsidP="0070518B">
      <w:pPr>
        <w:pStyle w:val="footnotedescription"/>
        <w:spacing w:line="240" w:lineRule="auto"/>
        <w:jc w:val="both"/>
        <w:rPr>
          <w:rFonts w:ascii="Times New Roman" w:hAnsi="Times New Roman" w:cs="Times New Roman"/>
          <w:szCs w:val="20"/>
        </w:rPr>
      </w:pPr>
      <w:r w:rsidRPr="00F60594">
        <w:rPr>
          <w:rStyle w:val="footnotemark"/>
          <w:rFonts w:ascii="Times New Roman" w:hAnsi="Times New Roman" w:cs="Times New Roman"/>
          <w:szCs w:val="20"/>
        </w:rPr>
        <w:footnoteRef/>
      </w:r>
      <w:r w:rsidRPr="00F60594">
        <w:rPr>
          <w:rFonts w:ascii="Times New Roman" w:hAnsi="Times New Roman" w:cs="Times New Roman"/>
          <w:szCs w:val="20"/>
        </w:rPr>
        <w:t xml:space="preserve"> </w:t>
      </w:r>
      <w:proofErr w:type="spellStart"/>
      <w:r w:rsidRPr="00F60594">
        <w:rPr>
          <w:rFonts w:ascii="Times New Roman" w:hAnsi="Times New Roman" w:cs="Times New Roman"/>
          <w:szCs w:val="20"/>
        </w:rPr>
        <w:t>Civ</w:t>
      </w:r>
      <w:proofErr w:type="spellEnd"/>
      <w:r w:rsidRPr="00F60594">
        <w:rPr>
          <w:rFonts w:ascii="Times New Roman" w:hAnsi="Times New Roman" w:cs="Times New Roman"/>
          <w:szCs w:val="20"/>
        </w:rPr>
        <w:t xml:space="preserve">., 12 mai 1862, </w:t>
      </w:r>
      <w:r w:rsidRPr="00F60594">
        <w:rPr>
          <w:rFonts w:ascii="Times New Roman" w:hAnsi="Times New Roman" w:cs="Times New Roman"/>
          <w:i/>
          <w:szCs w:val="20"/>
        </w:rPr>
        <w:t>S.</w:t>
      </w:r>
      <w:r w:rsidRPr="00F60594">
        <w:rPr>
          <w:rFonts w:ascii="Times New Roman" w:hAnsi="Times New Roman" w:cs="Times New Roman"/>
          <w:szCs w:val="20"/>
        </w:rPr>
        <w:t xml:space="preserve"> 1862, I, 540. 208</w:t>
      </w:r>
      <w:r w:rsidR="005939A6" w:rsidRPr="00F60594">
        <w:rPr>
          <w:rFonts w:ascii="Times New Roman" w:hAnsi="Times New Roman" w:cs="Times New Roman"/>
          <w:szCs w:val="20"/>
        </w:rPr>
        <w:t>.</w:t>
      </w:r>
    </w:p>
  </w:footnote>
  <w:footnote w:id="5">
    <w:p w14:paraId="6483E879" w14:textId="793392F2" w:rsidR="009B0594" w:rsidRPr="00F60594" w:rsidRDefault="009B0594" w:rsidP="0070518B">
      <w:pPr>
        <w:pStyle w:val="Notedebasdepage"/>
        <w:spacing w:line="240" w:lineRule="auto"/>
      </w:pPr>
      <w:r w:rsidRPr="00F60594">
        <w:rPr>
          <w:rStyle w:val="Appelnotedebasdep"/>
        </w:rPr>
        <w:footnoteRef/>
      </w:r>
      <w:r w:rsidRPr="00F60594">
        <w:t xml:space="preserve"> </w:t>
      </w:r>
      <w:proofErr w:type="spellStart"/>
      <w:r w:rsidRPr="00F60594">
        <w:rPr>
          <w:rFonts w:cs="Times New Roman"/>
        </w:rPr>
        <w:t>Concl</w:t>
      </w:r>
      <w:proofErr w:type="spellEnd"/>
      <w:r w:rsidRPr="00F60594">
        <w:rPr>
          <w:rFonts w:cs="Times New Roman"/>
        </w:rPr>
        <w:t xml:space="preserve">. Jean Romieu sur CE, 4 mai 1906, </w:t>
      </w:r>
      <w:r w:rsidRPr="00F60594">
        <w:rPr>
          <w:rFonts w:cs="Times New Roman"/>
          <w:i/>
        </w:rPr>
        <w:t>Babin</w:t>
      </w:r>
      <w:r w:rsidRPr="00F60594">
        <w:rPr>
          <w:rFonts w:cs="Times New Roman"/>
        </w:rPr>
        <w:t xml:space="preserve">, n° 16.026, </w:t>
      </w:r>
      <w:r w:rsidRPr="00F60594">
        <w:rPr>
          <w:rFonts w:cs="Times New Roman"/>
          <w:i/>
        </w:rPr>
        <w:t xml:space="preserve">Rec. </w:t>
      </w:r>
      <w:r w:rsidRPr="00F60594">
        <w:rPr>
          <w:rFonts w:cs="Times New Roman"/>
        </w:rPr>
        <w:t>363.</w:t>
      </w:r>
    </w:p>
  </w:footnote>
  <w:footnote w:id="6">
    <w:p w14:paraId="1C70C3DA" w14:textId="5076FA4A" w:rsidR="00881066" w:rsidRPr="00F60594" w:rsidRDefault="00881066" w:rsidP="0070518B">
      <w:pPr>
        <w:pStyle w:val="footnotedescription"/>
        <w:spacing w:line="240" w:lineRule="auto"/>
        <w:jc w:val="both"/>
        <w:rPr>
          <w:rFonts w:ascii="Times New Roman" w:hAnsi="Times New Roman" w:cs="Times New Roman"/>
          <w:szCs w:val="20"/>
        </w:rPr>
      </w:pPr>
      <w:r w:rsidRPr="00F60594">
        <w:rPr>
          <w:rStyle w:val="footnotemark"/>
          <w:rFonts w:ascii="Times New Roman" w:hAnsi="Times New Roman" w:cs="Times New Roman"/>
          <w:szCs w:val="20"/>
        </w:rPr>
        <w:footnoteRef/>
      </w:r>
      <w:r w:rsidRPr="00F60594">
        <w:rPr>
          <w:rFonts w:ascii="Times New Roman" w:hAnsi="Times New Roman" w:cs="Times New Roman"/>
          <w:szCs w:val="20"/>
        </w:rPr>
        <w:t xml:space="preserve"> Cons. </w:t>
      </w:r>
      <w:proofErr w:type="spellStart"/>
      <w:proofErr w:type="gramStart"/>
      <w:r w:rsidRPr="00F60594">
        <w:rPr>
          <w:rFonts w:ascii="Times New Roman" w:hAnsi="Times New Roman" w:cs="Times New Roman"/>
          <w:szCs w:val="20"/>
        </w:rPr>
        <w:t>const</w:t>
      </w:r>
      <w:proofErr w:type="spellEnd"/>
      <w:proofErr w:type="gramEnd"/>
      <w:r w:rsidRPr="00F60594">
        <w:rPr>
          <w:rFonts w:ascii="Times New Roman" w:hAnsi="Times New Roman" w:cs="Times New Roman"/>
          <w:szCs w:val="20"/>
        </w:rPr>
        <w:t xml:space="preserve">. 433 DC, 27 juil. 2000, </w:t>
      </w:r>
      <w:r w:rsidRPr="00F60594">
        <w:rPr>
          <w:rFonts w:ascii="Times New Roman" w:hAnsi="Times New Roman" w:cs="Times New Roman"/>
          <w:i/>
          <w:szCs w:val="20"/>
        </w:rPr>
        <w:t>Liberté de communication</w:t>
      </w:r>
      <w:r w:rsidRPr="00F60594">
        <w:rPr>
          <w:rFonts w:ascii="Times New Roman" w:hAnsi="Times New Roman" w:cs="Times New Roman"/>
          <w:szCs w:val="20"/>
        </w:rPr>
        <w:t xml:space="preserve">, </w:t>
      </w:r>
      <w:r w:rsidRPr="00F60594">
        <w:rPr>
          <w:rFonts w:ascii="Times New Roman" w:hAnsi="Times New Roman" w:cs="Times New Roman"/>
          <w:i/>
          <w:szCs w:val="20"/>
        </w:rPr>
        <w:t xml:space="preserve">Rec. </w:t>
      </w:r>
      <w:r w:rsidRPr="00F60594">
        <w:rPr>
          <w:rFonts w:ascii="Times New Roman" w:hAnsi="Times New Roman" w:cs="Times New Roman"/>
          <w:szCs w:val="20"/>
        </w:rPr>
        <w:t>121, cons. 22.</w:t>
      </w:r>
    </w:p>
  </w:footnote>
  <w:footnote w:id="7">
    <w:p w14:paraId="22CC0D80" w14:textId="525F03E1" w:rsidR="00881066" w:rsidRPr="00F60594" w:rsidRDefault="00881066" w:rsidP="0070518B">
      <w:pPr>
        <w:pStyle w:val="footnotedescription"/>
        <w:spacing w:line="240" w:lineRule="auto"/>
        <w:jc w:val="both"/>
        <w:rPr>
          <w:rFonts w:ascii="Times New Roman" w:hAnsi="Times New Roman" w:cs="Times New Roman"/>
          <w:szCs w:val="20"/>
        </w:rPr>
      </w:pPr>
      <w:r w:rsidRPr="00F60594">
        <w:rPr>
          <w:rStyle w:val="footnotemark"/>
          <w:rFonts w:ascii="Times New Roman" w:hAnsi="Times New Roman" w:cs="Times New Roman"/>
          <w:szCs w:val="20"/>
        </w:rPr>
        <w:footnoteRef/>
      </w:r>
      <w:r w:rsidRPr="00F60594">
        <w:rPr>
          <w:rFonts w:ascii="Times New Roman" w:hAnsi="Times New Roman" w:cs="Times New Roman"/>
          <w:szCs w:val="20"/>
        </w:rPr>
        <w:t xml:space="preserve"> Cons. </w:t>
      </w:r>
      <w:proofErr w:type="spellStart"/>
      <w:proofErr w:type="gramStart"/>
      <w:r w:rsidRPr="00F60594">
        <w:rPr>
          <w:rFonts w:ascii="Times New Roman" w:hAnsi="Times New Roman" w:cs="Times New Roman"/>
          <w:szCs w:val="20"/>
        </w:rPr>
        <w:t>const</w:t>
      </w:r>
      <w:proofErr w:type="spellEnd"/>
      <w:proofErr w:type="gramEnd"/>
      <w:r w:rsidRPr="00F60594">
        <w:rPr>
          <w:rFonts w:ascii="Times New Roman" w:hAnsi="Times New Roman" w:cs="Times New Roman"/>
          <w:szCs w:val="20"/>
        </w:rPr>
        <w:t xml:space="preserve">. 90-285 DC, 28 déc. 1990, </w:t>
      </w:r>
      <w:r w:rsidRPr="00F60594">
        <w:rPr>
          <w:rFonts w:ascii="Times New Roman" w:hAnsi="Times New Roman" w:cs="Times New Roman"/>
          <w:i/>
          <w:szCs w:val="20"/>
        </w:rPr>
        <w:t>Loi de finances pour 1991</w:t>
      </w:r>
      <w:r w:rsidRPr="00F60594">
        <w:rPr>
          <w:rFonts w:ascii="Times New Roman" w:hAnsi="Times New Roman" w:cs="Times New Roman"/>
          <w:szCs w:val="20"/>
        </w:rPr>
        <w:t xml:space="preserve">, </w:t>
      </w:r>
      <w:r w:rsidRPr="00F60594">
        <w:rPr>
          <w:rFonts w:ascii="Times New Roman" w:hAnsi="Times New Roman" w:cs="Times New Roman"/>
          <w:i/>
          <w:szCs w:val="20"/>
        </w:rPr>
        <w:t xml:space="preserve">Rec. </w:t>
      </w:r>
      <w:r w:rsidRPr="00F60594">
        <w:rPr>
          <w:rFonts w:ascii="Times New Roman" w:hAnsi="Times New Roman" w:cs="Times New Roman"/>
          <w:szCs w:val="20"/>
        </w:rPr>
        <w:t xml:space="preserve">95, cons. 45. </w:t>
      </w:r>
    </w:p>
  </w:footnote>
  <w:footnote w:id="8">
    <w:p w14:paraId="055F5911" w14:textId="2020FCF3" w:rsidR="0047460A" w:rsidRPr="00F60594" w:rsidRDefault="0047460A" w:rsidP="0070518B">
      <w:pPr>
        <w:pStyle w:val="Notedebasdepage"/>
        <w:spacing w:line="240" w:lineRule="auto"/>
      </w:pPr>
      <w:r w:rsidRPr="00F60594">
        <w:rPr>
          <w:rStyle w:val="Appelnotedebasdep"/>
        </w:rPr>
        <w:footnoteRef/>
      </w:r>
      <w:r w:rsidRPr="00F60594">
        <w:t xml:space="preserve"> </w:t>
      </w:r>
      <w:r w:rsidRPr="00F60594">
        <w:rPr>
          <w:rFonts w:cs="Times New Roman"/>
        </w:rPr>
        <w:t xml:space="preserve">Cons. </w:t>
      </w:r>
      <w:proofErr w:type="spellStart"/>
      <w:proofErr w:type="gramStart"/>
      <w:r w:rsidRPr="00F60594">
        <w:rPr>
          <w:rFonts w:cs="Times New Roman"/>
        </w:rPr>
        <w:t>const</w:t>
      </w:r>
      <w:proofErr w:type="spellEnd"/>
      <w:proofErr w:type="gramEnd"/>
      <w:r w:rsidRPr="00F60594">
        <w:rPr>
          <w:rFonts w:cs="Times New Roman"/>
        </w:rPr>
        <w:t xml:space="preserve">. 98-405 DC, 29 déc. 1998, </w:t>
      </w:r>
      <w:r w:rsidRPr="00F60594">
        <w:rPr>
          <w:rFonts w:cs="Times New Roman"/>
          <w:i/>
        </w:rPr>
        <w:t>Loi de finances pour 1999</w:t>
      </w:r>
      <w:r w:rsidRPr="00F60594">
        <w:rPr>
          <w:rFonts w:cs="Times New Roman"/>
        </w:rPr>
        <w:t xml:space="preserve">, </w:t>
      </w:r>
      <w:r w:rsidRPr="00F60594">
        <w:rPr>
          <w:rFonts w:cs="Times New Roman"/>
          <w:i/>
        </w:rPr>
        <w:t xml:space="preserve">Rec. </w:t>
      </w:r>
      <w:r w:rsidRPr="00F60594">
        <w:rPr>
          <w:rFonts w:cs="Times New Roman"/>
        </w:rPr>
        <w:t>326, cons. 59.</w:t>
      </w:r>
    </w:p>
  </w:footnote>
  <w:footnote w:id="9">
    <w:p w14:paraId="043C80BE" w14:textId="1802D25B" w:rsidR="007C0A63" w:rsidRPr="00F60594" w:rsidRDefault="007C0A63" w:rsidP="0070518B">
      <w:pPr>
        <w:pStyle w:val="Notedebasdepage"/>
        <w:spacing w:line="240" w:lineRule="auto"/>
      </w:pPr>
      <w:r w:rsidRPr="00F60594">
        <w:rPr>
          <w:rStyle w:val="Appelnotedebasdep"/>
        </w:rPr>
        <w:footnoteRef/>
      </w:r>
      <w:r w:rsidRPr="00F60594">
        <w:t xml:space="preserve"> </w:t>
      </w:r>
      <w:r w:rsidRPr="00F60594">
        <w:rPr>
          <w:rFonts w:cs="Times New Roman"/>
        </w:rPr>
        <w:t xml:space="preserve">Cons. </w:t>
      </w:r>
      <w:proofErr w:type="spellStart"/>
      <w:proofErr w:type="gramStart"/>
      <w:r w:rsidRPr="00F60594">
        <w:rPr>
          <w:rFonts w:cs="Times New Roman"/>
        </w:rPr>
        <w:t>const</w:t>
      </w:r>
      <w:proofErr w:type="spellEnd"/>
      <w:proofErr w:type="gramEnd"/>
      <w:r w:rsidRPr="00F60594">
        <w:rPr>
          <w:rFonts w:cs="Times New Roman"/>
        </w:rPr>
        <w:t xml:space="preserve">. 2010-622 DC, 28 déc. 2010, </w:t>
      </w:r>
      <w:r w:rsidRPr="00F60594">
        <w:rPr>
          <w:rFonts w:cs="Times New Roman"/>
          <w:i/>
        </w:rPr>
        <w:t>Loi de finances pour 2011</w:t>
      </w:r>
      <w:r w:rsidRPr="00F60594">
        <w:rPr>
          <w:rFonts w:cs="Times New Roman"/>
        </w:rPr>
        <w:t xml:space="preserve">, </w:t>
      </w:r>
      <w:r w:rsidRPr="00F60594">
        <w:rPr>
          <w:rFonts w:cs="Times New Roman"/>
          <w:i/>
        </w:rPr>
        <w:t>JORF</w:t>
      </w:r>
      <w:r w:rsidRPr="00F60594">
        <w:rPr>
          <w:rFonts w:cs="Times New Roman"/>
        </w:rPr>
        <w:t xml:space="preserve"> 30 déc., cons. 22.</w:t>
      </w:r>
    </w:p>
  </w:footnote>
  <w:footnote w:id="10">
    <w:p w14:paraId="60B943EA" w14:textId="42445024" w:rsidR="00881066" w:rsidRPr="00F60594" w:rsidRDefault="00881066" w:rsidP="0070518B">
      <w:pPr>
        <w:pStyle w:val="footnotedescription"/>
        <w:spacing w:line="240" w:lineRule="auto"/>
        <w:jc w:val="both"/>
        <w:rPr>
          <w:rFonts w:ascii="Times New Roman" w:hAnsi="Times New Roman" w:cs="Times New Roman"/>
          <w:szCs w:val="20"/>
        </w:rPr>
      </w:pPr>
      <w:r w:rsidRPr="00F60594">
        <w:rPr>
          <w:rStyle w:val="footnotemark"/>
          <w:rFonts w:ascii="Times New Roman" w:hAnsi="Times New Roman" w:cs="Times New Roman"/>
          <w:szCs w:val="20"/>
        </w:rPr>
        <w:footnoteRef/>
      </w:r>
      <w:r w:rsidRPr="00F60594">
        <w:rPr>
          <w:rFonts w:ascii="Times New Roman" w:hAnsi="Times New Roman" w:cs="Times New Roman"/>
          <w:szCs w:val="20"/>
        </w:rPr>
        <w:t xml:space="preserve"> Cons. </w:t>
      </w:r>
      <w:proofErr w:type="spellStart"/>
      <w:proofErr w:type="gramStart"/>
      <w:r w:rsidRPr="00F60594">
        <w:rPr>
          <w:rFonts w:ascii="Times New Roman" w:hAnsi="Times New Roman" w:cs="Times New Roman"/>
          <w:szCs w:val="20"/>
        </w:rPr>
        <w:t>const</w:t>
      </w:r>
      <w:proofErr w:type="spellEnd"/>
      <w:proofErr w:type="gramEnd"/>
      <w:r w:rsidRPr="00F60594">
        <w:rPr>
          <w:rFonts w:ascii="Times New Roman" w:hAnsi="Times New Roman" w:cs="Times New Roman"/>
          <w:szCs w:val="20"/>
        </w:rPr>
        <w:t xml:space="preserve">. 86-223 DC, 29 déc. 1986, </w:t>
      </w:r>
      <w:r w:rsidRPr="00F60594">
        <w:rPr>
          <w:rFonts w:ascii="Times New Roman" w:hAnsi="Times New Roman" w:cs="Times New Roman"/>
          <w:i/>
          <w:szCs w:val="20"/>
        </w:rPr>
        <w:t>Loi de finances rectificatives pour 1986</w:t>
      </w:r>
      <w:r w:rsidRPr="00F60594">
        <w:rPr>
          <w:rFonts w:ascii="Times New Roman" w:hAnsi="Times New Roman" w:cs="Times New Roman"/>
          <w:szCs w:val="20"/>
        </w:rPr>
        <w:t xml:space="preserve">, </w:t>
      </w:r>
      <w:r w:rsidRPr="00F60594">
        <w:rPr>
          <w:rFonts w:ascii="Times New Roman" w:hAnsi="Times New Roman" w:cs="Times New Roman"/>
          <w:i/>
          <w:szCs w:val="20"/>
        </w:rPr>
        <w:t>Rec.</w:t>
      </w:r>
      <w:r w:rsidRPr="00F60594">
        <w:rPr>
          <w:rFonts w:ascii="Times New Roman" w:hAnsi="Times New Roman" w:cs="Times New Roman"/>
          <w:szCs w:val="20"/>
        </w:rPr>
        <w:t xml:space="preserve"> 184, cons. 14</w:t>
      </w:r>
      <w:r w:rsidR="000E33DE">
        <w:rPr>
          <w:rFonts w:ascii="Times New Roman" w:hAnsi="Times New Roman" w:cs="Times New Roman"/>
          <w:szCs w:val="20"/>
        </w:rPr>
        <w:t>.</w:t>
      </w:r>
      <w:r w:rsidRPr="00F60594">
        <w:rPr>
          <w:rFonts w:ascii="Times New Roman" w:hAnsi="Times New Roman" w:cs="Times New Roman"/>
          <w:szCs w:val="20"/>
        </w:rPr>
        <w:t xml:space="preserve"> </w:t>
      </w:r>
    </w:p>
  </w:footnote>
  <w:footnote w:id="11">
    <w:p w14:paraId="5103C80D" w14:textId="2FE59A0E" w:rsidR="00881066" w:rsidRPr="00F60594" w:rsidRDefault="00881066" w:rsidP="0070518B">
      <w:pPr>
        <w:pStyle w:val="footnotedescription"/>
        <w:spacing w:line="240" w:lineRule="auto"/>
        <w:jc w:val="both"/>
        <w:rPr>
          <w:rFonts w:ascii="Times New Roman" w:hAnsi="Times New Roman" w:cs="Times New Roman"/>
          <w:szCs w:val="20"/>
        </w:rPr>
      </w:pPr>
      <w:r w:rsidRPr="00F60594">
        <w:rPr>
          <w:rStyle w:val="footnotemark"/>
          <w:rFonts w:ascii="Times New Roman" w:hAnsi="Times New Roman" w:cs="Times New Roman"/>
          <w:szCs w:val="20"/>
        </w:rPr>
        <w:footnoteRef/>
      </w:r>
      <w:r w:rsidRPr="00F60594">
        <w:rPr>
          <w:rFonts w:ascii="Times New Roman" w:hAnsi="Times New Roman" w:cs="Times New Roman"/>
          <w:szCs w:val="20"/>
        </w:rPr>
        <w:t xml:space="preserve"> Dans ses conclusions, le commissaire du gouvernement avait alors affirmé qu’aucun « texte constitutionnel, aucune loi n’affirment l’égalité des contribuables devant l’impôt. Votre jurisprudence ne se fonde pas sur le texte de la Déclaration des droits de 1789 pour donner une valeur juridique à cette règle. Elle y voit néanmoins l’un de ces principes fondamentaux de notre organisation politique qui, sans être inscrits dans aucun texte, ont pénétré, depuis 150 ans, toutes nos institutions et ont dominé notre législation</w:t>
      </w:r>
      <w:r w:rsidR="006579D7">
        <w:rPr>
          <w:rFonts w:ascii="Times New Roman" w:hAnsi="Times New Roman" w:cs="Times New Roman"/>
          <w:szCs w:val="20"/>
        </w:rPr>
        <w:t> </w:t>
      </w:r>
      <w:r w:rsidRPr="00F60594">
        <w:rPr>
          <w:rFonts w:ascii="Times New Roman" w:hAnsi="Times New Roman" w:cs="Times New Roman"/>
          <w:szCs w:val="20"/>
        </w:rPr>
        <w:t>» (</w:t>
      </w:r>
      <w:proofErr w:type="spellStart"/>
      <w:r w:rsidRPr="00F60594">
        <w:rPr>
          <w:rFonts w:ascii="Times New Roman" w:hAnsi="Times New Roman" w:cs="Times New Roman"/>
          <w:szCs w:val="20"/>
        </w:rPr>
        <w:t>concl</w:t>
      </w:r>
      <w:proofErr w:type="spellEnd"/>
      <w:r w:rsidRPr="00F60594">
        <w:rPr>
          <w:rFonts w:ascii="Times New Roman" w:hAnsi="Times New Roman" w:cs="Times New Roman"/>
          <w:szCs w:val="20"/>
        </w:rPr>
        <w:t xml:space="preserve">. Bernard </w:t>
      </w:r>
      <w:proofErr w:type="spellStart"/>
      <w:r w:rsidRPr="00F60594">
        <w:rPr>
          <w:rFonts w:ascii="Times New Roman" w:hAnsi="Times New Roman" w:cs="Times New Roman"/>
          <w:szCs w:val="20"/>
        </w:rPr>
        <w:t>Chenot</w:t>
      </w:r>
      <w:proofErr w:type="spellEnd"/>
      <w:r w:rsidRPr="00F60594">
        <w:rPr>
          <w:rFonts w:ascii="Times New Roman" w:hAnsi="Times New Roman" w:cs="Times New Roman"/>
          <w:szCs w:val="20"/>
        </w:rPr>
        <w:t xml:space="preserve"> sur CE, 4 février 1944, </w:t>
      </w:r>
      <w:proofErr w:type="spellStart"/>
      <w:r w:rsidRPr="00F60594">
        <w:rPr>
          <w:rFonts w:ascii="Times New Roman" w:hAnsi="Times New Roman" w:cs="Times New Roman"/>
          <w:i/>
          <w:szCs w:val="20"/>
        </w:rPr>
        <w:t>Guieysse</w:t>
      </w:r>
      <w:proofErr w:type="spellEnd"/>
      <w:r w:rsidRPr="00F60594">
        <w:rPr>
          <w:rFonts w:ascii="Times New Roman" w:hAnsi="Times New Roman" w:cs="Times New Roman"/>
          <w:szCs w:val="20"/>
        </w:rPr>
        <w:t xml:space="preserve">, </w:t>
      </w:r>
      <w:r w:rsidRPr="00F60594">
        <w:rPr>
          <w:rFonts w:ascii="Times New Roman" w:hAnsi="Times New Roman" w:cs="Times New Roman"/>
          <w:i/>
          <w:szCs w:val="20"/>
        </w:rPr>
        <w:t>RDP</w:t>
      </w:r>
      <w:r w:rsidRPr="00F60594">
        <w:rPr>
          <w:rFonts w:ascii="Times New Roman" w:hAnsi="Times New Roman" w:cs="Times New Roman"/>
          <w:szCs w:val="20"/>
        </w:rPr>
        <w:t xml:space="preserve"> 1944, p 166). </w:t>
      </w:r>
    </w:p>
  </w:footnote>
  <w:footnote w:id="12">
    <w:p w14:paraId="191E7085" w14:textId="715AA786" w:rsidR="00881066" w:rsidRPr="00F60594" w:rsidRDefault="00881066" w:rsidP="0070518B">
      <w:pPr>
        <w:pStyle w:val="footnotedescription"/>
        <w:spacing w:line="240" w:lineRule="auto"/>
        <w:jc w:val="both"/>
        <w:rPr>
          <w:rFonts w:ascii="Times New Roman" w:hAnsi="Times New Roman" w:cs="Times New Roman"/>
          <w:szCs w:val="20"/>
        </w:rPr>
      </w:pPr>
      <w:r w:rsidRPr="00F60594">
        <w:rPr>
          <w:rStyle w:val="footnotemark"/>
          <w:rFonts w:ascii="Times New Roman" w:hAnsi="Times New Roman" w:cs="Times New Roman"/>
          <w:szCs w:val="20"/>
        </w:rPr>
        <w:footnoteRef/>
      </w:r>
      <w:r w:rsidRPr="00F60594">
        <w:rPr>
          <w:rFonts w:ascii="Times New Roman" w:hAnsi="Times New Roman" w:cs="Times New Roman"/>
          <w:szCs w:val="20"/>
        </w:rPr>
        <w:t xml:space="preserve"> Cons. </w:t>
      </w:r>
      <w:proofErr w:type="spellStart"/>
      <w:proofErr w:type="gramStart"/>
      <w:r w:rsidRPr="00F60594">
        <w:rPr>
          <w:rFonts w:ascii="Times New Roman" w:hAnsi="Times New Roman" w:cs="Times New Roman"/>
          <w:szCs w:val="20"/>
        </w:rPr>
        <w:t>const</w:t>
      </w:r>
      <w:proofErr w:type="spellEnd"/>
      <w:proofErr w:type="gramEnd"/>
      <w:r w:rsidRPr="00F60594">
        <w:rPr>
          <w:rFonts w:ascii="Times New Roman" w:hAnsi="Times New Roman" w:cs="Times New Roman"/>
          <w:szCs w:val="20"/>
        </w:rPr>
        <w:t xml:space="preserve">. 405 DC, 29 déc. 1998, </w:t>
      </w:r>
      <w:r w:rsidRPr="00F60594">
        <w:rPr>
          <w:rFonts w:ascii="Times New Roman" w:hAnsi="Times New Roman" w:cs="Times New Roman"/>
          <w:i/>
          <w:szCs w:val="20"/>
        </w:rPr>
        <w:t>Loi de finances pour 1999</w:t>
      </w:r>
      <w:r w:rsidRPr="00F60594">
        <w:rPr>
          <w:rFonts w:ascii="Times New Roman" w:hAnsi="Times New Roman" w:cs="Times New Roman"/>
          <w:szCs w:val="20"/>
        </w:rPr>
        <w:t xml:space="preserve">, </w:t>
      </w:r>
      <w:r w:rsidRPr="00F60594">
        <w:rPr>
          <w:rFonts w:ascii="Times New Roman" w:hAnsi="Times New Roman" w:cs="Times New Roman"/>
          <w:i/>
          <w:szCs w:val="20"/>
        </w:rPr>
        <w:t>Rec.</w:t>
      </w:r>
      <w:r w:rsidRPr="00F60594">
        <w:rPr>
          <w:rFonts w:ascii="Times New Roman" w:hAnsi="Times New Roman" w:cs="Times New Roman"/>
          <w:szCs w:val="20"/>
        </w:rPr>
        <w:t xml:space="preserve"> 326, cons. 20</w:t>
      </w:r>
      <w:r w:rsidR="00F37EE7">
        <w:rPr>
          <w:rFonts w:ascii="Times New Roman" w:hAnsi="Times New Roman" w:cs="Times New Roman"/>
          <w:szCs w:val="20"/>
        </w:rPr>
        <w:t>.</w:t>
      </w:r>
    </w:p>
  </w:footnote>
  <w:footnote w:id="13">
    <w:p w14:paraId="04AD4D23" w14:textId="77777777" w:rsidR="005B2AD5" w:rsidRPr="00F60594" w:rsidRDefault="005B2AD5" w:rsidP="0070518B">
      <w:pPr>
        <w:pStyle w:val="footnotedescription"/>
        <w:spacing w:line="240" w:lineRule="auto"/>
        <w:jc w:val="both"/>
        <w:rPr>
          <w:rFonts w:ascii="Times New Roman" w:hAnsi="Times New Roman" w:cs="Times New Roman"/>
          <w:szCs w:val="20"/>
        </w:rPr>
      </w:pPr>
      <w:r w:rsidRPr="00F60594">
        <w:rPr>
          <w:rStyle w:val="footnotemark"/>
          <w:rFonts w:ascii="Times New Roman" w:hAnsi="Times New Roman" w:cs="Times New Roman"/>
          <w:szCs w:val="20"/>
        </w:rPr>
        <w:footnoteRef/>
      </w:r>
      <w:r w:rsidRPr="00F60594">
        <w:rPr>
          <w:rFonts w:ascii="Times New Roman" w:hAnsi="Times New Roman" w:cs="Times New Roman"/>
          <w:szCs w:val="20"/>
        </w:rPr>
        <w:t xml:space="preserve"> Cons. </w:t>
      </w:r>
      <w:proofErr w:type="spellStart"/>
      <w:proofErr w:type="gramStart"/>
      <w:r w:rsidRPr="00F60594">
        <w:rPr>
          <w:rFonts w:ascii="Times New Roman" w:hAnsi="Times New Roman" w:cs="Times New Roman"/>
          <w:szCs w:val="20"/>
        </w:rPr>
        <w:t>const</w:t>
      </w:r>
      <w:proofErr w:type="spellEnd"/>
      <w:proofErr w:type="gramEnd"/>
      <w:r w:rsidRPr="00F60594">
        <w:rPr>
          <w:rFonts w:ascii="Times New Roman" w:hAnsi="Times New Roman" w:cs="Times New Roman"/>
          <w:szCs w:val="20"/>
        </w:rPr>
        <w:t xml:space="preserve">. 662 DC, </w:t>
      </w:r>
      <w:r w:rsidRPr="00F60594">
        <w:rPr>
          <w:rFonts w:ascii="Times New Roman" w:hAnsi="Times New Roman" w:cs="Times New Roman"/>
          <w:i/>
          <w:szCs w:val="20"/>
        </w:rPr>
        <w:t>Loi de finances pour 2013</w:t>
      </w:r>
      <w:r w:rsidRPr="00F60594">
        <w:rPr>
          <w:rFonts w:ascii="Times New Roman" w:hAnsi="Times New Roman" w:cs="Times New Roman"/>
          <w:szCs w:val="20"/>
        </w:rPr>
        <w:t xml:space="preserve">, </w:t>
      </w:r>
      <w:r w:rsidRPr="00F60594">
        <w:rPr>
          <w:rFonts w:ascii="Times New Roman" w:hAnsi="Times New Roman" w:cs="Times New Roman"/>
          <w:i/>
          <w:szCs w:val="20"/>
        </w:rPr>
        <w:t>Rec.</w:t>
      </w:r>
      <w:r w:rsidRPr="00F60594">
        <w:rPr>
          <w:rFonts w:ascii="Times New Roman" w:hAnsi="Times New Roman" w:cs="Times New Roman"/>
          <w:szCs w:val="20"/>
        </w:rPr>
        <w:t xml:space="preserve"> 724 : « </w:t>
      </w:r>
      <w:r w:rsidRPr="00F60594">
        <w:rPr>
          <w:rFonts w:ascii="Times New Roman" w:hAnsi="Times New Roman" w:cs="Times New Roman"/>
          <w:color w:val="2B1212"/>
          <w:szCs w:val="20"/>
        </w:rPr>
        <w:t>considérant que le législateur a retenu le principe d’une imposition sur le revenu par personne physique sans prendre en considération l’existence du foyer fiscal ; que, par l’effet de cette contribution exceptionnelle assise sur les revenus d’activité professionnelle des personnes physiques excédant un million d’euros, deux foyers fiscaux bénéficiant du même niveau de revenu issu de l’activité professionnelle pourraient se voir assujettis à cette contribution ou au contraire en être exonérés, selon la répartition des revenus entre les contribuables composant ce foyer ; qu’ainsi, en soumettant à cette contribution exceptionnelle les revenus des personnes physiques, sans tenir compte, comme pour l’imposition de l’ensemble du revenu à l’impôt sur le revenu et la contribution exceptionnelle prévue par l’article 223</w:t>
      </w:r>
      <w:r w:rsidRPr="00F60594">
        <w:rPr>
          <w:rFonts w:ascii="Times New Roman" w:hAnsi="Times New Roman" w:cs="Times New Roman"/>
          <w:i/>
          <w:color w:val="2B1212"/>
          <w:szCs w:val="20"/>
        </w:rPr>
        <w:t xml:space="preserve"> sexies</w:t>
      </w:r>
      <w:r w:rsidRPr="00F60594">
        <w:rPr>
          <w:rFonts w:ascii="Times New Roman" w:hAnsi="Times New Roman" w:cs="Times New Roman"/>
          <w:color w:val="2B1212"/>
          <w:szCs w:val="20"/>
        </w:rPr>
        <w:t xml:space="preserve"> du code général des impôts, de l’existence du foyer fiscal, le législateur a méconnu l’exigence de prise en compte des facultés contributives ; qu’ainsi, il a méconnu le principe d’égalité devant les charges publiques</w:t>
      </w:r>
      <w:r w:rsidRPr="00F60594">
        <w:rPr>
          <w:rFonts w:ascii="Times New Roman" w:hAnsi="Times New Roman" w:cs="Times New Roman"/>
          <w:szCs w:val="20"/>
        </w:rPr>
        <w:t xml:space="preserve"> (cons. 73).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1F627C"/>
    <w:multiLevelType w:val="hybridMultilevel"/>
    <w:tmpl w:val="01542E50"/>
    <w:lvl w:ilvl="0" w:tplc="3936582C">
      <w:start w:val="1"/>
      <w:numFmt w:val="bullet"/>
      <w:lvlText w:val="-"/>
      <w:lvlJc w:val="left"/>
      <w:pPr>
        <w:ind w:left="927"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1" w:tplc="0E008550">
      <w:start w:val="1"/>
      <w:numFmt w:val="bullet"/>
      <w:lvlText w:val="o"/>
      <w:lvlJc w:val="left"/>
      <w:pPr>
        <w:ind w:left="1647"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2" w:tplc="D8A8361C">
      <w:start w:val="1"/>
      <w:numFmt w:val="bullet"/>
      <w:lvlText w:val="▪"/>
      <w:lvlJc w:val="left"/>
      <w:pPr>
        <w:ind w:left="2367"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3" w:tplc="3F029F1C">
      <w:start w:val="1"/>
      <w:numFmt w:val="bullet"/>
      <w:lvlText w:val="•"/>
      <w:lvlJc w:val="left"/>
      <w:pPr>
        <w:ind w:left="3087"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4" w:tplc="5CDA7D3C">
      <w:start w:val="1"/>
      <w:numFmt w:val="bullet"/>
      <w:lvlText w:val="o"/>
      <w:lvlJc w:val="left"/>
      <w:pPr>
        <w:ind w:left="3807"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5" w:tplc="CC50D2A4">
      <w:start w:val="1"/>
      <w:numFmt w:val="bullet"/>
      <w:lvlText w:val="▪"/>
      <w:lvlJc w:val="left"/>
      <w:pPr>
        <w:ind w:left="4527"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6" w:tplc="8DA0A06A">
      <w:start w:val="1"/>
      <w:numFmt w:val="bullet"/>
      <w:lvlText w:val="•"/>
      <w:lvlJc w:val="left"/>
      <w:pPr>
        <w:ind w:left="5247"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7" w:tplc="89F6103C">
      <w:start w:val="1"/>
      <w:numFmt w:val="bullet"/>
      <w:lvlText w:val="o"/>
      <w:lvlJc w:val="left"/>
      <w:pPr>
        <w:ind w:left="5967"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8" w:tplc="09346994">
      <w:start w:val="1"/>
      <w:numFmt w:val="bullet"/>
      <w:lvlText w:val="▪"/>
      <w:lvlJc w:val="left"/>
      <w:pPr>
        <w:ind w:left="6687"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abstractNum>
  <w:abstractNum w:abstractNumId="1" w15:restartNumberingAfterBreak="0">
    <w:nsid w:val="051A55E5"/>
    <w:multiLevelType w:val="hybridMultilevel"/>
    <w:tmpl w:val="EE12E5CA"/>
    <w:lvl w:ilvl="0" w:tplc="0E32FDD2">
      <w:start w:val="1"/>
      <w:numFmt w:val="bullet"/>
      <w:lvlText w:val="-"/>
      <w:lvlJc w:val="left"/>
      <w:pPr>
        <w:ind w:left="927"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1" w:tplc="F1E8D2D4">
      <w:start w:val="1"/>
      <w:numFmt w:val="bullet"/>
      <w:lvlText w:val="o"/>
      <w:lvlJc w:val="left"/>
      <w:pPr>
        <w:ind w:left="1647"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2" w:tplc="B13260C8">
      <w:start w:val="1"/>
      <w:numFmt w:val="bullet"/>
      <w:lvlText w:val="▪"/>
      <w:lvlJc w:val="left"/>
      <w:pPr>
        <w:ind w:left="2367"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3" w:tplc="38905E26">
      <w:start w:val="1"/>
      <w:numFmt w:val="bullet"/>
      <w:lvlText w:val="•"/>
      <w:lvlJc w:val="left"/>
      <w:pPr>
        <w:ind w:left="3087"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4" w:tplc="45005D38">
      <w:start w:val="1"/>
      <w:numFmt w:val="bullet"/>
      <w:lvlText w:val="o"/>
      <w:lvlJc w:val="left"/>
      <w:pPr>
        <w:ind w:left="3807"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5" w:tplc="81D8D252">
      <w:start w:val="1"/>
      <w:numFmt w:val="bullet"/>
      <w:lvlText w:val="▪"/>
      <w:lvlJc w:val="left"/>
      <w:pPr>
        <w:ind w:left="4527"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6" w:tplc="30941CE2">
      <w:start w:val="1"/>
      <w:numFmt w:val="bullet"/>
      <w:lvlText w:val="•"/>
      <w:lvlJc w:val="left"/>
      <w:pPr>
        <w:ind w:left="5247"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7" w:tplc="8BFCBC38">
      <w:start w:val="1"/>
      <w:numFmt w:val="bullet"/>
      <w:lvlText w:val="o"/>
      <w:lvlJc w:val="left"/>
      <w:pPr>
        <w:ind w:left="5967"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8" w:tplc="419AFE58">
      <w:start w:val="1"/>
      <w:numFmt w:val="bullet"/>
      <w:lvlText w:val="▪"/>
      <w:lvlJc w:val="left"/>
      <w:pPr>
        <w:ind w:left="6687"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abstractNum>
  <w:abstractNum w:abstractNumId="2" w15:restartNumberingAfterBreak="0">
    <w:nsid w:val="06675F10"/>
    <w:multiLevelType w:val="hybridMultilevel"/>
    <w:tmpl w:val="857C5B72"/>
    <w:lvl w:ilvl="0" w:tplc="9B22D888">
      <w:start w:val="1"/>
      <w:numFmt w:val="bullet"/>
      <w:lvlText w:val="-"/>
      <w:lvlJc w:val="left"/>
      <w:pPr>
        <w:ind w:left="927"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1" w:tplc="75466BEA">
      <w:start w:val="1"/>
      <w:numFmt w:val="bullet"/>
      <w:lvlText w:val="o"/>
      <w:lvlJc w:val="left"/>
      <w:pPr>
        <w:ind w:left="164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2" w:tplc="76D4366A">
      <w:start w:val="1"/>
      <w:numFmt w:val="bullet"/>
      <w:lvlText w:val="▪"/>
      <w:lvlJc w:val="left"/>
      <w:pPr>
        <w:ind w:left="236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3" w:tplc="0F406938">
      <w:start w:val="1"/>
      <w:numFmt w:val="bullet"/>
      <w:lvlText w:val="•"/>
      <w:lvlJc w:val="left"/>
      <w:pPr>
        <w:ind w:left="308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4" w:tplc="06740638">
      <w:start w:val="1"/>
      <w:numFmt w:val="bullet"/>
      <w:lvlText w:val="o"/>
      <w:lvlJc w:val="left"/>
      <w:pPr>
        <w:ind w:left="380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5" w:tplc="003C550E">
      <w:start w:val="1"/>
      <w:numFmt w:val="bullet"/>
      <w:lvlText w:val="▪"/>
      <w:lvlJc w:val="left"/>
      <w:pPr>
        <w:ind w:left="452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6" w:tplc="567C5B6C">
      <w:start w:val="1"/>
      <w:numFmt w:val="bullet"/>
      <w:lvlText w:val="•"/>
      <w:lvlJc w:val="left"/>
      <w:pPr>
        <w:ind w:left="524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7" w:tplc="C338B048">
      <w:start w:val="1"/>
      <w:numFmt w:val="bullet"/>
      <w:lvlText w:val="o"/>
      <w:lvlJc w:val="left"/>
      <w:pPr>
        <w:ind w:left="596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8" w:tplc="477CEEF4">
      <w:start w:val="1"/>
      <w:numFmt w:val="bullet"/>
      <w:lvlText w:val="▪"/>
      <w:lvlJc w:val="left"/>
      <w:pPr>
        <w:ind w:left="668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abstractNum>
  <w:abstractNum w:abstractNumId="3" w15:restartNumberingAfterBreak="0">
    <w:nsid w:val="0ABE48DA"/>
    <w:multiLevelType w:val="hybridMultilevel"/>
    <w:tmpl w:val="6A408E54"/>
    <w:lvl w:ilvl="0" w:tplc="8F8A046E">
      <w:start w:val="689"/>
      <w:numFmt w:val="bullet"/>
      <w:lvlText w:val="-"/>
      <w:lvlJc w:val="left"/>
      <w:pPr>
        <w:ind w:left="720" w:hanging="360"/>
      </w:pPr>
      <w:rPr>
        <w:rFonts w:ascii="Times New Roman" w:eastAsia="Verdana"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117601AD"/>
    <w:multiLevelType w:val="hybridMultilevel"/>
    <w:tmpl w:val="E084EADE"/>
    <w:lvl w:ilvl="0" w:tplc="EFE018F2">
      <w:start w:val="1"/>
      <w:numFmt w:val="bullet"/>
      <w:lvlText w:val="-"/>
      <w:lvlJc w:val="left"/>
      <w:pPr>
        <w:ind w:left="927"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1" w:tplc="7ED098B0">
      <w:start w:val="1"/>
      <w:numFmt w:val="bullet"/>
      <w:lvlText w:val="o"/>
      <w:lvlJc w:val="left"/>
      <w:pPr>
        <w:ind w:left="1647"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2" w:tplc="1D8AB80A">
      <w:start w:val="1"/>
      <w:numFmt w:val="bullet"/>
      <w:lvlText w:val="▪"/>
      <w:lvlJc w:val="left"/>
      <w:pPr>
        <w:ind w:left="2367"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3" w:tplc="FD1830D8">
      <w:start w:val="1"/>
      <w:numFmt w:val="bullet"/>
      <w:lvlText w:val="•"/>
      <w:lvlJc w:val="left"/>
      <w:pPr>
        <w:ind w:left="3087"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4" w:tplc="2F008D6A">
      <w:start w:val="1"/>
      <w:numFmt w:val="bullet"/>
      <w:lvlText w:val="o"/>
      <w:lvlJc w:val="left"/>
      <w:pPr>
        <w:ind w:left="3807"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5" w:tplc="86F62F86">
      <w:start w:val="1"/>
      <w:numFmt w:val="bullet"/>
      <w:lvlText w:val="▪"/>
      <w:lvlJc w:val="left"/>
      <w:pPr>
        <w:ind w:left="4527"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6" w:tplc="8920336A">
      <w:start w:val="1"/>
      <w:numFmt w:val="bullet"/>
      <w:lvlText w:val="•"/>
      <w:lvlJc w:val="left"/>
      <w:pPr>
        <w:ind w:left="5247"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7" w:tplc="BA225AC2">
      <w:start w:val="1"/>
      <w:numFmt w:val="bullet"/>
      <w:lvlText w:val="o"/>
      <w:lvlJc w:val="left"/>
      <w:pPr>
        <w:ind w:left="5967"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8" w:tplc="3C5ACF76">
      <w:start w:val="1"/>
      <w:numFmt w:val="bullet"/>
      <w:lvlText w:val="▪"/>
      <w:lvlJc w:val="left"/>
      <w:pPr>
        <w:ind w:left="6687"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abstractNum>
  <w:abstractNum w:abstractNumId="5" w15:restartNumberingAfterBreak="0">
    <w:nsid w:val="11952CD8"/>
    <w:multiLevelType w:val="hybridMultilevel"/>
    <w:tmpl w:val="13A058BA"/>
    <w:lvl w:ilvl="0" w:tplc="31A04E7E">
      <w:start w:val="1"/>
      <w:numFmt w:val="bullet"/>
      <w:lvlText w:val="-"/>
      <w:lvlJc w:val="left"/>
      <w:pPr>
        <w:ind w:left="927"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1" w:tplc="8AF8C7A0">
      <w:start w:val="1"/>
      <w:numFmt w:val="bullet"/>
      <w:lvlText w:val="o"/>
      <w:lvlJc w:val="left"/>
      <w:pPr>
        <w:ind w:left="164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2" w:tplc="BA164FCE">
      <w:start w:val="1"/>
      <w:numFmt w:val="bullet"/>
      <w:lvlText w:val="▪"/>
      <w:lvlJc w:val="left"/>
      <w:pPr>
        <w:ind w:left="236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3" w:tplc="17707034">
      <w:start w:val="1"/>
      <w:numFmt w:val="bullet"/>
      <w:lvlText w:val="•"/>
      <w:lvlJc w:val="left"/>
      <w:pPr>
        <w:ind w:left="308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4" w:tplc="114AA566">
      <w:start w:val="1"/>
      <w:numFmt w:val="bullet"/>
      <w:lvlText w:val="o"/>
      <w:lvlJc w:val="left"/>
      <w:pPr>
        <w:ind w:left="380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5" w:tplc="EE30376C">
      <w:start w:val="1"/>
      <w:numFmt w:val="bullet"/>
      <w:lvlText w:val="▪"/>
      <w:lvlJc w:val="left"/>
      <w:pPr>
        <w:ind w:left="452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6" w:tplc="BD1C8082">
      <w:start w:val="1"/>
      <w:numFmt w:val="bullet"/>
      <w:lvlText w:val="•"/>
      <w:lvlJc w:val="left"/>
      <w:pPr>
        <w:ind w:left="524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7" w:tplc="779C198A">
      <w:start w:val="1"/>
      <w:numFmt w:val="bullet"/>
      <w:lvlText w:val="o"/>
      <w:lvlJc w:val="left"/>
      <w:pPr>
        <w:ind w:left="596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8" w:tplc="2E84F122">
      <w:start w:val="1"/>
      <w:numFmt w:val="bullet"/>
      <w:lvlText w:val="▪"/>
      <w:lvlJc w:val="left"/>
      <w:pPr>
        <w:ind w:left="668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abstractNum>
  <w:abstractNum w:abstractNumId="6" w15:restartNumberingAfterBreak="0">
    <w:nsid w:val="1B1D53CF"/>
    <w:multiLevelType w:val="hybridMultilevel"/>
    <w:tmpl w:val="9268130A"/>
    <w:lvl w:ilvl="0" w:tplc="28F6B920">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23A65135"/>
    <w:multiLevelType w:val="hybridMultilevel"/>
    <w:tmpl w:val="482048A6"/>
    <w:lvl w:ilvl="0" w:tplc="852C64A0">
      <w:start w:val="1"/>
      <w:numFmt w:val="bullet"/>
      <w:lvlText w:val="-"/>
      <w:lvlJc w:val="left"/>
      <w:pPr>
        <w:ind w:left="927"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1" w:tplc="A9465772">
      <w:start w:val="1"/>
      <w:numFmt w:val="bullet"/>
      <w:lvlText w:val="o"/>
      <w:lvlJc w:val="left"/>
      <w:pPr>
        <w:ind w:left="164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2" w:tplc="222EAAEC">
      <w:start w:val="1"/>
      <w:numFmt w:val="bullet"/>
      <w:lvlText w:val="▪"/>
      <w:lvlJc w:val="left"/>
      <w:pPr>
        <w:ind w:left="236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3" w:tplc="A03239A4">
      <w:start w:val="1"/>
      <w:numFmt w:val="bullet"/>
      <w:lvlText w:val="•"/>
      <w:lvlJc w:val="left"/>
      <w:pPr>
        <w:ind w:left="308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4" w:tplc="CFE8AB9A">
      <w:start w:val="1"/>
      <w:numFmt w:val="bullet"/>
      <w:lvlText w:val="o"/>
      <w:lvlJc w:val="left"/>
      <w:pPr>
        <w:ind w:left="380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5" w:tplc="BD702710">
      <w:start w:val="1"/>
      <w:numFmt w:val="bullet"/>
      <w:lvlText w:val="▪"/>
      <w:lvlJc w:val="left"/>
      <w:pPr>
        <w:ind w:left="452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6" w:tplc="0428EF3E">
      <w:start w:val="1"/>
      <w:numFmt w:val="bullet"/>
      <w:lvlText w:val="•"/>
      <w:lvlJc w:val="left"/>
      <w:pPr>
        <w:ind w:left="524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7" w:tplc="9C48FD64">
      <w:start w:val="1"/>
      <w:numFmt w:val="bullet"/>
      <w:lvlText w:val="o"/>
      <w:lvlJc w:val="left"/>
      <w:pPr>
        <w:ind w:left="596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8" w:tplc="AAF868F6">
      <w:start w:val="1"/>
      <w:numFmt w:val="bullet"/>
      <w:lvlText w:val="▪"/>
      <w:lvlJc w:val="left"/>
      <w:pPr>
        <w:ind w:left="668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abstractNum>
  <w:abstractNum w:abstractNumId="8" w15:restartNumberingAfterBreak="0">
    <w:nsid w:val="243D6EDF"/>
    <w:multiLevelType w:val="hybridMultilevel"/>
    <w:tmpl w:val="A45CDA62"/>
    <w:lvl w:ilvl="0" w:tplc="2E7C94D8">
      <w:start w:val="2"/>
      <w:numFmt w:val="bullet"/>
      <w:lvlText w:val="-"/>
      <w:lvlJc w:val="left"/>
      <w:pPr>
        <w:ind w:left="720" w:hanging="360"/>
      </w:pPr>
      <w:rPr>
        <w:rFonts w:ascii="Times New Roman" w:eastAsia="Verdana" w:hAnsi="Times New Roman" w:cs="Times New Roman"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25607E5F"/>
    <w:multiLevelType w:val="hybridMultilevel"/>
    <w:tmpl w:val="B8DA021A"/>
    <w:lvl w:ilvl="0" w:tplc="1B285016">
      <w:start w:val="1"/>
      <w:numFmt w:val="bullet"/>
      <w:lvlText w:val="-"/>
      <w:lvlJc w:val="left"/>
      <w:pPr>
        <w:ind w:left="927"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1" w:tplc="B0C068BC">
      <w:start w:val="1"/>
      <w:numFmt w:val="bullet"/>
      <w:lvlText w:val="o"/>
      <w:lvlJc w:val="left"/>
      <w:pPr>
        <w:ind w:left="164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2" w:tplc="855697F6">
      <w:start w:val="1"/>
      <w:numFmt w:val="bullet"/>
      <w:lvlText w:val="▪"/>
      <w:lvlJc w:val="left"/>
      <w:pPr>
        <w:ind w:left="236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3" w:tplc="31AE641E">
      <w:start w:val="1"/>
      <w:numFmt w:val="bullet"/>
      <w:lvlText w:val="•"/>
      <w:lvlJc w:val="left"/>
      <w:pPr>
        <w:ind w:left="308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4" w:tplc="42868866">
      <w:start w:val="1"/>
      <w:numFmt w:val="bullet"/>
      <w:lvlText w:val="o"/>
      <w:lvlJc w:val="left"/>
      <w:pPr>
        <w:ind w:left="380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5" w:tplc="310C1932">
      <w:start w:val="1"/>
      <w:numFmt w:val="bullet"/>
      <w:lvlText w:val="▪"/>
      <w:lvlJc w:val="left"/>
      <w:pPr>
        <w:ind w:left="452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6" w:tplc="F878D828">
      <w:start w:val="1"/>
      <w:numFmt w:val="bullet"/>
      <w:lvlText w:val="•"/>
      <w:lvlJc w:val="left"/>
      <w:pPr>
        <w:ind w:left="524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7" w:tplc="3834A1C6">
      <w:start w:val="1"/>
      <w:numFmt w:val="bullet"/>
      <w:lvlText w:val="o"/>
      <w:lvlJc w:val="left"/>
      <w:pPr>
        <w:ind w:left="596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8" w:tplc="D76E4298">
      <w:start w:val="1"/>
      <w:numFmt w:val="bullet"/>
      <w:lvlText w:val="▪"/>
      <w:lvlJc w:val="left"/>
      <w:pPr>
        <w:ind w:left="668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abstractNum>
  <w:abstractNum w:abstractNumId="10" w15:restartNumberingAfterBreak="0">
    <w:nsid w:val="35140243"/>
    <w:multiLevelType w:val="hybridMultilevel"/>
    <w:tmpl w:val="C394BDC8"/>
    <w:lvl w:ilvl="0" w:tplc="43AC985E">
      <w:start w:val="1"/>
      <w:numFmt w:val="bullet"/>
      <w:lvlText w:val="-"/>
      <w:lvlJc w:val="left"/>
      <w:pPr>
        <w:ind w:left="927"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1" w:tplc="BF1AFB4A">
      <w:start w:val="1"/>
      <w:numFmt w:val="bullet"/>
      <w:lvlText w:val="o"/>
      <w:lvlJc w:val="left"/>
      <w:pPr>
        <w:ind w:left="164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2" w:tplc="EFBCBED8">
      <w:start w:val="1"/>
      <w:numFmt w:val="bullet"/>
      <w:lvlText w:val="▪"/>
      <w:lvlJc w:val="left"/>
      <w:pPr>
        <w:ind w:left="236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3" w:tplc="116CDF58">
      <w:start w:val="1"/>
      <w:numFmt w:val="bullet"/>
      <w:lvlText w:val="•"/>
      <w:lvlJc w:val="left"/>
      <w:pPr>
        <w:ind w:left="308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4" w:tplc="CDDA9A56">
      <w:start w:val="1"/>
      <w:numFmt w:val="bullet"/>
      <w:lvlText w:val="o"/>
      <w:lvlJc w:val="left"/>
      <w:pPr>
        <w:ind w:left="380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5" w:tplc="84C62E12">
      <w:start w:val="1"/>
      <w:numFmt w:val="bullet"/>
      <w:lvlText w:val="▪"/>
      <w:lvlJc w:val="left"/>
      <w:pPr>
        <w:ind w:left="452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6" w:tplc="BA6C309E">
      <w:start w:val="1"/>
      <w:numFmt w:val="bullet"/>
      <w:lvlText w:val="•"/>
      <w:lvlJc w:val="left"/>
      <w:pPr>
        <w:ind w:left="524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7" w:tplc="6B46D23A">
      <w:start w:val="1"/>
      <w:numFmt w:val="bullet"/>
      <w:lvlText w:val="o"/>
      <w:lvlJc w:val="left"/>
      <w:pPr>
        <w:ind w:left="596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8" w:tplc="98D46BFA">
      <w:start w:val="1"/>
      <w:numFmt w:val="bullet"/>
      <w:lvlText w:val="▪"/>
      <w:lvlJc w:val="left"/>
      <w:pPr>
        <w:ind w:left="668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abstractNum>
  <w:abstractNum w:abstractNumId="11" w15:restartNumberingAfterBreak="0">
    <w:nsid w:val="44D263E2"/>
    <w:multiLevelType w:val="hybridMultilevel"/>
    <w:tmpl w:val="3ECC7F42"/>
    <w:lvl w:ilvl="0" w:tplc="9AC05DA0">
      <w:start w:val="1"/>
      <w:numFmt w:val="bullet"/>
      <w:lvlText w:val="-"/>
      <w:lvlJc w:val="left"/>
      <w:pPr>
        <w:ind w:left="927"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1" w:tplc="35CC50F6">
      <w:start w:val="1"/>
      <w:numFmt w:val="bullet"/>
      <w:lvlText w:val="o"/>
      <w:lvlJc w:val="left"/>
      <w:pPr>
        <w:ind w:left="164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2" w:tplc="4874E5D0">
      <w:start w:val="1"/>
      <w:numFmt w:val="bullet"/>
      <w:lvlText w:val="▪"/>
      <w:lvlJc w:val="left"/>
      <w:pPr>
        <w:ind w:left="236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3" w:tplc="1B48E0C0">
      <w:start w:val="1"/>
      <w:numFmt w:val="bullet"/>
      <w:lvlText w:val="•"/>
      <w:lvlJc w:val="left"/>
      <w:pPr>
        <w:ind w:left="308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4" w:tplc="C48CC52A">
      <w:start w:val="1"/>
      <w:numFmt w:val="bullet"/>
      <w:lvlText w:val="o"/>
      <w:lvlJc w:val="left"/>
      <w:pPr>
        <w:ind w:left="380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5" w:tplc="8646B5D6">
      <w:start w:val="1"/>
      <w:numFmt w:val="bullet"/>
      <w:lvlText w:val="▪"/>
      <w:lvlJc w:val="left"/>
      <w:pPr>
        <w:ind w:left="452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6" w:tplc="424A8894">
      <w:start w:val="1"/>
      <w:numFmt w:val="bullet"/>
      <w:lvlText w:val="•"/>
      <w:lvlJc w:val="left"/>
      <w:pPr>
        <w:ind w:left="524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7" w:tplc="2D323112">
      <w:start w:val="1"/>
      <w:numFmt w:val="bullet"/>
      <w:lvlText w:val="o"/>
      <w:lvlJc w:val="left"/>
      <w:pPr>
        <w:ind w:left="596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8" w:tplc="DAAA6B70">
      <w:start w:val="1"/>
      <w:numFmt w:val="bullet"/>
      <w:lvlText w:val="▪"/>
      <w:lvlJc w:val="left"/>
      <w:pPr>
        <w:ind w:left="668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abstractNum>
  <w:abstractNum w:abstractNumId="12" w15:restartNumberingAfterBreak="0">
    <w:nsid w:val="6A824EEC"/>
    <w:multiLevelType w:val="hybridMultilevel"/>
    <w:tmpl w:val="CCE89116"/>
    <w:lvl w:ilvl="0" w:tplc="62A49AFA">
      <w:start w:val="1"/>
      <w:numFmt w:val="bullet"/>
      <w:lvlText w:val="-"/>
      <w:lvlJc w:val="left"/>
      <w:pPr>
        <w:ind w:left="927"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1" w:tplc="CF00D74A">
      <w:start w:val="1"/>
      <w:numFmt w:val="bullet"/>
      <w:lvlText w:val="o"/>
      <w:lvlJc w:val="left"/>
      <w:pPr>
        <w:ind w:left="164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2" w:tplc="D9D2C5AC">
      <w:start w:val="1"/>
      <w:numFmt w:val="bullet"/>
      <w:lvlText w:val="▪"/>
      <w:lvlJc w:val="left"/>
      <w:pPr>
        <w:ind w:left="236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3" w:tplc="021EA0AA">
      <w:start w:val="1"/>
      <w:numFmt w:val="bullet"/>
      <w:lvlText w:val="•"/>
      <w:lvlJc w:val="left"/>
      <w:pPr>
        <w:ind w:left="308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4" w:tplc="205E27AC">
      <w:start w:val="1"/>
      <w:numFmt w:val="bullet"/>
      <w:lvlText w:val="o"/>
      <w:lvlJc w:val="left"/>
      <w:pPr>
        <w:ind w:left="380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5" w:tplc="3618C270">
      <w:start w:val="1"/>
      <w:numFmt w:val="bullet"/>
      <w:lvlText w:val="▪"/>
      <w:lvlJc w:val="left"/>
      <w:pPr>
        <w:ind w:left="452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6" w:tplc="BCF2312E">
      <w:start w:val="1"/>
      <w:numFmt w:val="bullet"/>
      <w:lvlText w:val="•"/>
      <w:lvlJc w:val="left"/>
      <w:pPr>
        <w:ind w:left="524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7" w:tplc="20E208B0">
      <w:start w:val="1"/>
      <w:numFmt w:val="bullet"/>
      <w:lvlText w:val="o"/>
      <w:lvlJc w:val="left"/>
      <w:pPr>
        <w:ind w:left="596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8" w:tplc="8CBA5AB2">
      <w:start w:val="1"/>
      <w:numFmt w:val="bullet"/>
      <w:lvlText w:val="▪"/>
      <w:lvlJc w:val="left"/>
      <w:pPr>
        <w:ind w:left="668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abstractNum>
  <w:abstractNum w:abstractNumId="13" w15:restartNumberingAfterBreak="0">
    <w:nsid w:val="6F101395"/>
    <w:multiLevelType w:val="hybridMultilevel"/>
    <w:tmpl w:val="F5F08654"/>
    <w:lvl w:ilvl="0" w:tplc="B0F66540">
      <w:start w:val="195"/>
      <w:numFmt w:val="decimal"/>
      <w:lvlText w:val="%1"/>
      <w:lvlJc w:val="left"/>
      <w:pPr>
        <w:ind w:left="0" w:firstLine="0"/>
      </w:pPr>
      <w:rPr>
        <w:rFonts w:ascii="Calibri" w:eastAsia="Calibri" w:hAnsi="Calibri" w:cs="Calibri"/>
        <w:b w:val="0"/>
        <w:i w:val="0"/>
        <w:strike w:val="0"/>
        <w:dstrike w:val="0"/>
        <w:color w:val="000000"/>
        <w:sz w:val="20"/>
        <w:szCs w:val="20"/>
        <w:u w:val="none" w:color="000000"/>
        <w:effect w:val="none"/>
        <w:bdr w:val="none" w:sz="0" w:space="0" w:color="auto" w:frame="1"/>
        <w:vertAlign w:val="superscript"/>
      </w:rPr>
    </w:lvl>
    <w:lvl w:ilvl="1" w:tplc="E8F6BDD4">
      <w:start w:val="1"/>
      <w:numFmt w:val="bullet"/>
      <w:lvlText w:val="-"/>
      <w:lvlJc w:val="left"/>
      <w:pPr>
        <w:ind w:left="927"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2" w:tplc="019055CE">
      <w:start w:val="1"/>
      <w:numFmt w:val="bullet"/>
      <w:lvlText w:val="▪"/>
      <w:lvlJc w:val="left"/>
      <w:pPr>
        <w:ind w:left="164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3" w:tplc="17A2262C">
      <w:start w:val="1"/>
      <w:numFmt w:val="bullet"/>
      <w:lvlText w:val="•"/>
      <w:lvlJc w:val="left"/>
      <w:pPr>
        <w:ind w:left="236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4" w:tplc="E3748498">
      <w:start w:val="1"/>
      <w:numFmt w:val="bullet"/>
      <w:lvlText w:val="o"/>
      <w:lvlJc w:val="left"/>
      <w:pPr>
        <w:ind w:left="308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5" w:tplc="43440CEE">
      <w:start w:val="1"/>
      <w:numFmt w:val="bullet"/>
      <w:lvlText w:val="▪"/>
      <w:lvlJc w:val="left"/>
      <w:pPr>
        <w:ind w:left="380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6" w:tplc="6BF88F0A">
      <w:start w:val="1"/>
      <w:numFmt w:val="bullet"/>
      <w:lvlText w:val="•"/>
      <w:lvlJc w:val="left"/>
      <w:pPr>
        <w:ind w:left="452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7" w:tplc="F3B046E0">
      <w:start w:val="1"/>
      <w:numFmt w:val="bullet"/>
      <w:lvlText w:val="o"/>
      <w:lvlJc w:val="left"/>
      <w:pPr>
        <w:ind w:left="524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8" w:tplc="4B2EA200">
      <w:start w:val="1"/>
      <w:numFmt w:val="bullet"/>
      <w:lvlText w:val="▪"/>
      <w:lvlJc w:val="left"/>
      <w:pPr>
        <w:ind w:left="5966"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abstractNum>
  <w:abstractNum w:abstractNumId="14" w15:restartNumberingAfterBreak="0">
    <w:nsid w:val="70E5457B"/>
    <w:multiLevelType w:val="hybridMultilevel"/>
    <w:tmpl w:val="5F4090D6"/>
    <w:lvl w:ilvl="0" w:tplc="0DEEAA22">
      <w:start w:val="1"/>
      <w:numFmt w:val="bullet"/>
      <w:lvlText w:val="-"/>
      <w:lvlJc w:val="left"/>
      <w:pPr>
        <w:ind w:left="927"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1" w:tplc="88F49D4A">
      <w:start w:val="1"/>
      <w:numFmt w:val="bullet"/>
      <w:lvlText w:val="o"/>
      <w:lvlJc w:val="left"/>
      <w:pPr>
        <w:ind w:left="1647"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2" w:tplc="990C0284">
      <w:start w:val="1"/>
      <w:numFmt w:val="bullet"/>
      <w:lvlText w:val="▪"/>
      <w:lvlJc w:val="left"/>
      <w:pPr>
        <w:ind w:left="2367"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3" w:tplc="DF3C9A0E">
      <w:start w:val="1"/>
      <w:numFmt w:val="bullet"/>
      <w:lvlText w:val="•"/>
      <w:lvlJc w:val="left"/>
      <w:pPr>
        <w:ind w:left="3087"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4" w:tplc="B5760C5C">
      <w:start w:val="1"/>
      <w:numFmt w:val="bullet"/>
      <w:lvlText w:val="o"/>
      <w:lvlJc w:val="left"/>
      <w:pPr>
        <w:ind w:left="3807"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5" w:tplc="9A845D76">
      <w:start w:val="1"/>
      <w:numFmt w:val="bullet"/>
      <w:lvlText w:val="▪"/>
      <w:lvlJc w:val="left"/>
      <w:pPr>
        <w:ind w:left="4527"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6" w:tplc="E3C6C76C">
      <w:start w:val="1"/>
      <w:numFmt w:val="bullet"/>
      <w:lvlText w:val="•"/>
      <w:lvlJc w:val="left"/>
      <w:pPr>
        <w:ind w:left="5247"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7" w:tplc="0C603680">
      <w:start w:val="1"/>
      <w:numFmt w:val="bullet"/>
      <w:lvlText w:val="o"/>
      <w:lvlJc w:val="left"/>
      <w:pPr>
        <w:ind w:left="5967"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8" w:tplc="376210DC">
      <w:start w:val="1"/>
      <w:numFmt w:val="bullet"/>
      <w:lvlText w:val="▪"/>
      <w:lvlJc w:val="left"/>
      <w:pPr>
        <w:ind w:left="6687"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abstractNum>
  <w:num w:numId="1" w16cid:durableId="1727605868">
    <w:abstractNumId w:val="8"/>
  </w:num>
  <w:num w:numId="2" w16cid:durableId="1169902667">
    <w:abstractNumId w:val="3"/>
  </w:num>
  <w:num w:numId="3" w16cid:durableId="490607559">
    <w:abstractNumId w:val="1"/>
  </w:num>
  <w:num w:numId="4" w16cid:durableId="2025592371">
    <w:abstractNumId w:val="0"/>
  </w:num>
  <w:num w:numId="5" w16cid:durableId="1190027770">
    <w:abstractNumId w:val="13"/>
    <w:lvlOverride w:ilvl="0">
      <w:startOverride w:val="195"/>
    </w:lvlOverride>
    <w:lvlOverride w:ilvl="1"/>
    <w:lvlOverride w:ilvl="2"/>
    <w:lvlOverride w:ilvl="3"/>
    <w:lvlOverride w:ilvl="4"/>
    <w:lvlOverride w:ilvl="5"/>
    <w:lvlOverride w:ilvl="6"/>
    <w:lvlOverride w:ilvl="7"/>
    <w:lvlOverride w:ilvl="8"/>
  </w:num>
  <w:num w:numId="6" w16cid:durableId="1707758593">
    <w:abstractNumId w:val="10"/>
  </w:num>
  <w:num w:numId="7" w16cid:durableId="1383363298">
    <w:abstractNumId w:val="12"/>
  </w:num>
  <w:num w:numId="8" w16cid:durableId="625740533">
    <w:abstractNumId w:val="14"/>
  </w:num>
  <w:num w:numId="9" w16cid:durableId="759060624">
    <w:abstractNumId w:val="7"/>
  </w:num>
  <w:num w:numId="10" w16cid:durableId="495268538">
    <w:abstractNumId w:val="5"/>
  </w:num>
  <w:num w:numId="11" w16cid:durableId="2142576089">
    <w:abstractNumId w:val="9"/>
  </w:num>
  <w:num w:numId="12" w16cid:durableId="1248971">
    <w:abstractNumId w:val="2"/>
  </w:num>
  <w:num w:numId="13" w16cid:durableId="1570729374">
    <w:abstractNumId w:val="11"/>
  </w:num>
  <w:num w:numId="14" w16cid:durableId="1310553958">
    <w:abstractNumId w:val="4"/>
  </w:num>
  <w:num w:numId="15" w16cid:durableId="171149484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4D78"/>
    <w:rsid w:val="00002BF3"/>
    <w:rsid w:val="000123E9"/>
    <w:rsid w:val="00030954"/>
    <w:rsid w:val="00030FF4"/>
    <w:rsid w:val="000317BF"/>
    <w:rsid w:val="0003365D"/>
    <w:rsid w:val="00036836"/>
    <w:rsid w:val="00036ABD"/>
    <w:rsid w:val="0004476E"/>
    <w:rsid w:val="000501E0"/>
    <w:rsid w:val="00054042"/>
    <w:rsid w:val="00057734"/>
    <w:rsid w:val="00062B15"/>
    <w:rsid w:val="000636CD"/>
    <w:rsid w:val="00066EAD"/>
    <w:rsid w:val="00071AB3"/>
    <w:rsid w:val="00071E9F"/>
    <w:rsid w:val="0008053D"/>
    <w:rsid w:val="00082962"/>
    <w:rsid w:val="00082E35"/>
    <w:rsid w:val="00084436"/>
    <w:rsid w:val="00085B6E"/>
    <w:rsid w:val="0008607B"/>
    <w:rsid w:val="000932C2"/>
    <w:rsid w:val="00093D5E"/>
    <w:rsid w:val="000B1820"/>
    <w:rsid w:val="000B3937"/>
    <w:rsid w:val="000B48EE"/>
    <w:rsid w:val="000C24AB"/>
    <w:rsid w:val="000D33A2"/>
    <w:rsid w:val="000E21E7"/>
    <w:rsid w:val="000E33DE"/>
    <w:rsid w:val="000E4561"/>
    <w:rsid w:val="000E794B"/>
    <w:rsid w:val="000F757F"/>
    <w:rsid w:val="000F7C87"/>
    <w:rsid w:val="00105FCF"/>
    <w:rsid w:val="00112B5E"/>
    <w:rsid w:val="00113F54"/>
    <w:rsid w:val="00115D25"/>
    <w:rsid w:val="00117CAE"/>
    <w:rsid w:val="00131BCB"/>
    <w:rsid w:val="00132C1F"/>
    <w:rsid w:val="0013720E"/>
    <w:rsid w:val="00137CBD"/>
    <w:rsid w:val="001413F4"/>
    <w:rsid w:val="001457F0"/>
    <w:rsid w:val="001475BA"/>
    <w:rsid w:val="00152B66"/>
    <w:rsid w:val="0015715F"/>
    <w:rsid w:val="00160530"/>
    <w:rsid w:val="001641A4"/>
    <w:rsid w:val="00165AD2"/>
    <w:rsid w:val="00171D4F"/>
    <w:rsid w:val="001722CD"/>
    <w:rsid w:val="0017448B"/>
    <w:rsid w:val="001760A1"/>
    <w:rsid w:val="001808EB"/>
    <w:rsid w:val="00185A8F"/>
    <w:rsid w:val="00193521"/>
    <w:rsid w:val="0019427C"/>
    <w:rsid w:val="001A3250"/>
    <w:rsid w:val="001A6D8A"/>
    <w:rsid w:val="001A7BFD"/>
    <w:rsid w:val="001B0377"/>
    <w:rsid w:val="001B2C38"/>
    <w:rsid w:val="001C1788"/>
    <w:rsid w:val="001C1C15"/>
    <w:rsid w:val="001C253E"/>
    <w:rsid w:val="001C6B87"/>
    <w:rsid w:val="001D4AA0"/>
    <w:rsid w:val="001E0553"/>
    <w:rsid w:val="001E2F42"/>
    <w:rsid w:val="001F07E2"/>
    <w:rsid w:val="001F0B18"/>
    <w:rsid w:val="001F646F"/>
    <w:rsid w:val="002013F9"/>
    <w:rsid w:val="00204632"/>
    <w:rsid w:val="0021275E"/>
    <w:rsid w:val="002239A0"/>
    <w:rsid w:val="002244F4"/>
    <w:rsid w:val="00224DFF"/>
    <w:rsid w:val="00232149"/>
    <w:rsid w:val="00233BB2"/>
    <w:rsid w:val="00234C42"/>
    <w:rsid w:val="0023644C"/>
    <w:rsid w:val="00237B1D"/>
    <w:rsid w:val="0024205B"/>
    <w:rsid w:val="002426E0"/>
    <w:rsid w:val="00244D78"/>
    <w:rsid w:val="00247A8A"/>
    <w:rsid w:val="002503F1"/>
    <w:rsid w:val="002509D0"/>
    <w:rsid w:val="00251D30"/>
    <w:rsid w:val="00256367"/>
    <w:rsid w:val="002637BE"/>
    <w:rsid w:val="002642FD"/>
    <w:rsid w:val="00266FB8"/>
    <w:rsid w:val="0027010E"/>
    <w:rsid w:val="002721FC"/>
    <w:rsid w:val="00276496"/>
    <w:rsid w:val="002771B6"/>
    <w:rsid w:val="00277CB9"/>
    <w:rsid w:val="00283FFB"/>
    <w:rsid w:val="0029049E"/>
    <w:rsid w:val="00294A59"/>
    <w:rsid w:val="002964B2"/>
    <w:rsid w:val="002A28F3"/>
    <w:rsid w:val="002A5518"/>
    <w:rsid w:val="002B04D3"/>
    <w:rsid w:val="002B1C05"/>
    <w:rsid w:val="002C6F2F"/>
    <w:rsid w:val="002D2C5E"/>
    <w:rsid w:val="002D684A"/>
    <w:rsid w:val="002E0607"/>
    <w:rsid w:val="002E6C6B"/>
    <w:rsid w:val="0031415F"/>
    <w:rsid w:val="00315C99"/>
    <w:rsid w:val="00317A63"/>
    <w:rsid w:val="0032105A"/>
    <w:rsid w:val="0032220D"/>
    <w:rsid w:val="003318AC"/>
    <w:rsid w:val="0033395E"/>
    <w:rsid w:val="00335895"/>
    <w:rsid w:val="00337AEF"/>
    <w:rsid w:val="00337B97"/>
    <w:rsid w:val="00342B8B"/>
    <w:rsid w:val="003479C0"/>
    <w:rsid w:val="003509D4"/>
    <w:rsid w:val="003521D4"/>
    <w:rsid w:val="003614AE"/>
    <w:rsid w:val="00362400"/>
    <w:rsid w:val="00364B22"/>
    <w:rsid w:val="0036508D"/>
    <w:rsid w:val="00370ECD"/>
    <w:rsid w:val="00375F5C"/>
    <w:rsid w:val="00376907"/>
    <w:rsid w:val="00380C53"/>
    <w:rsid w:val="00381900"/>
    <w:rsid w:val="00390534"/>
    <w:rsid w:val="00391D08"/>
    <w:rsid w:val="00393E62"/>
    <w:rsid w:val="00395CE1"/>
    <w:rsid w:val="00396601"/>
    <w:rsid w:val="003A0E8B"/>
    <w:rsid w:val="003A61AE"/>
    <w:rsid w:val="003A67CF"/>
    <w:rsid w:val="003B44B5"/>
    <w:rsid w:val="003B5188"/>
    <w:rsid w:val="003C6270"/>
    <w:rsid w:val="003C6B5B"/>
    <w:rsid w:val="003C6DFE"/>
    <w:rsid w:val="003C7893"/>
    <w:rsid w:val="003D0986"/>
    <w:rsid w:val="003D413D"/>
    <w:rsid w:val="003D7902"/>
    <w:rsid w:val="003E3D62"/>
    <w:rsid w:val="003E51F4"/>
    <w:rsid w:val="003F4FA1"/>
    <w:rsid w:val="00400CD0"/>
    <w:rsid w:val="00401E78"/>
    <w:rsid w:val="004064F7"/>
    <w:rsid w:val="00412F26"/>
    <w:rsid w:val="00420F2B"/>
    <w:rsid w:val="00427AF5"/>
    <w:rsid w:val="00433EC0"/>
    <w:rsid w:val="00434E36"/>
    <w:rsid w:val="00436728"/>
    <w:rsid w:val="00442319"/>
    <w:rsid w:val="004426FE"/>
    <w:rsid w:val="0044517B"/>
    <w:rsid w:val="00450326"/>
    <w:rsid w:val="004518B9"/>
    <w:rsid w:val="004550A4"/>
    <w:rsid w:val="00455CF8"/>
    <w:rsid w:val="00463BD5"/>
    <w:rsid w:val="00470C2C"/>
    <w:rsid w:val="00470C8A"/>
    <w:rsid w:val="00471AEC"/>
    <w:rsid w:val="0047460A"/>
    <w:rsid w:val="00485EB1"/>
    <w:rsid w:val="00491B39"/>
    <w:rsid w:val="00493F2F"/>
    <w:rsid w:val="0049485C"/>
    <w:rsid w:val="004A01A7"/>
    <w:rsid w:val="004A41B3"/>
    <w:rsid w:val="004A4FF3"/>
    <w:rsid w:val="004B1448"/>
    <w:rsid w:val="004B2AAB"/>
    <w:rsid w:val="004C0A12"/>
    <w:rsid w:val="004D30F7"/>
    <w:rsid w:val="004D5B4F"/>
    <w:rsid w:val="004D5FEE"/>
    <w:rsid w:val="004E1576"/>
    <w:rsid w:val="004E1D96"/>
    <w:rsid w:val="004E2990"/>
    <w:rsid w:val="004E4CD5"/>
    <w:rsid w:val="004E61A0"/>
    <w:rsid w:val="004F1490"/>
    <w:rsid w:val="004F2141"/>
    <w:rsid w:val="004F4080"/>
    <w:rsid w:val="004F493D"/>
    <w:rsid w:val="005107CA"/>
    <w:rsid w:val="0051080B"/>
    <w:rsid w:val="00510952"/>
    <w:rsid w:val="00510A0D"/>
    <w:rsid w:val="00517560"/>
    <w:rsid w:val="005247C6"/>
    <w:rsid w:val="00525331"/>
    <w:rsid w:val="00533C2F"/>
    <w:rsid w:val="00534291"/>
    <w:rsid w:val="005357FF"/>
    <w:rsid w:val="005370E3"/>
    <w:rsid w:val="005404E6"/>
    <w:rsid w:val="005411E9"/>
    <w:rsid w:val="00542E35"/>
    <w:rsid w:val="005431A7"/>
    <w:rsid w:val="00543DB9"/>
    <w:rsid w:val="00546143"/>
    <w:rsid w:val="00546F1F"/>
    <w:rsid w:val="0055131F"/>
    <w:rsid w:val="005527E9"/>
    <w:rsid w:val="0055644E"/>
    <w:rsid w:val="00557B2F"/>
    <w:rsid w:val="005621B3"/>
    <w:rsid w:val="005625E6"/>
    <w:rsid w:val="00571A42"/>
    <w:rsid w:val="00572245"/>
    <w:rsid w:val="005748E5"/>
    <w:rsid w:val="005828A3"/>
    <w:rsid w:val="00582EC1"/>
    <w:rsid w:val="00584D46"/>
    <w:rsid w:val="00586FDF"/>
    <w:rsid w:val="00590B9C"/>
    <w:rsid w:val="00592F76"/>
    <w:rsid w:val="005936F4"/>
    <w:rsid w:val="005939A6"/>
    <w:rsid w:val="005940D2"/>
    <w:rsid w:val="00595137"/>
    <w:rsid w:val="0059570E"/>
    <w:rsid w:val="005A4376"/>
    <w:rsid w:val="005B1C7D"/>
    <w:rsid w:val="005B2AD5"/>
    <w:rsid w:val="005D21D7"/>
    <w:rsid w:val="005E2FC6"/>
    <w:rsid w:val="005E5DEC"/>
    <w:rsid w:val="005E64A8"/>
    <w:rsid w:val="005E697F"/>
    <w:rsid w:val="005F21DB"/>
    <w:rsid w:val="005F4F56"/>
    <w:rsid w:val="005F56CF"/>
    <w:rsid w:val="006020FC"/>
    <w:rsid w:val="0060234F"/>
    <w:rsid w:val="00602946"/>
    <w:rsid w:val="00614408"/>
    <w:rsid w:val="00615771"/>
    <w:rsid w:val="00621DF3"/>
    <w:rsid w:val="0063025C"/>
    <w:rsid w:val="0063388B"/>
    <w:rsid w:val="0063665E"/>
    <w:rsid w:val="006400A1"/>
    <w:rsid w:val="006422BA"/>
    <w:rsid w:val="006579D7"/>
    <w:rsid w:val="006579E9"/>
    <w:rsid w:val="006609E7"/>
    <w:rsid w:val="00663B72"/>
    <w:rsid w:val="00663FF4"/>
    <w:rsid w:val="00675893"/>
    <w:rsid w:val="006770C2"/>
    <w:rsid w:val="00677AA9"/>
    <w:rsid w:val="00677CA0"/>
    <w:rsid w:val="006843FB"/>
    <w:rsid w:val="00694C50"/>
    <w:rsid w:val="00696071"/>
    <w:rsid w:val="006960AD"/>
    <w:rsid w:val="006969DE"/>
    <w:rsid w:val="006A1CDF"/>
    <w:rsid w:val="006A7B64"/>
    <w:rsid w:val="006B7560"/>
    <w:rsid w:val="006C0B22"/>
    <w:rsid w:val="006C0DA1"/>
    <w:rsid w:val="006C108B"/>
    <w:rsid w:val="006C1972"/>
    <w:rsid w:val="006C4CCA"/>
    <w:rsid w:val="006C65DF"/>
    <w:rsid w:val="006C6AAE"/>
    <w:rsid w:val="006C6F4F"/>
    <w:rsid w:val="006D254B"/>
    <w:rsid w:val="006D3D51"/>
    <w:rsid w:val="006E3FE1"/>
    <w:rsid w:val="006E4E64"/>
    <w:rsid w:val="0070068E"/>
    <w:rsid w:val="007047B8"/>
    <w:rsid w:val="0070518B"/>
    <w:rsid w:val="0070738B"/>
    <w:rsid w:val="0071121C"/>
    <w:rsid w:val="00712397"/>
    <w:rsid w:val="00712EE3"/>
    <w:rsid w:val="00713012"/>
    <w:rsid w:val="00717AEA"/>
    <w:rsid w:val="00737116"/>
    <w:rsid w:val="00740D54"/>
    <w:rsid w:val="00742036"/>
    <w:rsid w:val="00744E06"/>
    <w:rsid w:val="00745A1B"/>
    <w:rsid w:val="0074708D"/>
    <w:rsid w:val="007470BB"/>
    <w:rsid w:val="00750A9B"/>
    <w:rsid w:val="0075104E"/>
    <w:rsid w:val="007518E8"/>
    <w:rsid w:val="00755856"/>
    <w:rsid w:val="00755EBA"/>
    <w:rsid w:val="00760BD6"/>
    <w:rsid w:val="00760CB1"/>
    <w:rsid w:val="007722F2"/>
    <w:rsid w:val="00780CFA"/>
    <w:rsid w:val="00786F91"/>
    <w:rsid w:val="00793583"/>
    <w:rsid w:val="00795457"/>
    <w:rsid w:val="007A1752"/>
    <w:rsid w:val="007A1FF7"/>
    <w:rsid w:val="007A2A99"/>
    <w:rsid w:val="007A39E2"/>
    <w:rsid w:val="007A79EB"/>
    <w:rsid w:val="007B3C55"/>
    <w:rsid w:val="007C0A63"/>
    <w:rsid w:val="007C2CC2"/>
    <w:rsid w:val="007C72A8"/>
    <w:rsid w:val="007D36DA"/>
    <w:rsid w:val="007E35F4"/>
    <w:rsid w:val="007F6157"/>
    <w:rsid w:val="00800F2D"/>
    <w:rsid w:val="008015FC"/>
    <w:rsid w:val="008057E3"/>
    <w:rsid w:val="00810559"/>
    <w:rsid w:val="00814320"/>
    <w:rsid w:val="00815FFC"/>
    <w:rsid w:val="00827DD4"/>
    <w:rsid w:val="008355B4"/>
    <w:rsid w:val="00843B71"/>
    <w:rsid w:val="00845FCC"/>
    <w:rsid w:val="00851C1F"/>
    <w:rsid w:val="0085273C"/>
    <w:rsid w:val="00855B96"/>
    <w:rsid w:val="00857E64"/>
    <w:rsid w:val="00862A37"/>
    <w:rsid w:val="0086450D"/>
    <w:rsid w:val="00870A3B"/>
    <w:rsid w:val="00873EF0"/>
    <w:rsid w:val="0087409A"/>
    <w:rsid w:val="008740A1"/>
    <w:rsid w:val="00881066"/>
    <w:rsid w:val="00881288"/>
    <w:rsid w:val="00883ED6"/>
    <w:rsid w:val="00885B6C"/>
    <w:rsid w:val="00885B92"/>
    <w:rsid w:val="008959AB"/>
    <w:rsid w:val="00897B16"/>
    <w:rsid w:val="008A1C1F"/>
    <w:rsid w:val="008B24D8"/>
    <w:rsid w:val="008B3B76"/>
    <w:rsid w:val="008B6845"/>
    <w:rsid w:val="008D54BA"/>
    <w:rsid w:val="008E2424"/>
    <w:rsid w:val="0090015D"/>
    <w:rsid w:val="009047C6"/>
    <w:rsid w:val="0090520A"/>
    <w:rsid w:val="00905AB1"/>
    <w:rsid w:val="0091493F"/>
    <w:rsid w:val="00915D6D"/>
    <w:rsid w:val="00916535"/>
    <w:rsid w:val="00922A46"/>
    <w:rsid w:val="00924A00"/>
    <w:rsid w:val="00935CCA"/>
    <w:rsid w:val="00940026"/>
    <w:rsid w:val="00940987"/>
    <w:rsid w:val="009409BB"/>
    <w:rsid w:val="00944560"/>
    <w:rsid w:val="009465F4"/>
    <w:rsid w:val="00961CC8"/>
    <w:rsid w:val="00963D56"/>
    <w:rsid w:val="009665E2"/>
    <w:rsid w:val="0096793F"/>
    <w:rsid w:val="009770EF"/>
    <w:rsid w:val="009777B7"/>
    <w:rsid w:val="00985650"/>
    <w:rsid w:val="009866F9"/>
    <w:rsid w:val="009873BB"/>
    <w:rsid w:val="00990426"/>
    <w:rsid w:val="009904A7"/>
    <w:rsid w:val="00992B12"/>
    <w:rsid w:val="00994F28"/>
    <w:rsid w:val="00996245"/>
    <w:rsid w:val="00997EF4"/>
    <w:rsid w:val="009A7F89"/>
    <w:rsid w:val="009B0594"/>
    <w:rsid w:val="009B2DAD"/>
    <w:rsid w:val="009C382F"/>
    <w:rsid w:val="009D2680"/>
    <w:rsid w:val="009D71F5"/>
    <w:rsid w:val="009E4E0C"/>
    <w:rsid w:val="009F3C4D"/>
    <w:rsid w:val="009F7502"/>
    <w:rsid w:val="00A02772"/>
    <w:rsid w:val="00A05B17"/>
    <w:rsid w:val="00A06D82"/>
    <w:rsid w:val="00A2402A"/>
    <w:rsid w:val="00A25115"/>
    <w:rsid w:val="00A270FF"/>
    <w:rsid w:val="00A322C9"/>
    <w:rsid w:val="00A44194"/>
    <w:rsid w:val="00A45B04"/>
    <w:rsid w:val="00A47806"/>
    <w:rsid w:val="00A5533C"/>
    <w:rsid w:val="00A57681"/>
    <w:rsid w:val="00A6547D"/>
    <w:rsid w:val="00A7240F"/>
    <w:rsid w:val="00A7414D"/>
    <w:rsid w:val="00A8011B"/>
    <w:rsid w:val="00A855F8"/>
    <w:rsid w:val="00A922EA"/>
    <w:rsid w:val="00A924BB"/>
    <w:rsid w:val="00AA7116"/>
    <w:rsid w:val="00AB00E4"/>
    <w:rsid w:val="00AB04AD"/>
    <w:rsid w:val="00AB16A2"/>
    <w:rsid w:val="00AB2D5E"/>
    <w:rsid w:val="00AB37CF"/>
    <w:rsid w:val="00AB505E"/>
    <w:rsid w:val="00AC5949"/>
    <w:rsid w:val="00AC5F77"/>
    <w:rsid w:val="00AD7F17"/>
    <w:rsid w:val="00AE104D"/>
    <w:rsid w:val="00AF2389"/>
    <w:rsid w:val="00AF34AB"/>
    <w:rsid w:val="00B01D4A"/>
    <w:rsid w:val="00B040E5"/>
    <w:rsid w:val="00B17B9E"/>
    <w:rsid w:val="00B21358"/>
    <w:rsid w:val="00B22809"/>
    <w:rsid w:val="00B24AED"/>
    <w:rsid w:val="00B254CB"/>
    <w:rsid w:val="00B26156"/>
    <w:rsid w:val="00B301EC"/>
    <w:rsid w:val="00B311DF"/>
    <w:rsid w:val="00B3135C"/>
    <w:rsid w:val="00B4324F"/>
    <w:rsid w:val="00B46127"/>
    <w:rsid w:val="00B46329"/>
    <w:rsid w:val="00B50406"/>
    <w:rsid w:val="00B547FE"/>
    <w:rsid w:val="00B60E80"/>
    <w:rsid w:val="00B65812"/>
    <w:rsid w:val="00B66BA6"/>
    <w:rsid w:val="00B702E2"/>
    <w:rsid w:val="00B717B8"/>
    <w:rsid w:val="00B818E9"/>
    <w:rsid w:val="00B85E17"/>
    <w:rsid w:val="00B90165"/>
    <w:rsid w:val="00B91977"/>
    <w:rsid w:val="00BB0463"/>
    <w:rsid w:val="00BB1A70"/>
    <w:rsid w:val="00BB4185"/>
    <w:rsid w:val="00BC0788"/>
    <w:rsid w:val="00BC7DEC"/>
    <w:rsid w:val="00BD3803"/>
    <w:rsid w:val="00BE313E"/>
    <w:rsid w:val="00BE51CC"/>
    <w:rsid w:val="00BE5C61"/>
    <w:rsid w:val="00BE723F"/>
    <w:rsid w:val="00BF2694"/>
    <w:rsid w:val="00BF3230"/>
    <w:rsid w:val="00BF3B4F"/>
    <w:rsid w:val="00BF6307"/>
    <w:rsid w:val="00C00FA1"/>
    <w:rsid w:val="00C04C24"/>
    <w:rsid w:val="00C05C66"/>
    <w:rsid w:val="00C063FA"/>
    <w:rsid w:val="00C102C6"/>
    <w:rsid w:val="00C11A0F"/>
    <w:rsid w:val="00C1256A"/>
    <w:rsid w:val="00C1491A"/>
    <w:rsid w:val="00C16FCB"/>
    <w:rsid w:val="00C17293"/>
    <w:rsid w:val="00C2271C"/>
    <w:rsid w:val="00C24A8F"/>
    <w:rsid w:val="00C25C0F"/>
    <w:rsid w:val="00C27721"/>
    <w:rsid w:val="00C305A9"/>
    <w:rsid w:val="00C316D1"/>
    <w:rsid w:val="00C47AA2"/>
    <w:rsid w:val="00C53715"/>
    <w:rsid w:val="00C62E66"/>
    <w:rsid w:val="00C64655"/>
    <w:rsid w:val="00C65F76"/>
    <w:rsid w:val="00C7030F"/>
    <w:rsid w:val="00C73C8E"/>
    <w:rsid w:val="00C755CB"/>
    <w:rsid w:val="00C775A2"/>
    <w:rsid w:val="00C77F71"/>
    <w:rsid w:val="00C82D5F"/>
    <w:rsid w:val="00C83DA3"/>
    <w:rsid w:val="00C87D62"/>
    <w:rsid w:val="00C96348"/>
    <w:rsid w:val="00CA297E"/>
    <w:rsid w:val="00CA3663"/>
    <w:rsid w:val="00CA6645"/>
    <w:rsid w:val="00CC1396"/>
    <w:rsid w:val="00CD5CF0"/>
    <w:rsid w:val="00CD604A"/>
    <w:rsid w:val="00CE2DB7"/>
    <w:rsid w:val="00CE4C84"/>
    <w:rsid w:val="00CF6577"/>
    <w:rsid w:val="00D00AE1"/>
    <w:rsid w:val="00D0104B"/>
    <w:rsid w:val="00D04131"/>
    <w:rsid w:val="00D15EC1"/>
    <w:rsid w:val="00D163BC"/>
    <w:rsid w:val="00D235A9"/>
    <w:rsid w:val="00D3022A"/>
    <w:rsid w:val="00D34F55"/>
    <w:rsid w:val="00D4075A"/>
    <w:rsid w:val="00D44CA2"/>
    <w:rsid w:val="00D5598C"/>
    <w:rsid w:val="00D64626"/>
    <w:rsid w:val="00D704BA"/>
    <w:rsid w:val="00D72106"/>
    <w:rsid w:val="00D825BB"/>
    <w:rsid w:val="00D856F5"/>
    <w:rsid w:val="00D87803"/>
    <w:rsid w:val="00D91827"/>
    <w:rsid w:val="00D9356B"/>
    <w:rsid w:val="00DA1134"/>
    <w:rsid w:val="00DA1CA5"/>
    <w:rsid w:val="00DA3DF0"/>
    <w:rsid w:val="00DA58C9"/>
    <w:rsid w:val="00DA5E8B"/>
    <w:rsid w:val="00DA717B"/>
    <w:rsid w:val="00DA75C7"/>
    <w:rsid w:val="00DA7D6D"/>
    <w:rsid w:val="00DB5ECF"/>
    <w:rsid w:val="00DB5EEA"/>
    <w:rsid w:val="00DC0563"/>
    <w:rsid w:val="00DC7F82"/>
    <w:rsid w:val="00DE178A"/>
    <w:rsid w:val="00DE50C1"/>
    <w:rsid w:val="00DE5155"/>
    <w:rsid w:val="00DE6CCE"/>
    <w:rsid w:val="00DF11A6"/>
    <w:rsid w:val="00DF5078"/>
    <w:rsid w:val="00DF7C6A"/>
    <w:rsid w:val="00E008D7"/>
    <w:rsid w:val="00E0176B"/>
    <w:rsid w:val="00E12D22"/>
    <w:rsid w:val="00E268F5"/>
    <w:rsid w:val="00E30D2A"/>
    <w:rsid w:val="00E31E11"/>
    <w:rsid w:val="00E3240A"/>
    <w:rsid w:val="00E3751B"/>
    <w:rsid w:val="00E37764"/>
    <w:rsid w:val="00E41AFC"/>
    <w:rsid w:val="00E41F53"/>
    <w:rsid w:val="00E4424F"/>
    <w:rsid w:val="00E5502E"/>
    <w:rsid w:val="00E60624"/>
    <w:rsid w:val="00E60CE5"/>
    <w:rsid w:val="00E61919"/>
    <w:rsid w:val="00E61A94"/>
    <w:rsid w:val="00E66AF3"/>
    <w:rsid w:val="00E674EF"/>
    <w:rsid w:val="00E7539B"/>
    <w:rsid w:val="00E84EF9"/>
    <w:rsid w:val="00E9201D"/>
    <w:rsid w:val="00EA4D0C"/>
    <w:rsid w:val="00EA5D05"/>
    <w:rsid w:val="00EA735C"/>
    <w:rsid w:val="00EB2A60"/>
    <w:rsid w:val="00EB2AB4"/>
    <w:rsid w:val="00EB72D8"/>
    <w:rsid w:val="00EC002A"/>
    <w:rsid w:val="00EC15B1"/>
    <w:rsid w:val="00EC6C54"/>
    <w:rsid w:val="00ED1FA2"/>
    <w:rsid w:val="00ED219E"/>
    <w:rsid w:val="00ED28B4"/>
    <w:rsid w:val="00ED7088"/>
    <w:rsid w:val="00ED7AD6"/>
    <w:rsid w:val="00EF28A4"/>
    <w:rsid w:val="00EF47C1"/>
    <w:rsid w:val="00EF6ECE"/>
    <w:rsid w:val="00F0096D"/>
    <w:rsid w:val="00F1354F"/>
    <w:rsid w:val="00F142E1"/>
    <w:rsid w:val="00F14BF1"/>
    <w:rsid w:val="00F2796B"/>
    <w:rsid w:val="00F316AA"/>
    <w:rsid w:val="00F31A3D"/>
    <w:rsid w:val="00F3358B"/>
    <w:rsid w:val="00F35506"/>
    <w:rsid w:val="00F36FFD"/>
    <w:rsid w:val="00F37EE7"/>
    <w:rsid w:val="00F418EE"/>
    <w:rsid w:val="00F53266"/>
    <w:rsid w:val="00F603A0"/>
    <w:rsid w:val="00F60594"/>
    <w:rsid w:val="00F67816"/>
    <w:rsid w:val="00F72142"/>
    <w:rsid w:val="00F739C7"/>
    <w:rsid w:val="00F739E4"/>
    <w:rsid w:val="00F800CE"/>
    <w:rsid w:val="00F80A65"/>
    <w:rsid w:val="00F8664D"/>
    <w:rsid w:val="00F924C8"/>
    <w:rsid w:val="00F92C27"/>
    <w:rsid w:val="00F933FF"/>
    <w:rsid w:val="00FA16B6"/>
    <w:rsid w:val="00FA4943"/>
    <w:rsid w:val="00FB4B21"/>
    <w:rsid w:val="00FB578C"/>
    <w:rsid w:val="00FB5ACA"/>
    <w:rsid w:val="00FB5BCE"/>
    <w:rsid w:val="00FB6376"/>
    <w:rsid w:val="00FC49E6"/>
    <w:rsid w:val="00FC72FC"/>
    <w:rsid w:val="00FD4DB5"/>
    <w:rsid w:val="00FD6EC4"/>
    <w:rsid w:val="00FE1510"/>
    <w:rsid w:val="00FF2AD3"/>
    <w:rsid w:val="00FF66F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1BD66A"/>
  <w15:chartTrackingRefBased/>
  <w15:docId w15:val="{7609B0E6-FFA0-469E-9916-EBF76459CC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fr-FR" w:eastAsia="en-US"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44D78"/>
    <w:pPr>
      <w:spacing w:line="360" w:lineRule="auto"/>
    </w:pPr>
    <w:rPr>
      <w:rFonts w:ascii="Times New Roman" w:hAnsi="Times New Roman"/>
      <w:sz w:val="24"/>
    </w:rPr>
  </w:style>
  <w:style w:type="paragraph" w:styleId="Titre1">
    <w:name w:val="heading 1"/>
    <w:basedOn w:val="Normal"/>
    <w:next w:val="Normal"/>
    <w:link w:val="Titre1Car"/>
    <w:uiPriority w:val="9"/>
    <w:qFormat/>
    <w:rsid w:val="009873BB"/>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Titre2">
    <w:name w:val="heading 2"/>
    <w:basedOn w:val="Normal"/>
    <w:next w:val="Normal"/>
    <w:link w:val="Titre2Car"/>
    <w:uiPriority w:val="9"/>
    <w:unhideWhenUsed/>
    <w:qFormat/>
    <w:rsid w:val="008B24D8"/>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Titre3">
    <w:name w:val="heading 3"/>
    <w:basedOn w:val="Normal"/>
    <w:next w:val="Normal"/>
    <w:link w:val="Titre3Car"/>
    <w:unhideWhenUsed/>
    <w:qFormat/>
    <w:rsid w:val="00244D78"/>
    <w:pPr>
      <w:keepNext/>
      <w:keepLines/>
      <w:spacing w:before="40"/>
      <w:outlineLvl w:val="2"/>
    </w:pPr>
    <w:rPr>
      <w:rFonts w:eastAsiaTheme="majorEastAsia" w:cstheme="majorBidi"/>
      <w:color w:val="1F3763" w:themeColor="accent1" w:themeShade="7F"/>
      <w:szCs w:val="24"/>
    </w:rPr>
  </w:style>
  <w:style w:type="paragraph" w:styleId="Titre4">
    <w:name w:val="heading 4"/>
    <w:basedOn w:val="Normal"/>
    <w:next w:val="Normal"/>
    <w:link w:val="Titre4Car"/>
    <w:unhideWhenUsed/>
    <w:qFormat/>
    <w:rsid w:val="00244D78"/>
    <w:pPr>
      <w:keepNext/>
      <w:keepLines/>
      <w:spacing w:before="40"/>
      <w:outlineLvl w:val="3"/>
    </w:pPr>
    <w:rPr>
      <w:rFonts w:asciiTheme="majorHAnsi" w:eastAsiaTheme="majorEastAsia" w:hAnsiTheme="majorHAnsi" w:cstheme="majorBidi"/>
      <w:i/>
      <w:iCs/>
      <w:color w:val="2F5496" w:themeColor="accent1" w:themeShade="BF"/>
    </w:rPr>
  </w:style>
  <w:style w:type="paragraph" w:styleId="Titre5">
    <w:name w:val="heading 5"/>
    <w:basedOn w:val="Normal"/>
    <w:next w:val="Normal"/>
    <w:link w:val="Titre5Car"/>
    <w:unhideWhenUsed/>
    <w:qFormat/>
    <w:rsid w:val="00244D78"/>
    <w:pPr>
      <w:keepNext/>
      <w:keepLines/>
      <w:spacing w:before="40"/>
      <w:outlineLvl w:val="4"/>
    </w:pPr>
    <w:rPr>
      <w:rFonts w:asciiTheme="majorHAnsi" w:eastAsiaTheme="majorEastAsia" w:hAnsiTheme="majorHAnsi" w:cstheme="majorBidi"/>
      <w:color w:val="2F5496" w:themeColor="accent1" w:themeShade="BF"/>
    </w:rPr>
  </w:style>
  <w:style w:type="paragraph" w:styleId="Titre6">
    <w:name w:val="heading 6"/>
    <w:basedOn w:val="Normal"/>
    <w:next w:val="Normal"/>
    <w:link w:val="Titre6Car"/>
    <w:uiPriority w:val="9"/>
    <w:semiHidden/>
    <w:unhideWhenUsed/>
    <w:qFormat/>
    <w:rsid w:val="00881066"/>
    <w:pPr>
      <w:keepNext/>
      <w:keepLines/>
      <w:spacing w:before="40"/>
      <w:outlineLvl w:val="5"/>
    </w:pPr>
    <w:rPr>
      <w:rFonts w:asciiTheme="majorHAnsi" w:eastAsiaTheme="majorEastAsia" w:hAnsiTheme="majorHAnsi" w:cstheme="majorBidi"/>
      <w:color w:val="1F3763" w:themeColor="accent1" w:themeShade="7F"/>
    </w:rPr>
  </w:style>
  <w:style w:type="paragraph" w:styleId="Titre7">
    <w:name w:val="heading 7"/>
    <w:basedOn w:val="Normal"/>
    <w:next w:val="Normal"/>
    <w:link w:val="Titre7Car"/>
    <w:uiPriority w:val="9"/>
    <w:unhideWhenUsed/>
    <w:qFormat/>
    <w:rsid w:val="00881066"/>
    <w:pPr>
      <w:keepNext/>
      <w:keepLines/>
      <w:spacing w:before="40"/>
      <w:outlineLvl w:val="6"/>
    </w:pPr>
    <w:rPr>
      <w:rFonts w:asciiTheme="majorHAnsi" w:eastAsiaTheme="majorEastAsia" w:hAnsiTheme="majorHAnsi" w:cstheme="majorBidi"/>
      <w:i/>
      <w:iCs/>
      <w:color w:val="1F3763" w:themeColor="accent1" w:themeShade="7F"/>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3Car">
    <w:name w:val="Titre 3 Car"/>
    <w:basedOn w:val="Policepardfaut"/>
    <w:link w:val="Titre3"/>
    <w:rsid w:val="00244D78"/>
    <w:rPr>
      <w:rFonts w:ascii="Times New Roman" w:eastAsiaTheme="majorEastAsia" w:hAnsi="Times New Roman" w:cstheme="majorBidi"/>
      <w:color w:val="1F3763" w:themeColor="accent1" w:themeShade="7F"/>
      <w:sz w:val="24"/>
      <w:szCs w:val="24"/>
    </w:rPr>
  </w:style>
  <w:style w:type="character" w:customStyle="1" w:styleId="Titre4Car">
    <w:name w:val="Titre 4 Car"/>
    <w:basedOn w:val="Policepardfaut"/>
    <w:link w:val="Titre4"/>
    <w:rsid w:val="00244D78"/>
    <w:rPr>
      <w:rFonts w:asciiTheme="majorHAnsi" w:eastAsiaTheme="majorEastAsia" w:hAnsiTheme="majorHAnsi" w:cstheme="majorBidi"/>
      <w:i/>
      <w:iCs/>
      <w:color w:val="2F5496" w:themeColor="accent1" w:themeShade="BF"/>
      <w:sz w:val="24"/>
    </w:rPr>
  </w:style>
  <w:style w:type="character" w:customStyle="1" w:styleId="Titre5Car">
    <w:name w:val="Titre 5 Car"/>
    <w:basedOn w:val="Policepardfaut"/>
    <w:link w:val="Titre5"/>
    <w:rsid w:val="00244D78"/>
    <w:rPr>
      <w:rFonts w:asciiTheme="majorHAnsi" w:eastAsiaTheme="majorEastAsia" w:hAnsiTheme="majorHAnsi" w:cstheme="majorBidi"/>
      <w:color w:val="2F5496" w:themeColor="accent1" w:themeShade="BF"/>
      <w:sz w:val="24"/>
    </w:rPr>
  </w:style>
  <w:style w:type="paragraph" w:styleId="Notedebasdepage">
    <w:name w:val="footnote text"/>
    <w:basedOn w:val="Normal"/>
    <w:link w:val="NotedebasdepageCar"/>
    <w:uiPriority w:val="99"/>
    <w:unhideWhenUsed/>
    <w:rsid w:val="00244D78"/>
    <w:rPr>
      <w:sz w:val="20"/>
      <w:szCs w:val="20"/>
    </w:rPr>
  </w:style>
  <w:style w:type="character" w:customStyle="1" w:styleId="NotedebasdepageCar">
    <w:name w:val="Note de bas de page Car"/>
    <w:basedOn w:val="Policepardfaut"/>
    <w:link w:val="Notedebasdepage"/>
    <w:uiPriority w:val="99"/>
    <w:qFormat/>
    <w:rsid w:val="00244D78"/>
    <w:rPr>
      <w:rFonts w:ascii="Times New Roman" w:hAnsi="Times New Roman"/>
      <w:sz w:val="20"/>
      <w:szCs w:val="20"/>
    </w:rPr>
  </w:style>
  <w:style w:type="character" w:styleId="Appelnotedebasdep">
    <w:name w:val="footnote reference"/>
    <w:basedOn w:val="Policepardfaut"/>
    <w:uiPriority w:val="99"/>
    <w:unhideWhenUsed/>
    <w:rsid w:val="00244D78"/>
    <w:rPr>
      <w:vertAlign w:val="superscript"/>
    </w:rPr>
  </w:style>
  <w:style w:type="paragraph" w:customStyle="1" w:styleId="CORPUSany">
    <w:name w:val="CORPUS_any"/>
    <w:basedOn w:val="Normal"/>
    <w:rsid w:val="00244D78"/>
    <w:pPr>
      <w:spacing w:line="240" w:lineRule="auto"/>
    </w:pPr>
    <w:rPr>
      <w:rFonts w:ascii="Verdana" w:eastAsia="Verdana" w:hAnsi="Verdana" w:cs="Verdana"/>
      <w:color w:val="1B1B1B"/>
      <w:szCs w:val="24"/>
      <w:lang w:eastAsia="fr-FR"/>
    </w:rPr>
  </w:style>
  <w:style w:type="character" w:customStyle="1" w:styleId="CORPUSanyCharacter">
    <w:name w:val="CORPUS_any Character"/>
    <w:basedOn w:val="Policepardfaut"/>
    <w:rsid w:val="00244D78"/>
    <w:rPr>
      <w:rFonts w:ascii="Verdana" w:eastAsia="Verdana" w:hAnsi="Verdana" w:cs="Verdana" w:hint="default"/>
      <w:color w:val="1B1B1B"/>
    </w:rPr>
  </w:style>
  <w:style w:type="character" w:customStyle="1" w:styleId="TITRETIT-INTT">
    <w:name w:val="TITRE &gt; TIT-INTT"/>
    <w:basedOn w:val="Policepardfaut"/>
    <w:rsid w:val="00244D78"/>
    <w:rPr>
      <w:b/>
      <w:bCs/>
    </w:rPr>
  </w:style>
  <w:style w:type="character" w:customStyle="1" w:styleId="NIV5TITRETIT-NUM">
    <w:name w:val="NIV5 &gt; TITRE &gt; TIT-NUM"/>
    <w:basedOn w:val="Policepardfaut"/>
    <w:rsid w:val="00244D78"/>
    <w:rPr>
      <w:sz w:val="24"/>
      <w:szCs w:val="24"/>
    </w:rPr>
  </w:style>
  <w:style w:type="character" w:customStyle="1" w:styleId="NIV5TITRETIT-INTT">
    <w:name w:val="NIV5 &gt; TITRE &gt; TIT-INTT"/>
    <w:basedOn w:val="Policepardfaut"/>
    <w:rsid w:val="00244D78"/>
    <w:rPr>
      <w:sz w:val="24"/>
      <w:szCs w:val="24"/>
    </w:rPr>
  </w:style>
  <w:style w:type="character" w:styleId="Lienhypertexte">
    <w:name w:val="Hyperlink"/>
    <w:basedOn w:val="Policepardfaut"/>
    <w:uiPriority w:val="99"/>
    <w:unhideWhenUsed/>
    <w:rsid w:val="00244D78"/>
    <w:rPr>
      <w:color w:val="0563C1" w:themeColor="hyperlink"/>
      <w:u w:val="single"/>
    </w:rPr>
  </w:style>
  <w:style w:type="paragraph" w:styleId="Paragraphedeliste">
    <w:name w:val="List Paragraph"/>
    <w:basedOn w:val="Normal"/>
    <w:uiPriority w:val="34"/>
    <w:qFormat/>
    <w:rsid w:val="005625E6"/>
    <w:pPr>
      <w:ind w:left="720"/>
      <w:contextualSpacing/>
    </w:pPr>
  </w:style>
  <w:style w:type="character" w:styleId="Mentionnonrsolue">
    <w:name w:val="Unresolved Mention"/>
    <w:basedOn w:val="Policepardfaut"/>
    <w:uiPriority w:val="99"/>
    <w:semiHidden/>
    <w:unhideWhenUsed/>
    <w:rsid w:val="001A7BFD"/>
    <w:rPr>
      <w:color w:val="605E5C"/>
      <w:shd w:val="clear" w:color="auto" w:fill="E1DFDD"/>
    </w:rPr>
  </w:style>
  <w:style w:type="character" w:customStyle="1" w:styleId="Titre6Car">
    <w:name w:val="Titre 6 Car"/>
    <w:basedOn w:val="Policepardfaut"/>
    <w:link w:val="Titre6"/>
    <w:uiPriority w:val="9"/>
    <w:semiHidden/>
    <w:rsid w:val="00881066"/>
    <w:rPr>
      <w:rFonts w:asciiTheme="majorHAnsi" w:eastAsiaTheme="majorEastAsia" w:hAnsiTheme="majorHAnsi" w:cstheme="majorBidi"/>
      <w:color w:val="1F3763" w:themeColor="accent1" w:themeShade="7F"/>
      <w:sz w:val="24"/>
    </w:rPr>
  </w:style>
  <w:style w:type="character" w:customStyle="1" w:styleId="Titre7Car">
    <w:name w:val="Titre 7 Car"/>
    <w:basedOn w:val="Policepardfaut"/>
    <w:link w:val="Titre7"/>
    <w:uiPriority w:val="9"/>
    <w:rsid w:val="00881066"/>
    <w:rPr>
      <w:rFonts w:asciiTheme="majorHAnsi" w:eastAsiaTheme="majorEastAsia" w:hAnsiTheme="majorHAnsi" w:cstheme="majorBidi"/>
      <w:i/>
      <w:iCs/>
      <w:color w:val="1F3763" w:themeColor="accent1" w:themeShade="7F"/>
      <w:sz w:val="24"/>
    </w:rPr>
  </w:style>
  <w:style w:type="character" w:customStyle="1" w:styleId="footnotedescriptionChar">
    <w:name w:val="footnote description Char"/>
    <w:link w:val="footnotedescription"/>
    <w:locked/>
    <w:rsid w:val="00881066"/>
    <w:rPr>
      <w:rFonts w:ascii="Calibri" w:eastAsia="Calibri" w:hAnsi="Calibri" w:cs="Calibri"/>
      <w:color w:val="000000"/>
      <w:sz w:val="20"/>
    </w:rPr>
  </w:style>
  <w:style w:type="paragraph" w:customStyle="1" w:styleId="footnotedescription">
    <w:name w:val="footnote description"/>
    <w:next w:val="Normal"/>
    <w:link w:val="footnotedescriptionChar"/>
    <w:rsid w:val="00881066"/>
    <w:pPr>
      <w:spacing w:line="256" w:lineRule="auto"/>
      <w:jc w:val="left"/>
    </w:pPr>
    <w:rPr>
      <w:rFonts w:ascii="Calibri" w:eastAsia="Calibri" w:hAnsi="Calibri" w:cs="Calibri"/>
      <w:color w:val="000000"/>
      <w:sz w:val="20"/>
    </w:rPr>
  </w:style>
  <w:style w:type="character" w:customStyle="1" w:styleId="footnotemark">
    <w:name w:val="footnote mark"/>
    <w:rsid w:val="00881066"/>
    <w:rPr>
      <w:rFonts w:ascii="Calibri" w:eastAsia="Calibri" w:hAnsi="Calibri" w:cs="Calibri" w:hint="default"/>
      <w:color w:val="000000"/>
      <w:sz w:val="20"/>
      <w:vertAlign w:val="superscript"/>
    </w:rPr>
  </w:style>
  <w:style w:type="character" w:customStyle="1" w:styleId="Titre1Car">
    <w:name w:val="Titre 1 Car"/>
    <w:basedOn w:val="Policepardfaut"/>
    <w:link w:val="Titre1"/>
    <w:uiPriority w:val="9"/>
    <w:rsid w:val="009873BB"/>
    <w:rPr>
      <w:rFonts w:asciiTheme="majorHAnsi" w:eastAsiaTheme="majorEastAsia" w:hAnsiTheme="majorHAnsi" w:cstheme="majorBidi"/>
      <w:color w:val="2F5496" w:themeColor="accent1" w:themeShade="BF"/>
      <w:sz w:val="32"/>
      <w:szCs w:val="32"/>
    </w:rPr>
  </w:style>
  <w:style w:type="character" w:customStyle="1" w:styleId="Titre2Car">
    <w:name w:val="Titre 2 Car"/>
    <w:basedOn w:val="Policepardfaut"/>
    <w:link w:val="Titre2"/>
    <w:uiPriority w:val="9"/>
    <w:rsid w:val="008B24D8"/>
    <w:rPr>
      <w:rFonts w:asciiTheme="majorHAnsi" w:eastAsiaTheme="majorEastAsia" w:hAnsiTheme="majorHAnsi" w:cstheme="majorBidi"/>
      <w:color w:val="2F5496"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057130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598D913-7D12-4501-9D49-94426DCD58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198</TotalTime>
  <Pages>6</Pages>
  <Words>1961</Words>
  <Characters>10790</Characters>
  <Application>Microsoft Office Word</Application>
  <DocSecurity>0</DocSecurity>
  <Lines>89</Lines>
  <Paragraphs>25</Paragraphs>
  <ScaleCrop>false</ScaleCrop>
  <Company/>
  <LinksUpToDate>false</LinksUpToDate>
  <CharactersWithSpaces>12726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Alexis Fourmont</dc:creator>
  <cp:keywords/>
  <dc:description/>
  <cp:lastModifiedBy>Alexis Fourmont</cp:lastModifiedBy>
  <cp:revision>622</cp:revision>
  <dcterms:created xsi:type="dcterms:W3CDTF">2020-03-19T18:16:00Z</dcterms:created>
  <dcterms:modified xsi:type="dcterms:W3CDTF">2025-03-28T14:18:00Z</dcterms:modified>
</cp:coreProperties>
</file>