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FE6652" w14:textId="77777777" w:rsidR="006701CB" w:rsidRPr="006701CB" w:rsidRDefault="006A290A" w:rsidP="006701CB">
      <w:pPr>
        <w:shd w:val="clear" w:color="auto" w:fill="D0CECE" w:themeFill="background2" w:themeFillShade="E6"/>
        <w:spacing w:before="360" w:beforeAutospacing="0" w:after="0" w:afterAutospacing="0" w:line="240" w:lineRule="auto"/>
        <w:ind w:firstLine="0"/>
        <w:jc w:val="center"/>
        <w:rPr>
          <w:b/>
          <w:sz w:val="60"/>
          <w:szCs w:val="60"/>
        </w:rPr>
      </w:pPr>
      <w:r w:rsidRPr="006701CB">
        <w:rPr>
          <w:b/>
          <w:sz w:val="60"/>
          <w:szCs w:val="60"/>
        </w:rPr>
        <w:t>Marx et la Terre</w:t>
      </w:r>
    </w:p>
    <w:p w14:paraId="37A8124F" w14:textId="6C658499" w:rsidR="006701CB" w:rsidRPr="00C7284B" w:rsidRDefault="006701CB" w:rsidP="00C7284B">
      <w:pPr>
        <w:shd w:val="clear" w:color="auto" w:fill="D0CECE" w:themeFill="background2" w:themeFillShade="E6"/>
        <w:spacing w:before="240" w:beforeAutospacing="0" w:after="0" w:afterAutospacing="0" w:line="240" w:lineRule="auto"/>
        <w:ind w:firstLine="0"/>
        <w:jc w:val="center"/>
        <w:rPr>
          <w:rFonts w:eastAsia="Times New Roman" w:cs="Times New Roman"/>
          <w:sz w:val="60"/>
          <w:szCs w:val="60"/>
          <w:lang w:eastAsia="fr-FR"/>
        </w:rPr>
      </w:pPr>
      <w:r w:rsidRPr="006701CB">
        <w:rPr>
          <w:rFonts w:eastAsia="Times New Roman" w:cs="Times New Roman"/>
          <w:sz w:val="60"/>
          <w:szCs w:val="60"/>
          <w:lang w:eastAsia="fr-FR"/>
        </w:rPr>
        <w:t>Recueil de textes</w:t>
      </w:r>
      <w:r>
        <w:rPr>
          <w:rFonts w:eastAsia="Times New Roman" w:cs="Times New Roman"/>
          <w:sz w:val="60"/>
          <w:szCs w:val="60"/>
          <w:lang w:eastAsia="fr-FR"/>
        </w:rPr>
        <w:t xml:space="preserve"> - Annexe </w:t>
      </w:r>
      <w:r w:rsidR="003D4CEA">
        <w:rPr>
          <w:rFonts w:eastAsia="Times New Roman" w:cs="Times New Roman"/>
          <w:sz w:val="60"/>
          <w:szCs w:val="60"/>
          <w:lang w:eastAsia="fr-FR"/>
        </w:rPr>
        <w:t>4</w:t>
      </w:r>
    </w:p>
    <w:p w14:paraId="45D33538" w14:textId="77777777" w:rsidR="00CA0BD2" w:rsidRDefault="006701CB" w:rsidP="00CA0BD2">
      <w:pPr>
        <w:pStyle w:val="Citation"/>
        <w:ind w:left="0" w:right="-6"/>
        <w:rPr>
          <w:b/>
          <w:u w:val="single"/>
        </w:rPr>
      </w:pPr>
      <w:r w:rsidRPr="006701CB">
        <w:rPr>
          <w:b/>
          <w:u w:val="single"/>
        </w:rPr>
        <w:t>Texte 1 :</w:t>
      </w:r>
      <w:r w:rsidR="00CA0BD2" w:rsidRPr="00CA0BD2">
        <w:rPr>
          <w:b/>
        </w:rPr>
        <w:t xml:space="preserve"> </w:t>
      </w:r>
      <w:r w:rsidR="00CA0BD2" w:rsidRPr="00CA0BD2">
        <w:rPr>
          <w:b/>
        </w:rPr>
        <w:fldChar w:fldCharType="begin"/>
      </w:r>
      <w:r w:rsidR="00CA0BD2" w:rsidRPr="00CA0BD2">
        <w:rPr>
          <w:b/>
        </w:rPr>
        <w:instrText xml:space="preserve"> ADDIN ZOTERO_ITEM CSL_CITATION {"citationID":"bm4bawf7","properties":{"formattedCitation":"{\\scaps Venturi} Franco, {\\i{}Les intellectuels, le peuple et la r\\uc0\\u233{}volution. Histoire du populisme russe au XIXe si\\uc0\\u232{}cle}, Paris, Gallimard (NRF), 1972, vol.\\uc0\\u160{}2/2, p.157.","plainCitation":"Venturi Franco, Les intellectuels, le peuple et la révolution. Histoire du populisme russe au XIXe siècle, Paris, Gallimard (NRF), 1972, vol. 2/2, p.157.","dontUpdate":true,"noteIndex":8},"citationItems":[{"id":479,"uris":["http://zotero.org/users/2797950/items/X7IU5QJQ"],"uri":["http://zotero.org/users/2797950/items/X7IU5QJQ"],"itemData":{"id":479,"type":"book","title":"Les intellectuels, le peuple et la révolution. Histoire du populisme russe au XIXe siècle","publisher":"Gallimard (NRF)","publisher-place":"Paris","volume":"2","number-of-volumes":"2","event-place":"Paris","author":[{"family":"Venturi","given":"Franco"}],"issued":{"date-parts":[["1972"]]}},"locator":"157."}],"schema":"https://github.com/citation-style-language/schema/raw/master/csl-citation.json"} </w:instrText>
      </w:r>
      <w:r w:rsidR="00CA0BD2" w:rsidRPr="00CA0BD2">
        <w:rPr>
          <w:b/>
        </w:rPr>
        <w:fldChar w:fldCharType="separate"/>
      </w:r>
      <w:r w:rsidR="00CA0BD2" w:rsidRPr="00CA0BD2">
        <w:rPr>
          <w:b/>
          <w:smallCaps/>
        </w:rPr>
        <w:t>Venturi</w:t>
      </w:r>
      <w:r w:rsidR="00CA0BD2" w:rsidRPr="00CA0BD2">
        <w:rPr>
          <w:b/>
        </w:rPr>
        <w:t xml:space="preserve"> Franco, </w:t>
      </w:r>
      <w:r w:rsidR="00CA0BD2" w:rsidRPr="00CA0BD2">
        <w:rPr>
          <w:b/>
          <w:i/>
          <w:iCs/>
        </w:rPr>
        <w:t>Les intellectuels, le peuple et la révolution. Histoire du populisme russe au XIXe siècle</w:t>
      </w:r>
      <w:r w:rsidR="00CA0BD2" w:rsidRPr="00CA0BD2">
        <w:rPr>
          <w:b/>
        </w:rPr>
        <w:t>, Paris, Gallimard « NRF », 1972, vol. 1/2, p.157.</w:t>
      </w:r>
      <w:r w:rsidR="00CA0BD2" w:rsidRPr="00CA0BD2">
        <w:rPr>
          <w:b/>
        </w:rPr>
        <w:fldChar w:fldCharType="end"/>
      </w:r>
    </w:p>
    <w:p w14:paraId="52AD7AFC" w14:textId="77777777" w:rsidR="00CA0BD2" w:rsidRDefault="00CA0BD2" w:rsidP="00CA0BD2">
      <w:pPr>
        <w:pStyle w:val="Citation"/>
        <w:ind w:left="0" w:right="-6"/>
      </w:pPr>
      <w:r w:rsidRPr="008E7163">
        <w:t xml:space="preserve">« Les points </w:t>
      </w:r>
      <w:r>
        <w:t>fondamentaux du populisme russe</w:t>
      </w:r>
      <w:r w:rsidR="00486D78">
        <w:t xml:space="preserve"> </w:t>
      </w:r>
      <w:r w:rsidRPr="008E7163">
        <w:t>: méfiance à l’égard de toute démocratie en général, croyance en la possibilité d’un développement autonome du socialisme en Russie, foi dans le futur rôle de l’</w:t>
      </w:r>
      <w:r w:rsidRPr="008E7163">
        <w:rPr>
          <w:i/>
        </w:rPr>
        <w:t>obščina</w:t>
      </w:r>
      <w:r w:rsidRPr="008E7163">
        <w:t>, nécessité de créer un type de révolutionnaire qui, brisant individuellement ses liens avec le monde qui l’entourait, se consacrerait au peuple et pénétrerait en lui, - telles étaient les conclusions que retirait Herzen de son expérience de 1848, tel était le fruit qu’il créait pour la génération nouvelle.</w:t>
      </w:r>
      <w:r>
        <w:t> »</w:t>
      </w:r>
    </w:p>
    <w:p w14:paraId="645406FD" w14:textId="77777777" w:rsidR="00A81C08" w:rsidRDefault="00A81C08" w:rsidP="00A81C08">
      <w:pPr>
        <w:spacing w:line="240" w:lineRule="auto"/>
        <w:ind w:firstLine="0"/>
        <w:rPr>
          <w:rFonts w:cs="Times New Roman"/>
          <w:b/>
        </w:rPr>
      </w:pPr>
      <w:r w:rsidRPr="00486D78">
        <w:rPr>
          <w:b/>
          <w:u w:val="single"/>
        </w:rPr>
        <w:t>Texte 2 :</w:t>
      </w:r>
      <w:r w:rsidRPr="00A81C08">
        <w:rPr>
          <w:b/>
        </w:rPr>
        <w:t xml:space="preserve"> Le préambule du « Programme de </w:t>
      </w:r>
      <w:r w:rsidRPr="00A81C08">
        <w:rPr>
          <w:b/>
          <w:i/>
        </w:rPr>
        <w:t>l’organisation ouvrière de la Volonté du Peuple</w:t>
      </w:r>
      <w:r w:rsidRPr="00A81C08">
        <w:rPr>
          <w:b/>
        </w:rPr>
        <w:t xml:space="preserve"> » [1879] cité par Theodor </w:t>
      </w:r>
      <w:proofErr w:type="spellStart"/>
      <w:r w:rsidRPr="00A81C08">
        <w:rPr>
          <w:b/>
        </w:rPr>
        <w:t>Shanin</w:t>
      </w:r>
      <w:proofErr w:type="spellEnd"/>
      <w:r w:rsidRPr="00A81C08">
        <w:rPr>
          <w:b/>
        </w:rPr>
        <w:t xml:space="preserve">, </w:t>
      </w:r>
      <w:proofErr w:type="spellStart"/>
      <w:r w:rsidRPr="00A81C08">
        <w:rPr>
          <w:b/>
          <w:i/>
        </w:rPr>
        <w:t>Late</w:t>
      </w:r>
      <w:proofErr w:type="spellEnd"/>
      <w:r w:rsidRPr="00A81C08">
        <w:rPr>
          <w:b/>
          <w:i/>
        </w:rPr>
        <w:t xml:space="preserve"> Marx and the </w:t>
      </w:r>
      <w:proofErr w:type="spellStart"/>
      <w:r w:rsidRPr="00A81C08">
        <w:rPr>
          <w:b/>
          <w:i/>
        </w:rPr>
        <w:t>Russian</w:t>
      </w:r>
      <w:proofErr w:type="spellEnd"/>
      <w:r w:rsidRPr="00A81C08">
        <w:rPr>
          <w:b/>
          <w:i/>
        </w:rPr>
        <w:t xml:space="preserve"> road : the </w:t>
      </w:r>
      <w:proofErr w:type="spellStart"/>
      <w:r w:rsidRPr="00A81C08">
        <w:rPr>
          <w:b/>
          <w:i/>
        </w:rPr>
        <w:t>peripheries</w:t>
      </w:r>
      <w:proofErr w:type="spellEnd"/>
      <w:r w:rsidRPr="00A81C08">
        <w:rPr>
          <w:b/>
          <w:i/>
        </w:rPr>
        <w:t xml:space="preserve"> of </w:t>
      </w:r>
      <w:proofErr w:type="spellStart"/>
      <w:r w:rsidRPr="00A81C08">
        <w:rPr>
          <w:b/>
          <w:i/>
        </w:rPr>
        <w:t>capitalism</w:t>
      </w:r>
      <w:proofErr w:type="spellEnd"/>
      <w:r w:rsidRPr="00A81C08">
        <w:rPr>
          <w:b/>
          <w:i/>
        </w:rPr>
        <w:t xml:space="preserve">, </w:t>
      </w:r>
      <w:r w:rsidRPr="00A81C08">
        <w:rPr>
          <w:rFonts w:cs="Times New Roman"/>
          <w:b/>
        </w:rPr>
        <w:t xml:space="preserve">New York, </w:t>
      </w:r>
      <w:proofErr w:type="spellStart"/>
      <w:r w:rsidRPr="00A81C08">
        <w:rPr>
          <w:rFonts w:cs="Times New Roman"/>
          <w:b/>
        </w:rPr>
        <w:t>Monthly</w:t>
      </w:r>
      <w:proofErr w:type="spellEnd"/>
      <w:r w:rsidRPr="00A81C08">
        <w:rPr>
          <w:rFonts w:cs="Times New Roman"/>
          <w:b/>
        </w:rPr>
        <w:t xml:space="preserve"> </w:t>
      </w:r>
      <w:proofErr w:type="spellStart"/>
      <w:r w:rsidRPr="00A81C08">
        <w:rPr>
          <w:rFonts w:cs="Times New Roman"/>
          <w:b/>
        </w:rPr>
        <w:t>Review</w:t>
      </w:r>
      <w:proofErr w:type="spellEnd"/>
      <w:r w:rsidRPr="00A81C08">
        <w:rPr>
          <w:rFonts w:cs="Times New Roman"/>
          <w:b/>
        </w:rPr>
        <w:t xml:space="preserve"> </w:t>
      </w:r>
      <w:proofErr w:type="spellStart"/>
      <w:r w:rsidRPr="00A81C08">
        <w:rPr>
          <w:rFonts w:cs="Times New Roman"/>
          <w:b/>
        </w:rPr>
        <w:t>Press</w:t>
      </w:r>
      <w:proofErr w:type="spellEnd"/>
      <w:r w:rsidRPr="00A81C08">
        <w:rPr>
          <w:rFonts w:cs="Times New Roman"/>
          <w:b/>
        </w:rPr>
        <w:t>, 1983</w:t>
      </w:r>
      <w:r w:rsidR="00486D78">
        <w:rPr>
          <w:rFonts w:cs="Times New Roman"/>
          <w:b/>
        </w:rPr>
        <w:t xml:space="preserve">, p. 231-232 : </w:t>
      </w:r>
    </w:p>
    <w:p w14:paraId="069CF1E7" w14:textId="77777777" w:rsidR="00486D78" w:rsidRDefault="00486D78" w:rsidP="00486D78">
      <w:pPr>
        <w:pStyle w:val="Paragraphedeliste"/>
        <w:numPr>
          <w:ilvl w:val="0"/>
          <w:numId w:val="36"/>
        </w:numPr>
        <w:spacing w:line="240" w:lineRule="auto"/>
        <w:ind w:left="1786" w:hanging="357"/>
      </w:pPr>
      <w:r>
        <w:t>« La terre et les instruments de travail doivent appartenir au peuple dans son ensemble, chaque travailleur ayant le même droit d’usage que les autres ;</w:t>
      </w:r>
    </w:p>
    <w:p w14:paraId="4DF8E42A" w14:textId="77777777" w:rsidR="00486D78" w:rsidRDefault="00486D78" w:rsidP="00486D78">
      <w:pPr>
        <w:pStyle w:val="Paragraphedeliste"/>
        <w:numPr>
          <w:ilvl w:val="0"/>
          <w:numId w:val="36"/>
        </w:numPr>
        <w:spacing w:line="240" w:lineRule="auto"/>
        <w:ind w:left="1786" w:hanging="357"/>
      </w:pPr>
      <w:r>
        <w:t>Le travail n’est pas produit individuellement, mais socialement (à travers les communes [</w:t>
      </w:r>
      <w:r w:rsidRPr="00FC6A95">
        <w:rPr>
          <w:i/>
        </w:rPr>
        <w:t>Obščin</w:t>
      </w:r>
      <w:r>
        <w:rPr>
          <w:i/>
        </w:rPr>
        <w:t>y</w:t>
      </w:r>
      <w:r>
        <w:t>], et les associations coopératives [</w:t>
      </w:r>
      <w:proofErr w:type="spellStart"/>
      <w:r w:rsidRPr="00943A09">
        <w:rPr>
          <w:i/>
        </w:rPr>
        <w:t>artel</w:t>
      </w:r>
      <w:r>
        <w:rPr>
          <w:i/>
        </w:rPr>
        <w:t>i</w:t>
      </w:r>
      <w:proofErr w:type="spellEnd"/>
      <w:r>
        <w:t>]) ;</w:t>
      </w:r>
    </w:p>
    <w:p w14:paraId="6055F067" w14:textId="77777777" w:rsidR="00486D78" w:rsidRDefault="00486D78" w:rsidP="00486D78">
      <w:pPr>
        <w:pStyle w:val="Paragraphedeliste"/>
        <w:numPr>
          <w:ilvl w:val="0"/>
          <w:numId w:val="36"/>
        </w:numPr>
        <w:spacing w:line="240" w:lineRule="auto"/>
        <w:ind w:left="1786" w:hanging="357"/>
      </w:pPr>
      <w:r>
        <w:t>Les produits du travail commun doivent être partagés, selon des décisions collectives, parmi les travailleurs, en fonction de leur besoin respectif ;</w:t>
      </w:r>
    </w:p>
    <w:p w14:paraId="5BF494C1" w14:textId="77777777" w:rsidR="00486D78" w:rsidRDefault="00486D78" w:rsidP="00486D78">
      <w:pPr>
        <w:pStyle w:val="Paragraphedeliste"/>
        <w:numPr>
          <w:ilvl w:val="0"/>
          <w:numId w:val="36"/>
        </w:numPr>
        <w:spacing w:line="240" w:lineRule="auto"/>
        <w:ind w:left="1786" w:hanging="357"/>
      </w:pPr>
      <w:r>
        <w:t xml:space="preserve">Le système d’État doit être basé sur une alliance fédératrice de toutes les </w:t>
      </w:r>
      <w:r w:rsidRPr="00FC6A95">
        <w:rPr>
          <w:i/>
        </w:rPr>
        <w:t>Obščin</w:t>
      </w:r>
      <w:r>
        <w:rPr>
          <w:i/>
        </w:rPr>
        <w:t>y </w:t>
      </w:r>
      <w:r>
        <w:t>;</w:t>
      </w:r>
    </w:p>
    <w:p w14:paraId="50FB9B2F" w14:textId="77777777" w:rsidR="00486D78" w:rsidRPr="00486D78" w:rsidRDefault="00486D78" w:rsidP="00486D78">
      <w:pPr>
        <w:pStyle w:val="Paragraphedeliste"/>
        <w:numPr>
          <w:ilvl w:val="0"/>
          <w:numId w:val="36"/>
        </w:numPr>
        <w:spacing w:line="240" w:lineRule="auto"/>
        <w:ind w:left="1786" w:hanging="357"/>
      </w:pPr>
      <w:r>
        <w:t xml:space="preserve">Chaque </w:t>
      </w:r>
      <w:r w:rsidRPr="00FC6A95">
        <w:rPr>
          <w:i/>
        </w:rPr>
        <w:t>Obščina</w:t>
      </w:r>
      <w:r>
        <w:rPr>
          <w:i/>
        </w:rPr>
        <w:t xml:space="preserve"> </w:t>
      </w:r>
      <w:r>
        <w:t xml:space="preserve">est pleinement indépendante et libre dans ses affaires internes. » </w:t>
      </w:r>
    </w:p>
    <w:p w14:paraId="5F7D4991" w14:textId="77777777" w:rsidR="00486D78" w:rsidRPr="00486D78" w:rsidRDefault="00486D78" w:rsidP="00CA0BD2">
      <w:pPr>
        <w:spacing w:line="240" w:lineRule="auto"/>
        <w:ind w:firstLine="0"/>
        <w:rPr>
          <w:b/>
          <w:u w:val="single"/>
        </w:rPr>
      </w:pPr>
      <w:r w:rsidRPr="00486D78">
        <w:rPr>
          <w:b/>
          <w:u w:val="single"/>
        </w:rPr>
        <w:t xml:space="preserve">Texte </w:t>
      </w:r>
      <w:r w:rsidR="008765DD">
        <w:rPr>
          <w:b/>
          <w:u w:val="single"/>
        </w:rPr>
        <w:t>3</w:t>
      </w:r>
      <w:r w:rsidRPr="00486D78">
        <w:rPr>
          <w:b/>
          <w:u w:val="single"/>
        </w:rPr>
        <w:t> :</w:t>
      </w:r>
      <w:r w:rsidRPr="008765DD">
        <w:rPr>
          <w:b/>
        </w:rPr>
        <w:t xml:space="preserve"> Lettre de Vera Zassoulitch à Marx dans </w:t>
      </w:r>
      <w:r w:rsidRPr="00486D78">
        <w:rPr>
          <w:b/>
        </w:rPr>
        <w:fldChar w:fldCharType="begin"/>
      </w:r>
      <w:r w:rsidRPr="00486D78">
        <w:rPr>
          <w:b/>
        </w:rPr>
        <w:instrText xml:space="preserve"> ADDIN ZOTERO_ITEM CSL_CITATION {"citationID":"rKLULV5B","properties":{"formattedCitation":"{\\scaps Dangeville} Roger, \\uc0\\u171{}\\uc0\\u160{}Lettres de Marx \\uc0\\u224{} V\\uc0\\u233{}ra Zassoulitch\\uc0\\u160{}\\uc0\\u187{}, in {\\i{}L\\uc0\\u8217{}Homme et la soci\\uc0\\u233{}t\\uc0\\u233{}}, n\\super o\\nosupersub{}\\uc0\\u160{}1, vol.\\uc0\\u160{}5,\\uc0\\u160{}1967, p. 165\\uc0\\u8209{}179.","plainCitation":"Dangeville Roger, « Lettres de Marx à Véra Zassoulitch », in L’Homme et la société, no 1, vol. 5, 1967, p. 165</w:instrText>
      </w:r>
      <w:r w:rsidRPr="00486D78">
        <w:rPr>
          <w:rFonts w:ascii="Cambria Math" w:hAnsi="Cambria Math" w:cs="Cambria Math"/>
          <w:b/>
        </w:rPr>
        <w:instrText>‑</w:instrText>
      </w:r>
      <w:r w:rsidRPr="00486D78">
        <w:rPr>
          <w:b/>
        </w:rPr>
        <w:instrText xml:space="preserve">179.","noteIndex":40},"citationItems":[{"id":580,"uris":["http://zotero.org/users/2797950/items/9ABKS9JI"],"uri":["http://zotero.org/users/2797950/items/9ABKS9JI"],"itemData":{"id":580,"type":"article-journal","title":"Lettres de Marx à Véra Zassoulitch","container-title":"L'Homme et la société","page":"165-179","volume":"5","issue":"1","source":"www.persee.fr","DOI":"10.3406/homso.1967.3085","language":"fre","author":[{"family":"Dangeville","given":"Roger"}],"issued":{"date-parts":[["1967"]]}},"locator":"165."}],"schema":"https://github.com/citation-style-language/schema/raw/master/csl-citation.json"} </w:instrText>
      </w:r>
      <w:r w:rsidRPr="00486D78">
        <w:rPr>
          <w:b/>
        </w:rPr>
        <w:fldChar w:fldCharType="separate"/>
      </w:r>
      <w:r w:rsidRPr="00486D78">
        <w:rPr>
          <w:b/>
          <w:smallCaps/>
        </w:rPr>
        <w:t>Dangeville</w:t>
      </w:r>
      <w:r w:rsidRPr="00486D78">
        <w:rPr>
          <w:b/>
        </w:rPr>
        <w:t xml:space="preserve"> Roger (éd.), « Lettres de Marx à Véra Zassoulitch », in </w:t>
      </w:r>
      <w:r w:rsidRPr="00486D78">
        <w:rPr>
          <w:b/>
          <w:i/>
          <w:iCs/>
        </w:rPr>
        <w:t>L’Homme et la société</w:t>
      </w:r>
      <w:r w:rsidRPr="00486D78">
        <w:rPr>
          <w:b/>
        </w:rPr>
        <w:t>, n</w:t>
      </w:r>
      <w:r w:rsidRPr="00486D78">
        <w:rPr>
          <w:b/>
          <w:vertAlign w:val="superscript"/>
        </w:rPr>
        <w:t>o</w:t>
      </w:r>
      <w:r w:rsidRPr="00486D78">
        <w:rPr>
          <w:b/>
        </w:rPr>
        <w:t> 1, vol. 5, 1967, p. 165.</w:t>
      </w:r>
      <w:r w:rsidRPr="00486D78">
        <w:rPr>
          <w:b/>
        </w:rPr>
        <w:fldChar w:fldCharType="end"/>
      </w:r>
    </w:p>
    <w:p w14:paraId="647C244D" w14:textId="77777777" w:rsidR="00486D78" w:rsidRDefault="00486D78" w:rsidP="00486D78">
      <w:pPr>
        <w:pStyle w:val="Citation"/>
        <w:ind w:left="0" w:right="-6"/>
      </w:pPr>
      <w:r>
        <w:t>« Mieux que quiconque, écrit Zassoulitch, vous savez avec quelle urgence cette question se pose en Russie, et notamment à notre Parti socialiste “russe’’. Ces derniers temps, on a prétendu que la communauté rurale, étant une forme archaïque, était vouée à la ruine par l’histoire. Parmi ceux qui prophétisent une telle issue, certains sont des “marxistes’’ qui se disent vos disciples… Vous comprendrez donc, citoyen, quel grand service vous nous rendriez, si vous nous exposiez votre opinion sur les destins possibles de nos communautés rurales et sur la théorie qui veut que tous les peuples du monde soient contraints, par la nécessité historique, de parcourir toutes les phases de la production sociale. »</w:t>
      </w:r>
    </w:p>
    <w:p w14:paraId="09899C01" w14:textId="77777777" w:rsidR="008765DD" w:rsidRPr="008765DD" w:rsidRDefault="008765DD" w:rsidP="008765DD">
      <w:pPr>
        <w:spacing w:line="240" w:lineRule="auto"/>
        <w:ind w:firstLine="0"/>
        <w:rPr>
          <w:b/>
        </w:rPr>
      </w:pPr>
      <w:r w:rsidRPr="008765DD">
        <w:rPr>
          <w:b/>
          <w:u w:val="single"/>
        </w:rPr>
        <w:t>Texte 4</w:t>
      </w:r>
      <w:r w:rsidRPr="008765DD">
        <w:rPr>
          <w:b/>
        </w:rPr>
        <w:t xml:space="preserve"> : Lettre de Marx à </w:t>
      </w:r>
      <w:proofErr w:type="spellStart"/>
      <w:r w:rsidRPr="008765DD">
        <w:rPr>
          <w:b/>
        </w:rPr>
        <w:t>Daniel’son</w:t>
      </w:r>
      <w:proofErr w:type="spellEnd"/>
      <w:r w:rsidRPr="008765DD">
        <w:rPr>
          <w:b/>
        </w:rPr>
        <w:t xml:space="preserve"> 19 février 1881, dans G. </w:t>
      </w:r>
      <w:proofErr w:type="spellStart"/>
      <w:r w:rsidRPr="008765DD">
        <w:rPr>
          <w:b/>
        </w:rPr>
        <w:t>Badia</w:t>
      </w:r>
      <w:proofErr w:type="spellEnd"/>
      <w:r w:rsidRPr="008765DD">
        <w:rPr>
          <w:b/>
        </w:rPr>
        <w:t xml:space="preserve"> (éd.), </w:t>
      </w:r>
      <w:r w:rsidRPr="008765DD">
        <w:rPr>
          <w:b/>
          <w:i/>
          <w:iCs/>
        </w:rPr>
        <w:t>Lettres sur « Le Capital ». Correspondance Marx-Engels</w:t>
      </w:r>
      <w:r w:rsidRPr="008765DD">
        <w:rPr>
          <w:b/>
        </w:rPr>
        <w:t xml:space="preserve">, </w:t>
      </w:r>
      <w:r w:rsidRPr="008765DD">
        <w:rPr>
          <w:b/>
          <w:i/>
          <w:iCs/>
        </w:rPr>
        <w:t>op. </w:t>
      </w:r>
      <w:proofErr w:type="spellStart"/>
      <w:proofErr w:type="gramStart"/>
      <w:r w:rsidRPr="008765DD">
        <w:rPr>
          <w:b/>
          <w:i/>
          <w:iCs/>
        </w:rPr>
        <w:t>cit</w:t>
      </w:r>
      <w:proofErr w:type="spellEnd"/>
      <w:proofErr w:type="gramEnd"/>
      <w:r w:rsidRPr="008765DD">
        <w:rPr>
          <w:b/>
          <w:i/>
          <w:iCs/>
        </w:rPr>
        <w:t>.</w:t>
      </w:r>
      <w:r w:rsidRPr="008765DD">
        <w:rPr>
          <w:b/>
        </w:rPr>
        <w:t>, p. 301.</w:t>
      </w:r>
    </w:p>
    <w:p w14:paraId="7F3299C4" w14:textId="77777777" w:rsidR="008765DD" w:rsidRPr="008765DD" w:rsidRDefault="008765DD" w:rsidP="008765DD">
      <w:pPr>
        <w:spacing w:line="240" w:lineRule="auto"/>
        <w:ind w:firstLine="0"/>
      </w:pPr>
      <w:r>
        <w:t>« Le sol étant épuisé et ne recevant pas les éléments (engrais artificiels, végétaux, animaux, etc.) dont il a besoin, continuera à la faveur changeante de saisons et dans des conditions indépendantes de la volonté humaine, à produire des moissons de volume variable, bien que, en considérant une série d’années, par exemple de 1870 à 1880, le caractère stagnant de la production se présente de la façon la plus frappante. »</w:t>
      </w:r>
    </w:p>
    <w:p w14:paraId="5341F860" w14:textId="77777777" w:rsidR="00CA0BD2" w:rsidRPr="00486D78" w:rsidRDefault="00CA0BD2" w:rsidP="00CA0BD2">
      <w:pPr>
        <w:spacing w:line="240" w:lineRule="auto"/>
        <w:ind w:firstLine="0"/>
        <w:rPr>
          <w:b/>
          <w:u w:val="single"/>
        </w:rPr>
      </w:pPr>
      <w:proofErr w:type="gramStart"/>
      <w:r w:rsidRPr="006701CB">
        <w:rPr>
          <w:b/>
          <w:u w:val="single"/>
        </w:rPr>
        <w:lastRenderedPageBreak/>
        <w:t>Texte </w:t>
      </w:r>
      <w:r w:rsidR="00486D78">
        <w:rPr>
          <w:b/>
          <w:u w:val="single"/>
        </w:rPr>
        <w:t xml:space="preserve"> </w:t>
      </w:r>
      <w:r w:rsidR="008765DD">
        <w:rPr>
          <w:b/>
          <w:u w:val="single"/>
        </w:rPr>
        <w:t>5</w:t>
      </w:r>
      <w:proofErr w:type="gramEnd"/>
      <w:r w:rsidR="008765DD">
        <w:rPr>
          <w:b/>
          <w:u w:val="single"/>
        </w:rPr>
        <w:t xml:space="preserve"> </w:t>
      </w:r>
      <w:r w:rsidRPr="006701CB">
        <w:rPr>
          <w:b/>
          <w:u w:val="single"/>
        </w:rPr>
        <w:t>:</w:t>
      </w:r>
      <w:r w:rsidRPr="00CA0BD2">
        <w:rPr>
          <w:b/>
        </w:rPr>
        <w:t xml:space="preserve"> </w:t>
      </w:r>
      <w:r w:rsidRPr="00B12FC4">
        <w:rPr>
          <w:rFonts w:eastAsia="Times New Roman" w:cs="Arial"/>
          <w:b/>
          <w:lang w:eastAsia="fr-FR"/>
        </w:rPr>
        <w:t>Karl Marx, 3</w:t>
      </w:r>
      <w:r w:rsidRPr="00B12FC4">
        <w:rPr>
          <w:rFonts w:eastAsia="Times New Roman" w:cs="Arial"/>
          <w:b/>
          <w:vertAlign w:val="superscript"/>
          <w:lang w:eastAsia="fr-FR"/>
        </w:rPr>
        <w:t>e</w:t>
      </w:r>
      <w:r w:rsidRPr="00B12FC4">
        <w:rPr>
          <w:rFonts w:eastAsia="Times New Roman" w:cs="Arial"/>
          <w:b/>
          <w:lang w:eastAsia="fr-FR"/>
        </w:rPr>
        <w:t xml:space="preserve"> brouillon de lettres à Vera Zassoulitch, « Lettres de Marx à Vera Zassoulitch », Roger </w:t>
      </w:r>
      <w:proofErr w:type="spellStart"/>
      <w:r w:rsidRPr="00B12FC4">
        <w:rPr>
          <w:rFonts w:eastAsia="Times New Roman" w:cs="Arial"/>
          <w:b/>
          <w:lang w:eastAsia="fr-FR"/>
        </w:rPr>
        <w:t>Dangeville</w:t>
      </w:r>
      <w:proofErr w:type="spellEnd"/>
      <w:r w:rsidRPr="00B12FC4">
        <w:rPr>
          <w:rFonts w:eastAsia="Times New Roman" w:cs="Arial"/>
          <w:b/>
          <w:lang w:eastAsia="fr-FR"/>
        </w:rPr>
        <w:t xml:space="preserve"> (éd.), in </w:t>
      </w:r>
      <w:r w:rsidRPr="00B12FC4">
        <w:rPr>
          <w:rFonts w:eastAsia="Times New Roman" w:cs="Arial"/>
          <w:b/>
          <w:i/>
          <w:lang w:eastAsia="fr-FR"/>
        </w:rPr>
        <w:t xml:space="preserve">L’homme et la société, </w:t>
      </w:r>
      <w:r w:rsidRPr="00B12FC4">
        <w:rPr>
          <w:rFonts w:eastAsia="Times New Roman" w:cs="Arial"/>
          <w:b/>
          <w:lang w:eastAsia="fr-FR"/>
        </w:rPr>
        <w:t>n°5, 1967, p. 178-179.</w:t>
      </w:r>
    </w:p>
    <w:p w14:paraId="24E2649A" w14:textId="77777777" w:rsidR="00CA0BD2" w:rsidRDefault="00CA0BD2" w:rsidP="00CA0BD2">
      <w:pPr>
        <w:snapToGrid w:val="0"/>
        <w:spacing w:before="120" w:beforeAutospacing="0" w:after="120" w:afterAutospacing="0" w:line="240" w:lineRule="auto"/>
        <w:rPr>
          <w:rFonts w:eastAsia="Times New Roman" w:cs="Arial"/>
          <w:lang w:eastAsia="fr-FR"/>
        </w:rPr>
      </w:pPr>
      <w:r>
        <w:rPr>
          <w:rFonts w:eastAsia="Times New Roman" w:cs="Arial"/>
          <w:lang w:eastAsia="fr-FR"/>
        </w:rPr>
        <w:t>« </w:t>
      </w:r>
      <w:r w:rsidRPr="00A42219">
        <w:rPr>
          <w:rFonts w:eastAsia="Times New Roman" w:cs="Arial"/>
          <w:lang w:eastAsia="fr-FR"/>
        </w:rPr>
        <w:t xml:space="preserve">Chère citoyenne, </w:t>
      </w:r>
    </w:p>
    <w:p w14:paraId="1C3A26BD" w14:textId="77777777" w:rsidR="00CA0BD2" w:rsidRDefault="00CA0BD2" w:rsidP="00CA0BD2">
      <w:pPr>
        <w:snapToGrid w:val="0"/>
        <w:spacing w:before="120" w:beforeAutospacing="0" w:after="120" w:afterAutospacing="0" w:line="240" w:lineRule="auto"/>
        <w:rPr>
          <w:rFonts w:eastAsia="Times New Roman" w:cs="Arial"/>
          <w:lang w:eastAsia="fr-FR"/>
        </w:rPr>
      </w:pPr>
      <w:r w:rsidRPr="00A42219">
        <w:rPr>
          <w:rFonts w:eastAsia="Times New Roman" w:cs="Arial"/>
          <w:lang w:eastAsia="fr-FR"/>
        </w:rPr>
        <w:t xml:space="preserve">Pour traiter à fond les questions proposées dans votre lettre du 16 février, il me faudrait entrer dans le détail des choses et interrompre des travaux urgents, mais l'exposé succinct que j'ai l'honneur de vous adresser suffira, je l'espère, de dissiper tout malentendu par rapport à ma soi-disant théorie. </w:t>
      </w:r>
    </w:p>
    <w:p w14:paraId="7DECDC60" w14:textId="77777777" w:rsidR="00CA0BD2" w:rsidRPr="00CA0BD2" w:rsidRDefault="00CA0BD2" w:rsidP="00CA0BD2">
      <w:pPr>
        <w:pStyle w:val="Paragraphedeliste"/>
        <w:numPr>
          <w:ilvl w:val="0"/>
          <w:numId w:val="35"/>
        </w:numPr>
        <w:snapToGrid w:val="0"/>
        <w:spacing w:before="120" w:beforeAutospacing="0" w:after="120" w:afterAutospacing="0" w:line="240" w:lineRule="auto"/>
        <w:rPr>
          <w:rFonts w:eastAsia="Times New Roman" w:cs="Arial"/>
          <w:lang w:eastAsia="fr-FR"/>
        </w:rPr>
      </w:pPr>
      <w:r w:rsidRPr="00CA0BD2">
        <w:rPr>
          <w:rFonts w:eastAsia="Times New Roman" w:cs="Arial"/>
          <w:lang w:eastAsia="fr-FR"/>
        </w:rPr>
        <w:t xml:space="preserve">En analysant la genèse de la production capitaliste, je dis : </w:t>
      </w:r>
    </w:p>
    <w:p w14:paraId="02CF462A" w14:textId="77777777" w:rsidR="00CA0BD2" w:rsidRPr="00CA0BD2" w:rsidRDefault="00CA0BD2" w:rsidP="00CA0BD2">
      <w:pPr>
        <w:pStyle w:val="Paragraphedeliste"/>
        <w:snapToGrid w:val="0"/>
        <w:spacing w:before="120" w:beforeAutospacing="0" w:after="120" w:afterAutospacing="0" w:line="240" w:lineRule="auto"/>
        <w:ind w:left="1069" w:firstLine="0"/>
        <w:rPr>
          <w:rFonts w:eastAsia="Times New Roman" w:cs="Arial"/>
          <w:lang w:eastAsia="fr-FR"/>
        </w:rPr>
      </w:pPr>
      <w:r w:rsidRPr="00CA0BD2">
        <w:rPr>
          <w:rFonts w:eastAsia="Times New Roman" w:cs="Arial"/>
          <w:lang w:eastAsia="fr-FR"/>
        </w:rPr>
        <w:t xml:space="preserve">« Au fond du système capitaliste, il y a donc séparation radicale du producteur d'avec les moyens de production... la base de toute cette évolution c'est l'expropriation des cultivateurs. Elle ne s'est encore accomplie d'une manière radicale qu'en Angleterre... Mais tous les autres pays de l'Europe occidentale parcourent le même mouvement. » (« Le </w:t>
      </w:r>
      <w:proofErr w:type="gramStart"/>
      <w:r w:rsidRPr="00CA0BD2">
        <w:rPr>
          <w:rFonts w:eastAsia="Times New Roman" w:cs="Arial"/>
          <w:lang w:eastAsia="fr-FR"/>
        </w:rPr>
        <w:t>Capital»</w:t>
      </w:r>
      <w:proofErr w:type="gramEnd"/>
      <w:r w:rsidRPr="00CA0BD2">
        <w:rPr>
          <w:rFonts w:eastAsia="Times New Roman" w:cs="Arial"/>
          <w:lang w:eastAsia="fr-FR"/>
        </w:rPr>
        <w:t xml:space="preserve">, éd. </w:t>
      </w:r>
      <w:proofErr w:type="gramStart"/>
      <w:r w:rsidRPr="00CA0BD2">
        <w:rPr>
          <w:rFonts w:eastAsia="Times New Roman" w:cs="Arial"/>
          <w:lang w:eastAsia="fr-FR"/>
        </w:rPr>
        <w:t>française</w:t>
      </w:r>
      <w:proofErr w:type="gramEnd"/>
      <w:r w:rsidRPr="00CA0BD2">
        <w:rPr>
          <w:rFonts w:eastAsia="Times New Roman" w:cs="Arial"/>
          <w:lang w:eastAsia="fr-FR"/>
        </w:rPr>
        <w:t xml:space="preserve">, 1872, p. 325.) </w:t>
      </w:r>
    </w:p>
    <w:p w14:paraId="64C37353" w14:textId="77777777" w:rsidR="00CA0BD2" w:rsidRDefault="00CA0BD2" w:rsidP="00CA0BD2">
      <w:pPr>
        <w:snapToGrid w:val="0"/>
        <w:spacing w:before="120" w:beforeAutospacing="0" w:after="120" w:afterAutospacing="0" w:line="240" w:lineRule="auto"/>
        <w:rPr>
          <w:rFonts w:eastAsia="Times New Roman" w:cs="Arial"/>
          <w:lang w:eastAsia="fr-FR"/>
        </w:rPr>
      </w:pPr>
      <w:r w:rsidRPr="00A42219">
        <w:rPr>
          <w:rFonts w:eastAsia="Times New Roman" w:cs="Arial"/>
          <w:lang w:eastAsia="fr-FR"/>
        </w:rPr>
        <w:t>La « fatalité historique » de ce mouvement est donc expressément restreinte aux pays de l'Europe occidentale. (Ensuite la cause.) Le pourquoi de cette restriction est indiqué dans ce passage du chap. XXXII : « La propriété privée, fondée sur le travail personnel... va être supplantée par la propriété privée capitaliste, fondée sur l'exploitation du travail d'autrui, sur le salariat. » (</w:t>
      </w:r>
      <w:proofErr w:type="gramStart"/>
      <w:r w:rsidRPr="00A42219">
        <w:rPr>
          <w:rFonts w:eastAsia="Times New Roman" w:cs="Arial"/>
          <w:lang w:eastAsia="fr-FR"/>
        </w:rPr>
        <w:t>p.</w:t>
      </w:r>
      <w:proofErr w:type="gramEnd"/>
      <w:r w:rsidRPr="00A42219">
        <w:rPr>
          <w:rFonts w:eastAsia="Times New Roman" w:cs="Arial"/>
          <w:lang w:eastAsia="fr-FR"/>
        </w:rPr>
        <w:t xml:space="preserve"> 340). </w:t>
      </w:r>
    </w:p>
    <w:p w14:paraId="392C2E97" w14:textId="77777777" w:rsidR="00CA0BD2" w:rsidRDefault="00CA0BD2" w:rsidP="00CA0BD2">
      <w:pPr>
        <w:snapToGrid w:val="0"/>
        <w:spacing w:before="120" w:beforeAutospacing="0" w:after="120" w:afterAutospacing="0" w:line="240" w:lineRule="auto"/>
        <w:rPr>
          <w:rFonts w:eastAsia="Times New Roman" w:cs="Arial"/>
          <w:lang w:eastAsia="fr-FR"/>
        </w:rPr>
      </w:pPr>
      <w:r w:rsidRPr="00A42219">
        <w:rPr>
          <w:rFonts w:eastAsia="Times New Roman" w:cs="Arial"/>
          <w:lang w:eastAsia="fr-FR"/>
        </w:rPr>
        <w:t xml:space="preserve">Dans ce mouvement occidental il s'agit donc de la transformation d'une forme de propriété privée en une autre forme de propriété privée. Chez les paysans russes, on aurait au contraire à transformer leur propriété commune en propriété privée. Qu'on affirme ou qu'on nie la fatalité de cette transformation-là, les raisons pour et les raisons contre n'ont rien à faire avec mon analyse de la genèse du régime capitaliste. Tout au plus pourrait-on en inférer que, vu l'état actuel de la grande majorité des paysans russes, l'acte de leur conversion en petits propriétaires ne serait que le prologue de leur expropriation rapide. </w:t>
      </w:r>
    </w:p>
    <w:p w14:paraId="6F0435DD" w14:textId="77777777" w:rsidR="00CA0BD2" w:rsidRDefault="00CA0BD2" w:rsidP="00CA0BD2">
      <w:pPr>
        <w:snapToGrid w:val="0"/>
        <w:spacing w:before="120" w:beforeAutospacing="0" w:after="120" w:afterAutospacing="0" w:line="240" w:lineRule="auto"/>
        <w:rPr>
          <w:rFonts w:eastAsia="Times New Roman" w:cs="Arial"/>
          <w:lang w:eastAsia="fr-FR"/>
        </w:rPr>
      </w:pPr>
      <w:r w:rsidRPr="00A42219">
        <w:rPr>
          <w:rFonts w:eastAsia="Times New Roman" w:cs="Arial"/>
          <w:lang w:eastAsia="fr-FR"/>
        </w:rPr>
        <w:t>2)</w:t>
      </w:r>
      <w:r>
        <w:rPr>
          <w:rFonts w:eastAsia="Times New Roman" w:cs="Arial"/>
          <w:lang w:eastAsia="fr-FR"/>
        </w:rPr>
        <w:t xml:space="preserve"> </w:t>
      </w:r>
      <w:r w:rsidRPr="00A42219">
        <w:rPr>
          <w:rFonts w:eastAsia="Times New Roman" w:cs="Arial"/>
          <w:lang w:eastAsia="fr-FR"/>
        </w:rPr>
        <w:t xml:space="preserve">L'argument sérieux qu'on a fait valoir contre la commune russe revient à ceci : Remontez aux origines des sociétés occidentales, et vous y trouverez partout la propriété commune du </w:t>
      </w:r>
      <w:proofErr w:type="gramStart"/>
      <w:r w:rsidRPr="00A42219">
        <w:rPr>
          <w:rFonts w:eastAsia="Times New Roman" w:cs="Arial"/>
          <w:lang w:eastAsia="fr-FR"/>
        </w:rPr>
        <w:t>sol;</w:t>
      </w:r>
      <w:proofErr w:type="gramEnd"/>
      <w:r w:rsidRPr="00A42219">
        <w:rPr>
          <w:rFonts w:eastAsia="Times New Roman" w:cs="Arial"/>
          <w:lang w:eastAsia="fr-FR"/>
        </w:rPr>
        <w:t xml:space="preserve"> avec le progrès social elle a partout disparu devant la propriété privée; donc elle ne saurait échapper au même sort dans la seule Russie. Je ne tiendrai compte de ce raisonnement qu'en tant qu'il (regarde l'Europe) s'appuie sur les expériences européennes. Quant aux Indes Orientales par exemple, tout le monde, sauf Sir H. Maine et d'autres gens de même farine, n'est pas sans savoir que là-bas la suppression de la propriété commune du sol n'était qu'un acte de vandalisme anglais, poussant le peuple indigène non en avant, mais en arrière. Les communautés primitives ne sont pas toutes taillées sur le même patron. Leur ensemble forme au contraire une série de groupements sociaux qui diffèrent et de type et d'âge, et qui marquent des phases d'évolution successives. Un de ces types qu'on est convenu d'appeler la commune agricole est aussi celui de la commune russe. Son équivalent à l'Occident, c'est la commune germaine, qui est de date très récente. Elle n'existait pas encore au temps de Jules César et elle n'existait plus quand les tribus germaines venaient conquérir l'Italie, la Gaule, l'Espagne etc. A l'époque de Jules César, il y avait déjà une répartition annuelle de la terre labourable entre des groupes, les gentes et les tribus, mais pas encore entre les familles individuelles d'une commune</w:t>
      </w:r>
      <w:r>
        <w:rPr>
          <w:rFonts w:eastAsia="Times New Roman" w:cs="Arial"/>
          <w:lang w:eastAsia="fr-FR"/>
        </w:rPr>
        <w:t xml:space="preserve"> </w:t>
      </w:r>
      <w:r w:rsidRPr="00A42219">
        <w:rPr>
          <w:rFonts w:eastAsia="Times New Roman" w:cs="Arial"/>
          <w:lang w:eastAsia="fr-FR"/>
        </w:rPr>
        <w:t>; probablement la culture se fit aussi par groupes, en commun. Sur le sol germain même cette communauté du type plus archaïque s'est transformée par un développement naturel en commune agricole, telle que l'a décrite Tacite. Depuis son temps nous la perdons de vue. Elle périt obscurément au milieu des guerres et migrations incessantes</w:t>
      </w:r>
      <w:r>
        <w:rPr>
          <w:rFonts w:eastAsia="Times New Roman" w:cs="Arial"/>
          <w:lang w:eastAsia="fr-FR"/>
        </w:rPr>
        <w:t xml:space="preserve"> </w:t>
      </w:r>
      <w:r w:rsidRPr="00A42219">
        <w:rPr>
          <w:rFonts w:eastAsia="Times New Roman" w:cs="Arial"/>
          <w:lang w:eastAsia="fr-FR"/>
        </w:rPr>
        <w:t>; elle mourut peut-être de mort violente. Mais sa vitalité naturelle est prouvée par deux faits incontestables. Quelques exemplaires épars de</w:t>
      </w:r>
      <w:r>
        <w:rPr>
          <w:rFonts w:ascii="Times New Roman" w:eastAsia="Times New Roman" w:hAnsi="Times New Roman" w:cs="Times New Roman"/>
          <w:lang w:eastAsia="fr-FR"/>
        </w:rPr>
        <w:t xml:space="preserve"> </w:t>
      </w:r>
      <w:r w:rsidRPr="00A42219">
        <w:rPr>
          <w:rFonts w:eastAsia="Times New Roman" w:cs="Arial"/>
          <w:lang w:eastAsia="fr-FR"/>
        </w:rPr>
        <w:t xml:space="preserve">ce modèle ont survécu à toutes les péripéties du moyen âge et se sont conservés jusqu'à nos jours, par exemple dans mon pays, le district de Trêves. Mais ce qu'il y a de plus important, nous trouvons l'empreinte de cette « commune agricole » si bien tracée sur la nouvelle commune qui en sortit, que Maurer, en déchiffrant celle-ci, pût reconstruire celle-là. La nouvelle commune, où la terre labourable appartient en propriété privée </w:t>
      </w:r>
      <w:r w:rsidRPr="00A42219">
        <w:rPr>
          <w:rFonts w:eastAsia="Times New Roman" w:cs="Arial"/>
          <w:lang w:eastAsia="fr-FR"/>
        </w:rPr>
        <w:lastRenderedPageBreak/>
        <w:t xml:space="preserve">aux cultivateurs, en même temps que forêts, pâtures, terres vagues etc. restent propriété commune, fut introduite par les Germains dans tous les pays conquis. Grâce aux caractères empruntés à son prototype, elle devenait pendant tout le moyen âge le seul foyer de liberté et de vie populaires. On rencontre la « commune rurale » aussi en Asie, chez les Afghans etc., mais elle se présente partout comme le type le plus récent et, pour ainsi dire, comme le dernier mot de la formation archaïque des sociétés. C'est pour relever ce fait que je suis entré dans quelques détails à l'égard de la commune germaine. Il nous faut maintenant considérer les traits les plus caractéristiques qui distinguent la « commune agricole » des communautés plus archaïques. </w:t>
      </w:r>
    </w:p>
    <w:p w14:paraId="0F93456A" w14:textId="77777777" w:rsidR="00CA0BD2" w:rsidRDefault="00CA0BD2" w:rsidP="00CA0BD2">
      <w:pPr>
        <w:snapToGrid w:val="0"/>
        <w:spacing w:before="120" w:beforeAutospacing="0" w:after="120" w:afterAutospacing="0" w:line="240" w:lineRule="auto"/>
        <w:rPr>
          <w:rFonts w:eastAsia="Times New Roman" w:cs="Arial"/>
          <w:lang w:eastAsia="fr-FR"/>
        </w:rPr>
      </w:pPr>
      <w:r w:rsidRPr="00A42219">
        <w:rPr>
          <w:rFonts w:eastAsia="Times New Roman" w:cs="Arial"/>
          <w:lang w:eastAsia="fr-FR"/>
        </w:rPr>
        <w:t xml:space="preserve">1)Toutes les autres communautés reposent sur des rapports de consanguinité entre leurs membres. On n'y entre pas à moins qu'on ne soit parent naturel ou adopté. Leur structure est celle d'un arbre généalogique. La « commune agricole » fut le premier groupement social d'hommes libres, non resserré par les liens du sang. </w:t>
      </w:r>
    </w:p>
    <w:p w14:paraId="1FDABD2A" w14:textId="77777777" w:rsidR="00CA0BD2" w:rsidRDefault="00CA0BD2" w:rsidP="00CA0BD2">
      <w:pPr>
        <w:snapToGrid w:val="0"/>
        <w:spacing w:before="120" w:beforeAutospacing="0" w:after="120" w:afterAutospacing="0" w:line="240" w:lineRule="auto"/>
        <w:rPr>
          <w:rFonts w:eastAsia="Times New Roman" w:cs="Arial"/>
          <w:lang w:eastAsia="fr-FR"/>
        </w:rPr>
      </w:pPr>
      <w:r w:rsidRPr="00A42219">
        <w:rPr>
          <w:rFonts w:eastAsia="Times New Roman" w:cs="Arial"/>
          <w:lang w:eastAsia="fr-FR"/>
        </w:rPr>
        <w:t xml:space="preserve">2)Dans la commune agricole, la maison et son complément, la cour, appartient en particulier au cultivateur. La maison commune et l'habitation collective étaient au contraire une base économique des communautés plus primitives, et cela déjà longtemps avant l'introduction de la vie pastorale ou agricole. Certes, on trouve des communes agricoles où les maisons, bien qu'elles aient cessé d'être des lieux d'habitation collective, changent périodiquement de possesseurs. L'usufruit individuel est ainsi combiné avec la propriété commune. Mais de telles communes portent encore leur marque de naissance : elles se trouvent en état de transition d'une communauté plus archaïque à la commune agricole proprement dite. </w:t>
      </w:r>
    </w:p>
    <w:p w14:paraId="2597BCF1" w14:textId="77777777" w:rsidR="00CA0BD2" w:rsidRDefault="00CA0BD2" w:rsidP="00CA0BD2">
      <w:pPr>
        <w:snapToGrid w:val="0"/>
        <w:spacing w:before="120" w:beforeAutospacing="0" w:after="120" w:afterAutospacing="0" w:line="240" w:lineRule="auto"/>
        <w:rPr>
          <w:rFonts w:eastAsia="Times New Roman" w:cs="Arial"/>
          <w:lang w:eastAsia="fr-FR"/>
        </w:rPr>
      </w:pPr>
      <w:r w:rsidRPr="00A42219">
        <w:rPr>
          <w:rFonts w:eastAsia="Times New Roman" w:cs="Arial"/>
          <w:lang w:eastAsia="fr-FR"/>
        </w:rPr>
        <w:t xml:space="preserve">3)La terre labourable, propriété inaliénable et commune, se divise périodiquement entre les membres de la commune agricole de sorte que chacun exploite à son propre compte les champs à lui, assignés et s'en approprie les fruits en particulier. Dans les communautés plus primitives le travail se fait en commun et le produit commun, sauf la quote-part réservée pour la reproduction, se répartit au fur et à mesure des besoins de la consommation. </w:t>
      </w:r>
    </w:p>
    <w:p w14:paraId="4938245F" w14:textId="77777777" w:rsidR="00CA0BD2" w:rsidRDefault="00CA0BD2" w:rsidP="00CA0BD2">
      <w:pPr>
        <w:snapToGrid w:val="0"/>
        <w:spacing w:before="120" w:beforeAutospacing="0" w:after="120" w:afterAutospacing="0" w:line="240" w:lineRule="auto"/>
        <w:rPr>
          <w:rFonts w:eastAsia="Times New Roman" w:cs="Arial"/>
          <w:lang w:eastAsia="fr-FR"/>
        </w:rPr>
      </w:pPr>
      <w:r w:rsidRPr="00A42219">
        <w:rPr>
          <w:rFonts w:eastAsia="Times New Roman" w:cs="Arial"/>
          <w:lang w:eastAsia="fr-FR"/>
        </w:rPr>
        <w:t xml:space="preserve">On comprend que le dualisme inhérent à la constitution de la commune agricole puisse la douer d'une vie vigoureuse. </w:t>
      </w:r>
      <w:proofErr w:type="spellStart"/>
      <w:r w:rsidRPr="00A42219">
        <w:rPr>
          <w:rFonts w:eastAsia="Times New Roman" w:cs="Arial"/>
          <w:lang w:eastAsia="fr-FR"/>
        </w:rPr>
        <w:t>Emancipée</w:t>
      </w:r>
      <w:proofErr w:type="spellEnd"/>
      <w:r w:rsidRPr="00A42219">
        <w:rPr>
          <w:rFonts w:eastAsia="Times New Roman" w:cs="Arial"/>
          <w:lang w:eastAsia="fr-FR"/>
        </w:rPr>
        <w:t xml:space="preserve"> des liens forts, mais étroits de la parenté naturelle, la propriété commune du sol et les rapports sociaux qui en découlent, lui garantissent une assiette solide, en même temps que la maison et la cour, domaine exclusif de la famille individuelle, la culture parcellaire et l'appropriation privée de ses fruits donnent un essor à l'individualité incompatible avec (la structure) l'organisme des communautés plus primitives. </w:t>
      </w:r>
    </w:p>
    <w:p w14:paraId="09D81A8B" w14:textId="77777777" w:rsidR="00CA0BD2" w:rsidRDefault="00CA0BD2" w:rsidP="00CA0BD2">
      <w:pPr>
        <w:snapToGrid w:val="0"/>
        <w:spacing w:before="120" w:beforeAutospacing="0" w:after="120" w:afterAutospacing="0" w:line="240" w:lineRule="auto"/>
        <w:rPr>
          <w:rFonts w:eastAsia="Times New Roman" w:cs="Arial"/>
          <w:lang w:eastAsia="fr-FR"/>
        </w:rPr>
      </w:pPr>
      <w:r w:rsidRPr="00A42219">
        <w:rPr>
          <w:rFonts w:eastAsia="Times New Roman" w:cs="Arial"/>
          <w:lang w:eastAsia="fr-FR"/>
        </w:rPr>
        <w:t xml:space="preserve">Mais il n'est pas moins évident qu'avec le temps ce même dualisme puisse se tourner en germe de décomposition. A part toutes les influences malignes venant d'en dehors, la commune porte dans ses propres flancs ses éléments délétères. La propriété foncière privée s'y est déjà glissée en guise d'une maison avec sa cour rurale qui peut se transformer en place forte d'où se prépare l'attaque contre la terre commune. Cela s'est vu. Mais l'essentiel, c'est le travail parcellaire comme source d'appropriation privée. Il donne lieu à l'accumulation des biens-meubles, par exemple de bestiaux, d'argent, et parfois même d'esclaves ou de serfs. Cette propriété mobile, incontrôlable par la commune, sujet d'échanges individuels où la ruse et l'accident ont beau jeu, pèsera de plus en plus sur toute l'économie rurale. Voilà le dissolvant de l'égalité économique et sociale primitives. Il introduit des éléments hétérogènes provoquant au sein de la commune des conflits d'intérêts et de passions propres à entamer d'abord la propriété commune des terres labourables, ensuite celle des forêts, pâturages, terres vagues etc., lesquelles, une fois converties en annexes communales de la propriété privée, lui vont échoir à la longue. </w:t>
      </w:r>
    </w:p>
    <w:p w14:paraId="427F0BA8" w14:textId="77777777" w:rsidR="00CA0BD2" w:rsidRDefault="00CA0BD2" w:rsidP="00CA0BD2">
      <w:pPr>
        <w:snapToGrid w:val="0"/>
        <w:spacing w:before="120" w:beforeAutospacing="0" w:after="120" w:afterAutospacing="0" w:line="240" w:lineRule="auto"/>
        <w:rPr>
          <w:rFonts w:eastAsia="Times New Roman" w:cs="Arial"/>
          <w:lang w:eastAsia="fr-FR"/>
        </w:rPr>
      </w:pPr>
      <w:r w:rsidRPr="00A42219">
        <w:rPr>
          <w:rFonts w:eastAsia="Times New Roman" w:cs="Arial"/>
          <w:lang w:eastAsia="fr-FR"/>
        </w:rPr>
        <w:t xml:space="preserve">Comme (la plus récente et la) dernière phase de la formation (archaïque) primitive de la société, la commune agricole (moyenne naturellement la transition) est en même temps phase de transition à la formation secondaire, donc transition de la société fondée sur la propriété commune à la société fondée sur la propriété privée. La formation secondaire, bien entendu, embrasse la série des sociétés reposant sur l'esclavage et le servage. Mais est-ce dire que la carrière historique de la commune agricole doit fatalement aboutir à cette </w:t>
      </w:r>
      <w:proofErr w:type="gramStart"/>
      <w:r w:rsidRPr="00A42219">
        <w:rPr>
          <w:rFonts w:eastAsia="Times New Roman" w:cs="Arial"/>
          <w:lang w:eastAsia="fr-FR"/>
        </w:rPr>
        <w:t>issue?</w:t>
      </w:r>
      <w:proofErr w:type="gramEnd"/>
      <w:r w:rsidRPr="00A42219">
        <w:rPr>
          <w:rFonts w:eastAsia="Times New Roman" w:cs="Arial"/>
          <w:lang w:eastAsia="fr-FR"/>
        </w:rPr>
        <w:t xml:space="preserve"> Point du tout. Son dualisme inné admet </w:t>
      </w:r>
      <w:r w:rsidRPr="00A42219">
        <w:rPr>
          <w:rFonts w:eastAsia="Times New Roman" w:cs="Arial"/>
          <w:lang w:eastAsia="fr-FR"/>
        </w:rPr>
        <w:lastRenderedPageBreak/>
        <w:t xml:space="preserve">une alternative : son élément de propriété l'emportera sur son élément collectif, ou celui-ci l'emportera sur celui-là. Tout dépend du milieu historique où elle se trouve placée. </w:t>
      </w:r>
    </w:p>
    <w:p w14:paraId="1EEEF89C" w14:textId="77777777" w:rsidR="00CA0BD2" w:rsidRDefault="00CA0BD2" w:rsidP="00CA0BD2">
      <w:pPr>
        <w:snapToGrid w:val="0"/>
        <w:spacing w:before="120" w:beforeAutospacing="0" w:after="120" w:afterAutospacing="0" w:line="240" w:lineRule="auto"/>
        <w:rPr>
          <w:rFonts w:eastAsia="Times New Roman" w:cs="Arial"/>
          <w:lang w:eastAsia="fr-FR"/>
        </w:rPr>
      </w:pPr>
      <w:r w:rsidRPr="00A42219">
        <w:rPr>
          <w:rFonts w:eastAsia="Times New Roman" w:cs="Arial"/>
          <w:lang w:eastAsia="fr-FR"/>
        </w:rPr>
        <w:t>Faisons pour le moment abstraction des misères qui accablent la commune russe, pour ne voir que ses possibilités d'évolution. Elle occupe une situation unique, sans précédent dans l'histoire. Seule en Europe elle est encore la forme organique, prédominante de la vie rurale d'un empire immense. La propriété commune du sol lui offre la base naturelle de l'appropriation collective, et son milieu historique, la contemporanéité de la production capitaliste, lui prête toutes faites les conditions matérielles du travail coopératif, organisé sur une vaste échelle. Elle peut donc s'incor</w:t>
      </w:r>
      <w:r>
        <w:rPr>
          <w:rFonts w:eastAsia="Times New Roman" w:cs="Arial"/>
          <w:lang w:eastAsia="fr-FR"/>
        </w:rPr>
        <w:t>p</w:t>
      </w:r>
      <w:r w:rsidRPr="00A42219">
        <w:rPr>
          <w:rFonts w:eastAsia="Times New Roman" w:cs="Arial"/>
          <w:lang w:eastAsia="fr-FR"/>
        </w:rPr>
        <w:t xml:space="preserve">orer les acquêts positifs élaborés par le système capitaliste sans passer par ses fourches caudines. Elle peut graduellement supplanter l'agriculture parcellaire par l'agriculture combinée à l'aide des machines qu'invite la configuration physique du sol russe. Après avoir été préalablement mise en état normal dans sa forme présente, elle peut devenir le point de départ direct du système économique auquel tend la société moderne et faire peau neuve sans commencer par son suicide. </w:t>
      </w:r>
    </w:p>
    <w:p w14:paraId="50C44493" w14:textId="77777777" w:rsidR="00CA0BD2" w:rsidRDefault="00CA0BD2" w:rsidP="00CA0BD2">
      <w:pPr>
        <w:snapToGrid w:val="0"/>
        <w:spacing w:before="120" w:beforeAutospacing="0" w:after="120" w:afterAutospacing="0" w:line="240" w:lineRule="auto"/>
        <w:rPr>
          <w:rFonts w:eastAsia="Times New Roman" w:cs="Arial"/>
          <w:lang w:eastAsia="fr-FR"/>
        </w:rPr>
      </w:pPr>
      <w:r w:rsidRPr="00A42219">
        <w:rPr>
          <w:rFonts w:eastAsia="Times New Roman" w:cs="Arial"/>
          <w:lang w:eastAsia="fr-FR"/>
        </w:rPr>
        <w:t>(Mais vis-à-vis d'elle se dresse la propriété foncière tenant entre ses griffes presque la moitié du sol (sa meilleure partie, sans mentionner les domaines de l'</w:t>
      </w:r>
      <w:proofErr w:type="spellStart"/>
      <w:r w:rsidRPr="00A42219">
        <w:rPr>
          <w:rFonts w:eastAsia="Times New Roman" w:cs="Arial"/>
          <w:lang w:eastAsia="fr-FR"/>
        </w:rPr>
        <w:t>Etat</w:t>
      </w:r>
      <w:proofErr w:type="spellEnd"/>
      <w:r w:rsidRPr="00A42219">
        <w:rPr>
          <w:rFonts w:eastAsia="Times New Roman" w:cs="Arial"/>
          <w:lang w:eastAsia="fr-FR"/>
        </w:rPr>
        <w:t xml:space="preserve">), et sa meilleure partie. C'est par ce côté-là que la conservation de la commune rurale moyennant son évolution ultérieure se confond avec le mouvement général de la société russe, dont la régénération n'est qu'à ce prix. (Même au seul point de vue économique...) La Russie essayerait en vain de sortir de son impasse par le fermage capitaliste à l'anglaise auquel répugnent toutes les conditions sociales du pays. </w:t>
      </w:r>
    </w:p>
    <w:p w14:paraId="14879552" w14:textId="77777777" w:rsidR="00CA0BD2" w:rsidRDefault="00CA0BD2" w:rsidP="00CA0BD2">
      <w:pPr>
        <w:snapToGrid w:val="0"/>
        <w:spacing w:before="120" w:beforeAutospacing="0" w:after="120" w:afterAutospacing="0" w:line="240" w:lineRule="auto"/>
        <w:rPr>
          <w:rFonts w:eastAsia="Times New Roman" w:cs="Arial"/>
          <w:lang w:eastAsia="fr-FR"/>
        </w:rPr>
      </w:pPr>
      <w:r w:rsidRPr="00A42219">
        <w:rPr>
          <w:rFonts w:eastAsia="Times New Roman" w:cs="Arial"/>
          <w:lang w:eastAsia="fr-FR"/>
        </w:rPr>
        <w:t>Les Anglais eux-mêmes ont fait de pareils efforts aux Indes Orientales</w:t>
      </w:r>
      <w:r>
        <w:rPr>
          <w:rFonts w:eastAsia="Times New Roman" w:cs="Arial"/>
          <w:lang w:eastAsia="fr-FR"/>
        </w:rPr>
        <w:t xml:space="preserve"> </w:t>
      </w:r>
      <w:r w:rsidRPr="00A42219">
        <w:rPr>
          <w:rFonts w:eastAsia="Times New Roman" w:cs="Arial"/>
          <w:lang w:eastAsia="fr-FR"/>
        </w:rPr>
        <w:t xml:space="preserve">; ils ont seulement réussi à gâter l'agriculture indigène et à redoubler le nombre et l'intensité des famines.) Les Anglais eux-mêmes ont fait de telles tentatives aux Indes Orientales, ils ont seulement réussi à gâter l'agriculture indigène et à redoubler le nombre et l'intensité des famines. </w:t>
      </w:r>
    </w:p>
    <w:p w14:paraId="30781D11" w14:textId="77777777" w:rsidR="00CA0BD2" w:rsidRDefault="00CA0BD2" w:rsidP="00CA0BD2">
      <w:pPr>
        <w:snapToGrid w:val="0"/>
        <w:spacing w:before="120" w:beforeAutospacing="0" w:after="120" w:afterAutospacing="0" w:line="240" w:lineRule="auto"/>
        <w:rPr>
          <w:rFonts w:eastAsia="Times New Roman" w:cs="Arial"/>
          <w:lang w:eastAsia="fr-FR"/>
        </w:rPr>
      </w:pPr>
      <w:r w:rsidRPr="00A42219">
        <w:rPr>
          <w:rFonts w:eastAsia="Times New Roman" w:cs="Arial"/>
          <w:lang w:eastAsia="fr-FR"/>
        </w:rPr>
        <w:t xml:space="preserve">Mais l'anathème qui frappe la commune son isolation, le manque de liaison entre la vie d'une commune avec celle des autres, ce microcosme localisé qui lui a jusqu'ici interdit toute initiative </w:t>
      </w:r>
      <w:proofErr w:type="gramStart"/>
      <w:r w:rsidRPr="00A42219">
        <w:rPr>
          <w:rFonts w:eastAsia="Times New Roman" w:cs="Arial"/>
          <w:lang w:eastAsia="fr-FR"/>
        </w:rPr>
        <w:t>historique?</w:t>
      </w:r>
      <w:proofErr w:type="gramEnd"/>
      <w:r w:rsidRPr="00A42219">
        <w:rPr>
          <w:rFonts w:eastAsia="Times New Roman" w:cs="Arial"/>
          <w:lang w:eastAsia="fr-FR"/>
        </w:rPr>
        <w:t xml:space="preserve"> Il disparaîtrait au </w:t>
      </w:r>
      <w:proofErr w:type="spellStart"/>
      <w:r w:rsidRPr="00A42219">
        <w:rPr>
          <w:rFonts w:eastAsia="Times New Roman" w:cs="Arial"/>
          <w:lang w:eastAsia="fr-FR"/>
        </w:rPr>
        <w:t>mileu</w:t>
      </w:r>
      <w:proofErr w:type="spellEnd"/>
      <w:r w:rsidRPr="00A42219">
        <w:rPr>
          <w:rFonts w:eastAsia="Times New Roman" w:cs="Arial"/>
          <w:lang w:eastAsia="fr-FR"/>
        </w:rPr>
        <w:t xml:space="preserve"> d'une commotion générale de la société russe. </w:t>
      </w:r>
    </w:p>
    <w:p w14:paraId="0AFFEA73" w14:textId="77777777" w:rsidR="00CA0BD2" w:rsidRPr="00A42219" w:rsidRDefault="00CA0BD2" w:rsidP="00CA0BD2">
      <w:pPr>
        <w:snapToGrid w:val="0"/>
        <w:spacing w:before="120" w:beforeAutospacing="0" w:after="120" w:afterAutospacing="0" w:line="240" w:lineRule="auto"/>
        <w:rPr>
          <w:rFonts w:ascii="Times New Roman" w:eastAsia="Times New Roman" w:hAnsi="Times New Roman" w:cs="Times New Roman"/>
          <w:lang w:eastAsia="fr-FR"/>
        </w:rPr>
      </w:pPr>
      <w:r w:rsidRPr="00A42219">
        <w:rPr>
          <w:rFonts w:eastAsia="Times New Roman" w:cs="Arial"/>
          <w:lang w:eastAsia="fr-FR"/>
        </w:rPr>
        <w:t xml:space="preserve">(1) La familiarité du paysan russe avec </w:t>
      </w:r>
      <w:r>
        <w:rPr>
          <w:rFonts w:eastAsia="Times New Roman" w:cs="Arial"/>
          <w:lang w:eastAsia="fr-FR"/>
        </w:rPr>
        <w:t>l’</w:t>
      </w:r>
      <w:r w:rsidRPr="00A42219">
        <w:rPr>
          <w:rFonts w:eastAsia="Times New Roman" w:cs="Arial"/>
          <w:lang w:eastAsia="fr-FR"/>
        </w:rPr>
        <w:t>artel lui faciliterait spécialement</w:t>
      </w:r>
      <w:r>
        <w:rPr>
          <w:rFonts w:ascii="Times New Roman" w:eastAsia="Times New Roman" w:hAnsi="Times New Roman" w:cs="Times New Roman"/>
          <w:lang w:eastAsia="fr-FR"/>
        </w:rPr>
        <w:t xml:space="preserve"> </w:t>
      </w:r>
      <w:r w:rsidRPr="00A42219">
        <w:rPr>
          <w:rFonts w:eastAsia="Times New Roman" w:cs="Arial"/>
          <w:lang w:eastAsia="fr-FR"/>
        </w:rPr>
        <w:t>la transition du travail parcellaire au travail coopératif qu'il applique à un certain degré (dans les prairies indivises et quelques entreprises d'intérêt général) du reste déjà au fanage des prés et à des entreprises communales telles que les dessèchements etc. Une péculiarité toute archaïque, la bête noire des agronomes modernes conspire encore dans ce sens. Arrivez dans un pays quelconque où la terre labourable trahit les traces d'un dépècement étrange qui lui imprime la forme d'un échiquier composé de petits champs, et il n'y a pas de doute, voilà le domaine (l'une commune agricole, morte. Les membres, sans avoir passé par l'étude de la théorie de la rente foncière, s'aperçurent qu'une même somme de labeur, dépensée sur des champs différents en fertilité naturelle et de situation, donnera des rapports différents. Pour (assurer les mêmes avantages économiques) égaliser les chances du travail, ils divisèrent donc la terre en un certain nombre de régions, déterminé par les divergences naturelles et économiques du sol et dépecèrent alors de nouveau toutes ces régions plus larges en autant de parcelles qu'il y avait de laboureurs. Puis chacun reçut un lopin en chaque région. Cet arrangement perpétué par la commune russe jusqu'aujourd'hui est réfractaire, il va sans dire, aux exigences agronomes (et de la culture collective et de la culture individuelle privée). A part d'autres inconvénients, il nécessite une dissipation de force et de temps. (Même comme point de départ à la culture collective, il y a de grands avantages. Arrondissez le champ de travail du paysan, il y régnera en maître.) Néanmoins, il favorise (comme point du départ) la transition à la culture collective, à laquelle il semble si réfractaire à première vue. La parcelle (...).</w:t>
      </w:r>
      <w:r>
        <w:rPr>
          <w:rFonts w:eastAsia="Times New Roman" w:cs="Arial"/>
          <w:lang w:eastAsia="fr-FR"/>
        </w:rPr>
        <w:t> »</w:t>
      </w:r>
      <w:r w:rsidRPr="00A42219">
        <w:rPr>
          <w:rFonts w:eastAsia="Times New Roman" w:cs="Arial"/>
          <w:lang w:eastAsia="fr-FR"/>
        </w:rPr>
        <w:t xml:space="preserve"> </w:t>
      </w:r>
    </w:p>
    <w:p w14:paraId="16D1E604" w14:textId="77777777" w:rsidR="00CA0BD2" w:rsidRDefault="00CA0BD2" w:rsidP="00CA0BD2">
      <w:pPr>
        <w:snapToGrid w:val="0"/>
        <w:spacing w:before="120" w:beforeAutospacing="0" w:after="120" w:afterAutospacing="0" w:line="240" w:lineRule="auto"/>
        <w:rPr>
          <w:rFonts w:eastAsia="Times New Roman" w:cs="Times New Roman"/>
          <w:lang w:eastAsia="fr-FR"/>
        </w:rPr>
      </w:pPr>
    </w:p>
    <w:p w14:paraId="10ECB447" w14:textId="77777777" w:rsidR="008765DD" w:rsidRPr="009A5B8A" w:rsidRDefault="008765DD" w:rsidP="008765DD">
      <w:pPr>
        <w:pStyle w:val="Paragraphedeliste"/>
        <w:snapToGrid w:val="0"/>
        <w:spacing w:before="120" w:beforeAutospacing="0" w:after="120" w:afterAutospacing="0" w:line="240" w:lineRule="auto"/>
        <w:ind w:left="0" w:firstLine="0"/>
        <w:contextualSpacing w:val="0"/>
      </w:pPr>
    </w:p>
    <w:p w14:paraId="63CCB0C7" w14:textId="77777777" w:rsidR="009A5B8A" w:rsidRPr="009A5B8A" w:rsidRDefault="009A5B8A" w:rsidP="00CA0BD2">
      <w:pPr>
        <w:snapToGrid w:val="0"/>
        <w:spacing w:before="120" w:beforeAutospacing="0" w:after="120" w:afterAutospacing="0" w:line="240" w:lineRule="auto"/>
      </w:pPr>
    </w:p>
    <w:sectPr w:rsidR="009A5B8A" w:rsidRPr="009A5B8A" w:rsidSect="006701CB">
      <w:headerReference w:type="default" r:id="rId8"/>
      <w:footerReference w:type="even" r:id="rId9"/>
      <w:footerReference w:type="default" r:id="rId10"/>
      <w:pgSz w:w="11900" w:h="16840"/>
      <w:pgMar w:top="1114" w:right="1417" w:bottom="1417" w:left="1417" w:header="621"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841BF2" w14:textId="77777777" w:rsidR="00CE6B1B" w:rsidRDefault="00CE6B1B" w:rsidP="005A2D11">
      <w:pPr>
        <w:spacing w:before="0" w:after="0" w:line="240" w:lineRule="auto"/>
      </w:pPr>
      <w:r>
        <w:separator/>
      </w:r>
    </w:p>
  </w:endnote>
  <w:endnote w:type="continuationSeparator" w:id="0">
    <w:p w14:paraId="18F722C5" w14:textId="77777777" w:rsidR="00CE6B1B" w:rsidRDefault="00CE6B1B" w:rsidP="005A2D1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2"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365599394"/>
      <w:docPartObj>
        <w:docPartGallery w:val="Page Numbers (Bottom of Page)"/>
        <w:docPartUnique/>
      </w:docPartObj>
    </w:sdtPr>
    <w:sdtContent>
      <w:p w14:paraId="15263F5D" w14:textId="77777777" w:rsidR="000957CD" w:rsidRDefault="000957CD" w:rsidP="00151998">
        <w:pPr>
          <w:pStyle w:val="Pieddepage"/>
          <w:framePr w:wrap="none" w:vAnchor="text" w:hAnchor="margin" w:xAlign="outside"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775996F8" w14:textId="77777777" w:rsidR="000957CD" w:rsidRDefault="000957CD" w:rsidP="00751E1B">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587652921"/>
      <w:docPartObj>
        <w:docPartGallery w:val="Page Numbers (Bottom of Page)"/>
        <w:docPartUnique/>
      </w:docPartObj>
    </w:sdtPr>
    <w:sdtContent>
      <w:p w14:paraId="2D91AC2C" w14:textId="77777777" w:rsidR="000957CD" w:rsidRDefault="000957CD" w:rsidP="00151998">
        <w:pPr>
          <w:pStyle w:val="Pieddepage"/>
          <w:framePr w:wrap="none" w:vAnchor="text" w:hAnchor="margin" w:xAlign="outside"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6</w:t>
        </w:r>
        <w:r>
          <w:rPr>
            <w:rStyle w:val="Numrodepage"/>
          </w:rPr>
          <w:fldChar w:fldCharType="end"/>
        </w:r>
      </w:p>
    </w:sdtContent>
  </w:sdt>
  <w:p w14:paraId="4886EFFF" w14:textId="77777777" w:rsidR="000957CD" w:rsidRDefault="000957CD" w:rsidP="00751E1B">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0C1220" w14:textId="77777777" w:rsidR="00CE6B1B" w:rsidRDefault="00CE6B1B" w:rsidP="005A2D11">
      <w:pPr>
        <w:spacing w:before="0" w:after="0" w:line="240" w:lineRule="auto"/>
      </w:pPr>
      <w:r>
        <w:separator/>
      </w:r>
    </w:p>
  </w:footnote>
  <w:footnote w:type="continuationSeparator" w:id="0">
    <w:p w14:paraId="40323A4F" w14:textId="77777777" w:rsidR="00CE6B1B" w:rsidRDefault="00CE6B1B" w:rsidP="005A2D11">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6AAB52" w14:textId="16E30ADF" w:rsidR="000957CD" w:rsidRDefault="006701CB" w:rsidP="00751E1B">
    <w:pPr>
      <w:pStyle w:val="En-tte"/>
      <w:ind w:hanging="142"/>
      <w:jc w:val="left"/>
    </w:pPr>
    <w:r>
      <w:t>Marx et la terre – p</w:t>
    </w:r>
    <w:r w:rsidR="000957CD">
      <w:t>aul</w:t>
    </w:r>
    <w:r w:rsidR="009C6CD3">
      <w:t>.</w:t>
    </w:r>
    <w:r w:rsidR="000957CD">
      <w:t>guillibert@</w:t>
    </w:r>
    <w:r w:rsidR="009C6CD3">
      <w:t>univ-paris1.fr</w:t>
    </w:r>
    <w:r w:rsidR="000957CD">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7966A8F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A9C1BE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95A4328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F3C1FF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E1435A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1FA777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8E24F1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3B8F05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6BE242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238B38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721DED"/>
    <w:multiLevelType w:val="multilevel"/>
    <w:tmpl w:val="8258E148"/>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rPr>
        <w:i/>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0B637515"/>
    <w:multiLevelType w:val="hybridMultilevel"/>
    <w:tmpl w:val="6C56AB4E"/>
    <w:lvl w:ilvl="0" w:tplc="0D66853A">
      <w:start w:val="1"/>
      <w:numFmt w:val="decimal"/>
      <w:lvlText w:val="%1)"/>
      <w:lvlJc w:val="left"/>
      <w:pPr>
        <w:ind w:left="1069" w:hanging="360"/>
      </w:pPr>
      <w:rPr>
        <w:rFonts w:hint="default"/>
      </w:r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12" w15:restartNumberingAfterBreak="0">
    <w:nsid w:val="14DD20F2"/>
    <w:multiLevelType w:val="hybridMultilevel"/>
    <w:tmpl w:val="1882BD12"/>
    <w:lvl w:ilvl="0" w:tplc="040C0015">
      <w:start w:val="1"/>
      <w:numFmt w:val="upp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180949CE"/>
    <w:multiLevelType w:val="multilevel"/>
    <w:tmpl w:val="B2808B1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ascii="Garamond" w:hAnsi="Garamond" w:hint="default"/>
        <w:i/>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18D42D0C"/>
    <w:multiLevelType w:val="hybridMultilevel"/>
    <w:tmpl w:val="67E8944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1BB94212"/>
    <w:multiLevelType w:val="hybridMultilevel"/>
    <w:tmpl w:val="16A65584"/>
    <w:lvl w:ilvl="0" w:tplc="040C0015">
      <w:start w:val="1"/>
      <w:numFmt w:val="upperLetter"/>
      <w:lvlText w:val="%1."/>
      <w:lvlJc w:val="left"/>
      <w:pPr>
        <w:ind w:left="1429" w:hanging="360"/>
      </w:pPr>
    </w:lvl>
    <w:lvl w:ilvl="1" w:tplc="040C0019">
      <w:start w:val="1"/>
      <w:numFmt w:val="lowerLetter"/>
      <w:lvlText w:val="%2."/>
      <w:lvlJc w:val="left"/>
      <w:pPr>
        <w:ind w:left="2149" w:hanging="360"/>
      </w:pPr>
    </w:lvl>
    <w:lvl w:ilvl="2" w:tplc="040C001B">
      <w:start w:val="1"/>
      <w:numFmt w:val="lowerRoman"/>
      <w:lvlText w:val="%3."/>
      <w:lvlJc w:val="right"/>
      <w:pPr>
        <w:ind w:left="2869" w:hanging="180"/>
      </w:pPr>
    </w:lvl>
    <w:lvl w:ilvl="3" w:tplc="040C000F">
      <w:start w:val="1"/>
      <w:numFmt w:val="decimal"/>
      <w:lvlText w:val="%4."/>
      <w:lvlJc w:val="left"/>
      <w:pPr>
        <w:ind w:left="3589" w:hanging="360"/>
      </w:pPr>
    </w:lvl>
    <w:lvl w:ilvl="4" w:tplc="040C0019">
      <w:start w:val="1"/>
      <w:numFmt w:val="lowerLetter"/>
      <w:lvlText w:val="%5."/>
      <w:lvlJc w:val="left"/>
      <w:pPr>
        <w:ind w:left="4309" w:hanging="360"/>
      </w:pPr>
    </w:lvl>
    <w:lvl w:ilvl="5" w:tplc="040C001B">
      <w:start w:val="1"/>
      <w:numFmt w:val="lowerRoman"/>
      <w:lvlText w:val="%6."/>
      <w:lvlJc w:val="right"/>
      <w:pPr>
        <w:ind w:left="5029" w:hanging="180"/>
      </w:pPr>
    </w:lvl>
    <w:lvl w:ilvl="6" w:tplc="040C000F">
      <w:start w:val="1"/>
      <w:numFmt w:val="decimal"/>
      <w:lvlText w:val="%7."/>
      <w:lvlJc w:val="left"/>
      <w:pPr>
        <w:ind w:left="5749" w:hanging="360"/>
      </w:pPr>
    </w:lvl>
    <w:lvl w:ilvl="7" w:tplc="040C0019" w:tentative="1">
      <w:start w:val="1"/>
      <w:numFmt w:val="lowerLetter"/>
      <w:lvlText w:val="%8."/>
      <w:lvlJc w:val="left"/>
      <w:pPr>
        <w:ind w:left="6469" w:hanging="360"/>
      </w:pPr>
    </w:lvl>
    <w:lvl w:ilvl="8" w:tplc="040C001B" w:tentative="1">
      <w:start w:val="1"/>
      <w:numFmt w:val="lowerRoman"/>
      <w:lvlText w:val="%9."/>
      <w:lvlJc w:val="right"/>
      <w:pPr>
        <w:ind w:left="7189" w:hanging="180"/>
      </w:pPr>
    </w:lvl>
  </w:abstractNum>
  <w:abstractNum w:abstractNumId="16" w15:restartNumberingAfterBreak="0">
    <w:nsid w:val="1BD577C1"/>
    <w:multiLevelType w:val="multilevel"/>
    <w:tmpl w:val="13D2B9FA"/>
    <w:lvl w:ilvl="0">
      <w:start w:val="1"/>
      <w:numFmt w:val="decimal"/>
      <w:lvlText w:val="%1."/>
      <w:lvlJc w:val="left"/>
      <w:pPr>
        <w:tabs>
          <w:tab w:val="num" w:pos="720"/>
        </w:tabs>
        <w:ind w:left="720" w:hanging="360"/>
      </w:pPr>
      <w:rPr>
        <w:rFonts w:ascii="Garamond" w:hAnsi="Garamond"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1E3C14EC"/>
    <w:multiLevelType w:val="hybridMultilevel"/>
    <w:tmpl w:val="0DB66B70"/>
    <w:lvl w:ilvl="0" w:tplc="43B627CC">
      <w:start w:val="1"/>
      <w:numFmt w:val="decimal"/>
      <w:lvlText w:val="%1)"/>
      <w:lvlJc w:val="left"/>
      <w:pPr>
        <w:ind w:left="1069"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15:restartNumberingAfterBreak="0">
    <w:nsid w:val="230A6EDE"/>
    <w:multiLevelType w:val="hybridMultilevel"/>
    <w:tmpl w:val="45BEF086"/>
    <w:lvl w:ilvl="0" w:tplc="43B627CC">
      <w:start w:val="1"/>
      <w:numFmt w:val="decimal"/>
      <w:lvlText w:val="%1)"/>
      <w:lvlJc w:val="left"/>
      <w:pPr>
        <w:ind w:left="1069" w:hanging="360"/>
      </w:pPr>
      <w:rPr>
        <w:rFonts w:hint="default"/>
      </w:r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19" w15:restartNumberingAfterBreak="0">
    <w:nsid w:val="2E150810"/>
    <w:multiLevelType w:val="hybridMultilevel"/>
    <w:tmpl w:val="0BAAD59E"/>
    <w:lvl w:ilvl="0" w:tplc="040C001B">
      <w:start w:val="1"/>
      <w:numFmt w:val="lowerRoman"/>
      <w:lvlText w:val="%1."/>
      <w:lvlJc w:val="right"/>
      <w:pPr>
        <w:ind w:left="2149" w:hanging="360"/>
      </w:pPr>
    </w:lvl>
    <w:lvl w:ilvl="1" w:tplc="040C0019" w:tentative="1">
      <w:start w:val="1"/>
      <w:numFmt w:val="lowerLetter"/>
      <w:lvlText w:val="%2."/>
      <w:lvlJc w:val="left"/>
      <w:pPr>
        <w:ind w:left="2869" w:hanging="360"/>
      </w:pPr>
    </w:lvl>
    <w:lvl w:ilvl="2" w:tplc="040C001B" w:tentative="1">
      <w:start w:val="1"/>
      <w:numFmt w:val="lowerRoman"/>
      <w:lvlText w:val="%3."/>
      <w:lvlJc w:val="right"/>
      <w:pPr>
        <w:ind w:left="3589" w:hanging="180"/>
      </w:pPr>
    </w:lvl>
    <w:lvl w:ilvl="3" w:tplc="040C000F" w:tentative="1">
      <w:start w:val="1"/>
      <w:numFmt w:val="decimal"/>
      <w:lvlText w:val="%4."/>
      <w:lvlJc w:val="left"/>
      <w:pPr>
        <w:ind w:left="4309" w:hanging="360"/>
      </w:pPr>
    </w:lvl>
    <w:lvl w:ilvl="4" w:tplc="040C0019" w:tentative="1">
      <w:start w:val="1"/>
      <w:numFmt w:val="lowerLetter"/>
      <w:lvlText w:val="%5."/>
      <w:lvlJc w:val="left"/>
      <w:pPr>
        <w:ind w:left="5029" w:hanging="360"/>
      </w:pPr>
    </w:lvl>
    <w:lvl w:ilvl="5" w:tplc="040C001B" w:tentative="1">
      <w:start w:val="1"/>
      <w:numFmt w:val="lowerRoman"/>
      <w:lvlText w:val="%6."/>
      <w:lvlJc w:val="right"/>
      <w:pPr>
        <w:ind w:left="5749" w:hanging="180"/>
      </w:pPr>
    </w:lvl>
    <w:lvl w:ilvl="6" w:tplc="040C000F" w:tentative="1">
      <w:start w:val="1"/>
      <w:numFmt w:val="decimal"/>
      <w:lvlText w:val="%7."/>
      <w:lvlJc w:val="left"/>
      <w:pPr>
        <w:ind w:left="6469" w:hanging="360"/>
      </w:pPr>
    </w:lvl>
    <w:lvl w:ilvl="7" w:tplc="040C0019" w:tentative="1">
      <w:start w:val="1"/>
      <w:numFmt w:val="lowerLetter"/>
      <w:lvlText w:val="%8."/>
      <w:lvlJc w:val="left"/>
      <w:pPr>
        <w:ind w:left="7189" w:hanging="360"/>
      </w:pPr>
    </w:lvl>
    <w:lvl w:ilvl="8" w:tplc="040C001B" w:tentative="1">
      <w:start w:val="1"/>
      <w:numFmt w:val="lowerRoman"/>
      <w:lvlText w:val="%9."/>
      <w:lvlJc w:val="right"/>
      <w:pPr>
        <w:ind w:left="7909" w:hanging="180"/>
      </w:pPr>
    </w:lvl>
  </w:abstractNum>
  <w:abstractNum w:abstractNumId="20" w15:restartNumberingAfterBreak="0">
    <w:nsid w:val="2F5D31F3"/>
    <w:multiLevelType w:val="multilevel"/>
    <w:tmpl w:val="77FCA3A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rFonts w:ascii="Garamond" w:hAnsi="Garamond" w:hint="default"/>
      </w:r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C954E90"/>
    <w:multiLevelType w:val="hybridMultilevel"/>
    <w:tmpl w:val="378A11B8"/>
    <w:lvl w:ilvl="0" w:tplc="CDC23F6A">
      <w:start w:val="2"/>
      <w:numFmt w:val="lowerRoman"/>
      <w:lvlText w:val="%1."/>
      <w:lvlJc w:val="left"/>
      <w:pPr>
        <w:ind w:left="2149" w:hanging="720"/>
      </w:pPr>
      <w:rPr>
        <w:rFonts w:hint="default"/>
      </w:rPr>
    </w:lvl>
    <w:lvl w:ilvl="1" w:tplc="040C0019" w:tentative="1">
      <w:start w:val="1"/>
      <w:numFmt w:val="lowerLetter"/>
      <w:lvlText w:val="%2."/>
      <w:lvlJc w:val="left"/>
      <w:pPr>
        <w:ind w:left="2509" w:hanging="360"/>
      </w:pPr>
    </w:lvl>
    <w:lvl w:ilvl="2" w:tplc="040C001B">
      <w:start w:val="1"/>
      <w:numFmt w:val="lowerRoman"/>
      <w:lvlText w:val="%3."/>
      <w:lvlJc w:val="right"/>
      <w:pPr>
        <w:ind w:left="3229" w:hanging="180"/>
      </w:pPr>
    </w:lvl>
    <w:lvl w:ilvl="3" w:tplc="040C000F" w:tentative="1">
      <w:start w:val="1"/>
      <w:numFmt w:val="decimal"/>
      <w:lvlText w:val="%4."/>
      <w:lvlJc w:val="left"/>
      <w:pPr>
        <w:ind w:left="3949" w:hanging="360"/>
      </w:pPr>
    </w:lvl>
    <w:lvl w:ilvl="4" w:tplc="040C0019" w:tentative="1">
      <w:start w:val="1"/>
      <w:numFmt w:val="lowerLetter"/>
      <w:lvlText w:val="%5."/>
      <w:lvlJc w:val="left"/>
      <w:pPr>
        <w:ind w:left="4669" w:hanging="360"/>
      </w:pPr>
    </w:lvl>
    <w:lvl w:ilvl="5" w:tplc="040C001B" w:tentative="1">
      <w:start w:val="1"/>
      <w:numFmt w:val="lowerRoman"/>
      <w:lvlText w:val="%6."/>
      <w:lvlJc w:val="right"/>
      <w:pPr>
        <w:ind w:left="5389" w:hanging="180"/>
      </w:pPr>
    </w:lvl>
    <w:lvl w:ilvl="6" w:tplc="040C000F" w:tentative="1">
      <w:start w:val="1"/>
      <w:numFmt w:val="decimal"/>
      <w:lvlText w:val="%7."/>
      <w:lvlJc w:val="left"/>
      <w:pPr>
        <w:ind w:left="6109" w:hanging="360"/>
      </w:pPr>
    </w:lvl>
    <w:lvl w:ilvl="7" w:tplc="040C0019" w:tentative="1">
      <w:start w:val="1"/>
      <w:numFmt w:val="lowerLetter"/>
      <w:lvlText w:val="%8."/>
      <w:lvlJc w:val="left"/>
      <w:pPr>
        <w:ind w:left="6829" w:hanging="360"/>
      </w:pPr>
    </w:lvl>
    <w:lvl w:ilvl="8" w:tplc="040C001B" w:tentative="1">
      <w:start w:val="1"/>
      <w:numFmt w:val="lowerRoman"/>
      <w:lvlText w:val="%9."/>
      <w:lvlJc w:val="right"/>
      <w:pPr>
        <w:ind w:left="7549" w:hanging="180"/>
      </w:pPr>
    </w:lvl>
  </w:abstractNum>
  <w:abstractNum w:abstractNumId="22" w15:restartNumberingAfterBreak="0">
    <w:nsid w:val="3CE73481"/>
    <w:multiLevelType w:val="hybridMultilevel"/>
    <w:tmpl w:val="E6D64A70"/>
    <w:lvl w:ilvl="0" w:tplc="AD8EA3CC">
      <w:start w:val="1"/>
      <w:numFmt w:val="lowerLetter"/>
      <w:lvlText w:val="%1)"/>
      <w:lvlJc w:val="left"/>
      <w:pPr>
        <w:ind w:left="1429" w:hanging="360"/>
      </w:pPr>
      <w:rPr>
        <w:i/>
      </w:rPr>
    </w:lvl>
    <w:lvl w:ilvl="1" w:tplc="040C0019" w:tentative="1">
      <w:start w:val="1"/>
      <w:numFmt w:val="lowerLetter"/>
      <w:lvlText w:val="%2."/>
      <w:lvlJc w:val="left"/>
      <w:pPr>
        <w:ind w:left="2149" w:hanging="360"/>
      </w:pPr>
    </w:lvl>
    <w:lvl w:ilvl="2" w:tplc="040C001B" w:tentative="1">
      <w:start w:val="1"/>
      <w:numFmt w:val="lowerRoman"/>
      <w:lvlText w:val="%3."/>
      <w:lvlJc w:val="right"/>
      <w:pPr>
        <w:ind w:left="2869" w:hanging="180"/>
      </w:pPr>
    </w:lvl>
    <w:lvl w:ilvl="3" w:tplc="040C000F" w:tentative="1">
      <w:start w:val="1"/>
      <w:numFmt w:val="decimal"/>
      <w:lvlText w:val="%4."/>
      <w:lvlJc w:val="left"/>
      <w:pPr>
        <w:ind w:left="3589" w:hanging="360"/>
      </w:pPr>
    </w:lvl>
    <w:lvl w:ilvl="4" w:tplc="040C0019" w:tentative="1">
      <w:start w:val="1"/>
      <w:numFmt w:val="lowerLetter"/>
      <w:lvlText w:val="%5."/>
      <w:lvlJc w:val="left"/>
      <w:pPr>
        <w:ind w:left="4309" w:hanging="360"/>
      </w:pPr>
    </w:lvl>
    <w:lvl w:ilvl="5" w:tplc="040C001B" w:tentative="1">
      <w:start w:val="1"/>
      <w:numFmt w:val="lowerRoman"/>
      <w:lvlText w:val="%6."/>
      <w:lvlJc w:val="right"/>
      <w:pPr>
        <w:ind w:left="5029" w:hanging="180"/>
      </w:pPr>
    </w:lvl>
    <w:lvl w:ilvl="6" w:tplc="040C000F" w:tentative="1">
      <w:start w:val="1"/>
      <w:numFmt w:val="decimal"/>
      <w:lvlText w:val="%7."/>
      <w:lvlJc w:val="left"/>
      <w:pPr>
        <w:ind w:left="5749" w:hanging="360"/>
      </w:pPr>
    </w:lvl>
    <w:lvl w:ilvl="7" w:tplc="040C0019" w:tentative="1">
      <w:start w:val="1"/>
      <w:numFmt w:val="lowerLetter"/>
      <w:lvlText w:val="%8."/>
      <w:lvlJc w:val="left"/>
      <w:pPr>
        <w:ind w:left="6469" w:hanging="360"/>
      </w:pPr>
    </w:lvl>
    <w:lvl w:ilvl="8" w:tplc="040C001B" w:tentative="1">
      <w:start w:val="1"/>
      <w:numFmt w:val="lowerRoman"/>
      <w:lvlText w:val="%9."/>
      <w:lvlJc w:val="right"/>
      <w:pPr>
        <w:ind w:left="7189" w:hanging="180"/>
      </w:pPr>
    </w:lvl>
  </w:abstractNum>
  <w:abstractNum w:abstractNumId="23" w15:restartNumberingAfterBreak="0">
    <w:nsid w:val="408E4CFF"/>
    <w:multiLevelType w:val="hybridMultilevel"/>
    <w:tmpl w:val="9CCCB81A"/>
    <w:lvl w:ilvl="0" w:tplc="E4EE24A0">
      <w:start w:val="1"/>
      <w:numFmt w:val="decimal"/>
      <w:lvlText w:val="%1."/>
      <w:lvlJc w:val="left"/>
      <w:pPr>
        <w:ind w:left="1069" w:hanging="360"/>
      </w:pPr>
      <w:rPr>
        <w:rFonts w:hint="default"/>
      </w:rPr>
    </w:lvl>
    <w:lvl w:ilvl="1" w:tplc="3D9E5340">
      <w:start w:val="1"/>
      <w:numFmt w:val="lowerLetter"/>
      <w:lvlText w:val="%2."/>
      <w:lvlJc w:val="left"/>
      <w:pPr>
        <w:ind w:left="1789" w:hanging="360"/>
      </w:pPr>
      <w:rPr>
        <w:b/>
      </w:r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24" w15:restartNumberingAfterBreak="0">
    <w:nsid w:val="4C692F0B"/>
    <w:multiLevelType w:val="hybridMultilevel"/>
    <w:tmpl w:val="9BB293AE"/>
    <w:lvl w:ilvl="0" w:tplc="0B400C2E">
      <w:start w:val="2"/>
      <w:numFmt w:val="decimal"/>
      <w:lvlText w:val="%1)"/>
      <w:lvlJc w:val="left"/>
      <w:pPr>
        <w:ind w:left="1429" w:hanging="360"/>
      </w:pPr>
      <w:rPr>
        <w:rFonts w:hint="default"/>
      </w:rPr>
    </w:lvl>
    <w:lvl w:ilvl="1" w:tplc="040C0019" w:tentative="1">
      <w:start w:val="1"/>
      <w:numFmt w:val="lowerLetter"/>
      <w:lvlText w:val="%2."/>
      <w:lvlJc w:val="left"/>
      <w:pPr>
        <w:ind w:left="2149" w:hanging="360"/>
      </w:pPr>
    </w:lvl>
    <w:lvl w:ilvl="2" w:tplc="040C001B" w:tentative="1">
      <w:start w:val="1"/>
      <w:numFmt w:val="lowerRoman"/>
      <w:lvlText w:val="%3."/>
      <w:lvlJc w:val="right"/>
      <w:pPr>
        <w:ind w:left="2869" w:hanging="180"/>
      </w:pPr>
    </w:lvl>
    <w:lvl w:ilvl="3" w:tplc="040C000F" w:tentative="1">
      <w:start w:val="1"/>
      <w:numFmt w:val="decimal"/>
      <w:lvlText w:val="%4."/>
      <w:lvlJc w:val="left"/>
      <w:pPr>
        <w:ind w:left="3589" w:hanging="360"/>
      </w:pPr>
    </w:lvl>
    <w:lvl w:ilvl="4" w:tplc="040C0019" w:tentative="1">
      <w:start w:val="1"/>
      <w:numFmt w:val="lowerLetter"/>
      <w:lvlText w:val="%5."/>
      <w:lvlJc w:val="left"/>
      <w:pPr>
        <w:ind w:left="4309" w:hanging="360"/>
      </w:pPr>
    </w:lvl>
    <w:lvl w:ilvl="5" w:tplc="040C001B" w:tentative="1">
      <w:start w:val="1"/>
      <w:numFmt w:val="lowerRoman"/>
      <w:lvlText w:val="%6."/>
      <w:lvlJc w:val="right"/>
      <w:pPr>
        <w:ind w:left="5029" w:hanging="180"/>
      </w:pPr>
    </w:lvl>
    <w:lvl w:ilvl="6" w:tplc="040C000F" w:tentative="1">
      <w:start w:val="1"/>
      <w:numFmt w:val="decimal"/>
      <w:lvlText w:val="%7."/>
      <w:lvlJc w:val="left"/>
      <w:pPr>
        <w:ind w:left="5749" w:hanging="360"/>
      </w:pPr>
    </w:lvl>
    <w:lvl w:ilvl="7" w:tplc="040C0019" w:tentative="1">
      <w:start w:val="1"/>
      <w:numFmt w:val="lowerLetter"/>
      <w:lvlText w:val="%8."/>
      <w:lvlJc w:val="left"/>
      <w:pPr>
        <w:ind w:left="6469" w:hanging="360"/>
      </w:pPr>
    </w:lvl>
    <w:lvl w:ilvl="8" w:tplc="040C001B" w:tentative="1">
      <w:start w:val="1"/>
      <w:numFmt w:val="lowerRoman"/>
      <w:lvlText w:val="%9."/>
      <w:lvlJc w:val="right"/>
      <w:pPr>
        <w:ind w:left="7189" w:hanging="180"/>
      </w:pPr>
    </w:lvl>
  </w:abstractNum>
  <w:abstractNum w:abstractNumId="25" w15:restartNumberingAfterBreak="0">
    <w:nsid w:val="4D045BFF"/>
    <w:multiLevelType w:val="hybridMultilevel"/>
    <w:tmpl w:val="3F506B34"/>
    <w:lvl w:ilvl="0" w:tplc="040C000F">
      <w:start w:val="1"/>
      <w:numFmt w:val="decimal"/>
      <w:lvlText w:val="%1."/>
      <w:lvlJc w:val="left"/>
      <w:pPr>
        <w:ind w:left="1429" w:hanging="360"/>
      </w:pPr>
    </w:lvl>
    <w:lvl w:ilvl="1" w:tplc="040C0019" w:tentative="1">
      <w:start w:val="1"/>
      <w:numFmt w:val="lowerLetter"/>
      <w:lvlText w:val="%2."/>
      <w:lvlJc w:val="left"/>
      <w:pPr>
        <w:ind w:left="2149" w:hanging="360"/>
      </w:pPr>
    </w:lvl>
    <w:lvl w:ilvl="2" w:tplc="040C001B" w:tentative="1">
      <w:start w:val="1"/>
      <w:numFmt w:val="lowerRoman"/>
      <w:lvlText w:val="%3."/>
      <w:lvlJc w:val="right"/>
      <w:pPr>
        <w:ind w:left="2869" w:hanging="180"/>
      </w:pPr>
    </w:lvl>
    <w:lvl w:ilvl="3" w:tplc="040C000F" w:tentative="1">
      <w:start w:val="1"/>
      <w:numFmt w:val="decimal"/>
      <w:lvlText w:val="%4."/>
      <w:lvlJc w:val="left"/>
      <w:pPr>
        <w:ind w:left="3589" w:hanging="360"/>
      </w:pPr>
    </w:lvl>
    <w:lvl w:ilvl="4" w:tplc="040C0019" w:tentative="1">
      <w:start w:val="1"/>
      <w:numFmt w:val="lowerLetter"/>
      <w:lvlText w:val="%5."/>
      <w:lvlJc w:val="left"/>
      <w:pPr>
        <w:ind w:left="4309" w:hanging="360"/>
      </w:pPr>
    </w:lvl>
    <w:lvl w:ilvl="5" w:tplc="040C001B" w:tentative="1">
      <w:start w:val="1"/>
      <w:numFmt w:val="lowerRoman"/>
      <w:lvlText w:val="%6."/>
      <w:lvlJc w:val="right"/>
      <w:pPr>
        <w:ind w:left="5029" w:hanging="180"/>
      </w:pPr>
    </w:lvl>
    <w:lvl w:ilvl="6" w:tplc="040C000F" w:tentative="1">
      <w:start w:val="1"/>
      <w:numFmt w:val="decimal"/>
      <w:lvlText w:val="%7."/>
      <w:lvlJc w:val="left"/>
      <w:pPr>
        <w:ind w:left="5749" w:hanging="360"/>
      </w:pPr>
    </w:lvl>
    <w:lvl w:ilvl="7" w:tplc="040C0019" w:tentative="1">
      <w:start w:val="1"/>
      <w:numFmt w:val="lowerLetter"/>
      <w:lvlText w:val="%8."/>
      <w:lvlJc w:val="left"/>
      <w:pPr>
        <w:ind w:left="6469" w:hanging="360"/>
      </w:pPr>
    </w:lvl>
    <w:lvl w:ilvl="8" w:tplc="040C001B" w:tentative="1">
      <w:start w:val="1"/>
      <w:numFmt w:val="lowerRoman"/>
      <w:lvlText w:val="%9."/>
      <w:lvlJc w:val="right"/>
      <w:pPr>
        <w:ind w:left="7189" w:hanging="180"/>
      </w:pPr>
    </w:lvl>
  </w:abstractNum>
  <w:abstractNum w:abstractNumId="26" w15:restartNumberingAfterBreak="0">
    <w:nsid w:val="4E6B1FB1"/>
    <w:multiLevelType w:val="multilevel"/>
    <w:tmpl w:val="B2808B1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ascii="Garamond" w:hAnsi="Garamond" w:hint="default"/>
        <w:i/>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4EFD0803"/>
    <w:multiLevelType w:val="hybridMultilevel"/>
    <w:tmpl w:val="0DB66B70"/>
    <w:lvl w:ilvl="0" w:tplc="43B627CC">
      <w:start w:val="1"/>
      <w:numFmt w:val="decimal"/>
      <w:lvlText w:val="%1)"/>
      <w:lvlJc w:val="left"/>
      <w:pPr>
        <w:ind w:left="1069"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15:restartNumberingAfterBreak="0">
    <w:nsid w:val="595A2CD9"/>
    <w:multiLevelType w:val="hybridMultilevel"/>
    <w:tmpl w:val="79E4B90E"/>
    <w:lvl w:ilvl="0" w:tplc="040C000F">
      <w:start w:val="1"/>
      <w:numFmt w:val="decimal"/>
      <w:lvlText w:val="%1."/>
      <w:lvlJc w:val="left"/>
      <w:pPr>
        <w:ind w:left="1776" w:hanging="360"/>
      </w:pPr>
    </w:lvl>
    <w:lvl w:ilvl="1" w:tplc="040C0019" w:tentative="1">
      <w:start w:val="1"/>
      <w:numFmt w:val="lowerLetter"/>
      <w:lvlText w:val="%2."/>
      <w:lvlJc w:val="left"/>
      <w:pPr>
        <w:ind w:left="2496" w:hanging="360"/>
      </w:pPr>
    </w:lvl>
    <w:lvl w:ilvl="2" w:tplc="040C001B" w:tentative="1">
      <w:start w:val="1"/>
      <w:numFmt w:val="lowerRoman"/>
      <w:lvlText w:val="%3."/>
      <w:lvlJc w:val="right"/>
      <w:pPr>
        <w:ind w:left="3216" w:hanging="180"/>
      </w:pPr>
    </w:lvl>
    <w:lvl w:ilvl="3" w:tplc="040C000F" w:tentative="1">
      <w:start w:val="1"/>
      <w:numFmt w:val="decimal"/>
      <w:lvlText w:val="%4."/>
      <w:lvlJc w:val="left"/>
      <w:pPr>
        <w:ind w:left="3936" w:hanging="360"/>
      </w:pPr>
    </w:lvl>
    <w:lvl w:ilvl="4" w:tplc="040C0019" w:tentative="1">
      <w:start w:val="1"/>
      <w:numFmt w:val="lowerLetter"/>
      <w:lvlText w:val="%5."/>
      <w:lvlJc w:val="left"/>
      <w:pPr>
        <w:ind w:left="4656" w:hanging="360"/>
      </w:pPr>
    </w:lvl>
    <w:lvl w:ilvl="5" w:tplc="040C001B" w:tentative="1">
      <w:start w:val="1"/>
      <w:numFmt w:val="lowerRoman"/>
      <w:lvlText w:val="%6."/>
      <w:lvlJc w:val="right"/>
      <w:pPr>
        <w:ind w:left="5376" w:hanging="180"/>
      </w:pPr>
    </w:lvl>
    <w:lvl w:ilvl="6" w:tplc="040C000F" w:tentative="1">
      <w:start w:val="1"/>
      <w:numFmt w:val="decimal"/>
      <w:lvlText w:val="%7."/>
      <w:lvlJc w:val="left"/>
      <w:pPr>
        <w:ind w:left="6096" w:hanging="360"/>
      </w:pPr>
    </w:lvl>
    <w:lvl w:ilvl="7" w:tplc="040C0019" w:tentative="1">
      <w:start w:val="1"/>
      <w:numFmt w:val="lowerLetter"/>
      <w:lvlText w:val="%8."/>
      <w:lvlJc w:val="left"/>
      <w:pPr>
        <w:ind w:left="6816" w:hanging="360"/>
      </w:pPr>
    </w:lvl>
    <w:lvl w:ilvl="8" w:tplc="040C001B" w:tentative="1">
      <w:start w:val="1"/>
      <w:numFmt w:val="lowerRoman"/>
      <w:lvlText w:val="%9."/>
      <w:lvlJc w:val="right"/>
      <w:pPr>
        <w:ind w:left="7536" w:hanging="180"/>
      </w:pPr>
    </w:lvl>
  </w:abstractNum>
  <w:abstractNum w:abstractNumId="29" w15:restartNumberingAfterBreak="0">
    <w:nsid w:val="5A287E76"/>
    <w:multiLevelType w:val="hybridMultilevel"/>
    <w:tmpl w:val="41FCC7E4"/>
    <w:lvl w:ilvl="0" w:tplc="A04051FA">
      <w:start w:val="1"/>
      <w:numFmt w:val="decimal"/>
      <w:lvlText w:val="%1)"/>
      <w:lvlJc w:val="left"/>
      <w:pPr>
        <w:ind w:left="1069" w:hanging="360"/>
      </w:pPr>
      <w:rPr>
        <w:rFonts w:hint="default"/>
      </w:r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30" w15:restartNumberingAfterBreak="0">
    <w:nsid w:val="5AD55C69"/>
    <w:multiLevelType w:val="hybridMultilevel"/>
    <w:tmpl w:val="92E8440E"/>
    <w:lvl w:ilvl="0" w:tplc="DBC0FAE4">
      <w:start w:val="1"/>
      <w:numFmt w:val="decimal"/>
      <w:lvlText w:val="%1)"/>
      <w:lvlJc w:val="left"/>
      <w:pPr>
        <w:ind w:left="1069" w:hanging="360"/>
      </w:pPr>
      <w:rPr>
        <w:rFonts w:hint="default"/>
      </w:r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31" w15:restartNumberingAfterBreak="0">
    <w:nsid w:val="65BE0016"/>
    <w:multiLevelType w:val="hybridMultilevel"/>
    <w:tmpl w:val="01DC9E20"/>
    <w:lvl w:ilvl="0" w:tplc="15F22DC4">
      <w:start w:val="1"/>
      <w:numFmt w:val="lowerRoman"/>
      <w:lvlText w:val="(%1)."/>
      <w:lvlJc w:val="right"/>
      <w:pPr>
        <w:ind w:left="720" w:hanging="360"/>
      </w:pPr>
      <w:rPr>
        <w:rFonts w:hint="default"/>
      </w:rPr>
    </w:lvl>
    <w:lvl w:ilvl="1" w:tplc="040C0019" w:tentative="1">
      <w:start w:val="1"/>
      <w:numFmt w:val="lowerLetter"/>
      <w:lvlText w:val="%2."/>
      <w:lvlJc w:val="left"/>
      <w:pPr>
        <w:ind w:left="2869" w:hanging="360"/>
      </w:pPr>
    </w:lvl>
    <w:lvl w:ilvl="2" w:tplc="040C001B" w:tentative="1">
      <w:start w:val="1"/>
      <w:numFmt w:val="lowerRoman"/>
      <w:lvlText w:val="%3."/>
      <w:lvlJc w:val="right"/>
      <w:pPr>
        <w:ind w:left="3589" w:hanging="180"/>
      </w:pPr>
    </w:lvl>
    <w:lvl w:ilvl="3" w:tplc="040C000F" w:tentative="1">
      <w:start w:val="1"/>
      <w:numFmt w:val="decimal"/>
      <w:lvlText w:val="%4."/>
      <w:lvlJc w:val="left"/>
      <w:pPr>
        <w:ind w:left="4309" w:hanging="360"/>
      </w:pPr>
    </w:lvl>
    <w:lvl w:ilvl="4" w:tplc="040C0019" w:tentative="1">
      <w:start w:val="1"/>
      <w:numFmt w:val="lowerLetter"/>
      <w:lvlText w:val="%5."/>
      <w:lvlJc w:val="left"/>
      <w:pPr>
        <w:ind w:left="5029" w:hanging="360"/>
      </w:pPr>
    </w:lvl>
    <w:lvl w:ilvl="5" w:tplc="040C001B" w:tentative="1">
      <w:start w:val="1"/>
      <w:numFmt w:val="lowerRoman"/>
      <w:lvlText w:val="%6."/>
      <w:lvlJc w:val="right"/>
      <w:pPr>
        <w:ind w:left="5749" w:hanging="180"/>
      </w:pPr>
    </w:lvl>
    <w:lvl w:ilvl="6" w:tplc="040C000F" w:tentative="1">
      <w:start w:val="1"/>
      <w:numFmt w:val="decimal"/>
      <w:lvlText w:val="%7."/>
      <w:lvlJc w:val="left"/>
      <w:pPr>
        <w:ind w:left="6469" w:hanging="360"/>
      </w:pPr>
    </w:lvl>
    <w:lvl w:ilvl="7" w:tplc="040C0019" w:tentative="1">
      <w:start w:val="1"/>
      <w:numFmt w:val="lowerLetter"/>
      <w:lvlText w:val="%8."/>
      <w:lvlJc w:val="left"/>
      <w:pPr>
        <w:ind w:left="7189" w:hanging="360"/>
      </w:pPr>
    </w:lvl>
    <w:lvl w:ilvl="8" w:tplc="040C001B" w:tentative="1">
      <w:start w:val="1"/>
      <w:numFmt w:val="lowerRoman"/>
      <w:lvlText w:val="%9."/>
      <w:lvlJc w:val="right"/>
      <w:pPr>
        <w:ind w:left="7909" w:hanging="180"/>
      </w:pPr>
    </w:lvl>
  </w:abstractNum>
  <w:abstractNum w:abstractNumId="32" w15:restartNumberingAfterBreak="0">
    <w:nsid w:val="66465A07"/>
    <w:multiLevelType w:val="hybridMultilevel"/>
    <w:tmpl w:val="C4EAD5AA"/>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3" w15:restartNumberingAfterBreak="0">
    <w:nsid w:val="6A5A3B7F"/>
    <w:multiLevelType w:val="hybridMultilevel"/>
    <w:tmpl w:val="E800EDDA"/>
    <w:lvl w:ilvl="0" w:tplc="040C000F">
      <w:start w:val="1"/>
      <w:numFmt w:val="decimal"/>
      <w:lvlText w:val="%1."/>
      <w:lvlJc w:val="left"/>
      <w:pPr>
        <w:ind w:left="1789" w:hanging="360"/>
      </w:pPr>
    </w:lvl>
    <w:lvl w:ilvl="1" w:tplc="040C0019" w:tentative="1">
      <w:start w:val="1"/>
      <w:numFmt w:val="lowerLetter"/>
      <w:lvlText w:val="%2."/>
      <w:lvlJc w:val="left"/>
      <w:pPr>
        <w:ind w:left="2509" w:hanging="360"/>
      </w:pPr>
    </w:lvl>
    <w:lvl w:ilvl="2" w:tplc="040C001B" w:tentative="1">
      <w:start w:val="1"/>
      <w:numFmt w:val="lowerRoman"/>
      <w:lvlText w:val="%3."/>
      <w:lvlJc w:val="right"/>
      <w:pPr>
        <w:ind w:left="3229" w:hanging="180"/>
      </w:pPr>
    </w:lvl>
    <w:lvl w:ilvl="3" w:tplc="040C000F" w:tentative="1">
      <w:start w:val="1"/>
      <w:numFmt w:val="decimal"/>
      <w:lvlText w:val="%4."/>
      <w:lvlJc w:val="left"/>
      <w:pPr>
        <w:ind w:left="3949" w:hanging="360"/>
      </w:pPr>
    </w:lvl>
    <w:lvl w:ilvl="4" w:tplc="040C0019" w:tentative="1">
      <w:start w:val="1"/>
      <w:numFmt w:val="lowerLetter"/>
      <w:lvlText w:val="%5."/>
      <w:lvlJc w:val="left"/>
      <w:pPr>
        <w:ind w:left="4669" w:hanging="360"/>
      </w:pPr>
    </w:lvl>
    <w:lvl w:ilvl="5" w:tplc="040C001B" w:tentative="1">
      <w:start w:val="1"/>
      <w:numFmt w:val="lowerRoman"/>
      <w:lvlText w:val="%6."/>
      <w:lvlJc w:val="right"/>
      <w:pPr>
        <w:ind w:left="5389" w:hanging="180"/>
      </w:pPr>
    </w:lvl>
    <w:lvl w:ilvl="6" w:tplc="040C000F" w:tentative="1">
      <w:start w:val="1"/>
      <w:numFmt w:val="decimal"/>
      <w:lvlText w:val="%7."/>
      <w:lvlJc w:val="left"/>
      <w:pPr>
        <w:ind w:left="6109" w:hanging="360"/>
      </w:pPr>
    </w:lvl>
    <w:lvl w:ilvl="7" w:tplc="040C0019" w:tentative="1">
      <w:start w:val="1"/>
      <w:numFmt w:val="lowerLetter"/>
      <w:lvlText w:val="%8."/>
      <w:lvlJc w:val="left"/>
      <w:pPr>
        <w:ind w:left="6829" w:hanging="360"/>
      </w:pPr>
    </w:lvl>
    <w:lvl w:ilvl="8" w:tplc="040C001B" w:tentative="1">
      <w:start w:val="1"/>
      <w:numFmt w:val="lowerRoman"/>
      <w:lvlText w:val="%9."/>
      <w:lvlJc w:val="right"/>
      <w:pPr>
        <w:ind w:left="7549" w:hanging="180"/>
      </w:pPr>
    </w:lvl>
  </w:abstractNum>
  <w:abstractNum w:abstractNumId="34" w15:restartNumberingAfterBreak="0">
    <w:nsid w:val="76DD4A21"/>
    <w:multiLevelType w:val="hybridMultilevel"/>
    <w:tmpl w:val="A3C09D98"/>
    <w:lvl w:ilvl="0" w:tplc="040C0015">
      <w:start w:val="1"/>
      <w:numFmt w:val="upperLetter"/>
      <w:lvlText w:val="%1."/>
      <w:lvlJc w:val="left"/>
      <w:pPr>
        <w:ind w:left="1429" w:hanging="360"/>
      </w:pPr>
    </w:lvl>
    <w:lvl w:ilvl="1" w:tplc="040C0019">
      <w:start w:val="1"/>
      <w:numFmt w:val="lowerLetter"/>
      <w:lvlText w:val="%2."/>
      <w:lvlJc w:val="left"/>
      <w:pPr>
        <w:ind w:left="2149" w:hanging="360"/>
      </w:pPr>
    </w:lvl>
    <w:lvl w:ilvl="2" w:tplc="040C001B">
      <w:start w:val="1"/>
      <w:numFmt w:val="lowerRoman"/>
      <w:lvlText w:val="%3."/>
      <w:lvlJc w:val="right"/>
      <w:pPr>
        <w:ind w:left="2869" w:hanging="180"/>
      </w:pPr>
    </w:lvl>
    <w:lvl w:ilvl="3" w:tplc="040C000F">
      <w:start w:val="1"/>
      <w:numFmt w:val="decimal"/>
      <w:lvlText w:val="%4."/>
      <w:lvlJc w:val="left"/>
      <w:pPr>
        <w:ind w:left="3589" w:hanging="360"/>
      </w:pPr>
    </w:lvl>
    <w:lvl w:ilvl="4" w:tplc="040C0019">
      <w:start w:val="1"/>
      <w:numFmt w:val="lowerLetter"/>
      <w:lvlText w:val="%5."/>
      <w:lvlJc w:val="left"/>
      <w:pPr>
        <w:ind w:left="4309" w:hanging="360"/>
      </w:pPr>
    </w:lvl>
    <w:lvl w:ilvl="5" w:tplc="040C001B">
      <w:start w:val="1"/>
      <w:numFmt w:val="lowerRoman"/>
      <w:lvlText w:val="%6."/>
      <w:lvlJc w:val="right"/>
      <w:pPr>
        <w:ind w:left="5029" w:hanging="180"/>
      </w:pPr>
    </w:lvl>
    <w:lvl w:ilvl="6" w:tplc="040C000F">
      <w:start w:val="1"/>
      <w:numFmt w:val="decimal"/>
      <w:lvlText w:val="%7."/>
      <w:lvlJc w:val="left"/>
      <w:pPr>
        <w:ind w:left="5749" w:hanging="360"/>
      </w:pPr>
    </w:lvl>
    <w:lvl w:ilvl="7" w:tplc="040C0019" w:tentative="1">
      <w:start w:val="1"/>
      <w:numFmt w:val="lowerLetter"/>
      <w:lvlText w:val="%8."/>
      <w:lvlJc w:val="left"/>
      <w:pPr>
        <w:ind w:left="6469" w:hanging="360"/>
      </w:pPr>
    </w:lvl>
    <w:lvl w:ilvl="8" w:tplc="040C001B" w:tentative="1">
      <w:start w:val="1"/>
      <w:numFmt w:val="lowerRoman"/>
      <w:lvlText w:val="%9."/>
      <w:lvlJc w:val="right"/>
      <w:pPr>
        <w:ind w:left="7189" w:hanging="180"/>
      </w:pPr>
    </w:lvl>
  </w:abstractNum>
  <w:abstractNum w:abstractNumId="35" w15:restartNumberingAfterBreak="0">
    <w:nsid w:val="7BA822B4"/>
    <w:multiLevelType w:val="hybridMultilevel"/>
    <w:tmpl w:val="6FB2894A"/>
    <w:lvl w:ilvl="0" w:tplc="040C001B">
      <w:start w:val="1"/>
      <w:numFmt w:val="lowerRoman"/>
      <w:lvlText w:val="%1."/>
      <w:lvlJc w:val="right"/>
      <w:pPr>
        <w:ind w:left="1429" w:hanging="360"/>
      </w:pPr>
    </w:lvl>
    <w:lvl w:ilvl="1" w:tplc="040C0019" w:tentative="1">
      <w:start w:val="1"/>
      <w:numFmt w:val="lowerLetter"/>
      <w:lvlText w:val="%2."/>
      <w:lvlJc w:val="left"/>
      <w:pPr>
        <w:ind w:left="2149" w:hanging="360"/>
      </w:pPr>
    </w:lvl>
    <w:lvl w:ilvl="2" w:tplc="040C001B" w:tentative="1">
      <w:start w:val="1"/>
      <w:numFmt w:val="lowerRoman"/>
      <w:lvlText w:val="%3."/>
      <w:lvlJc w:val="right"/>
      <w:pPr>
        <w:ind w:left="2869" w:hanging="180"/>
      </w:pPr>
    </w:lvl>
    <w:lvl w:ilvl="3" w:tplc="040C000F" w:tentative="1">
      <w:start w:val="1"/>
      <w:numFmt w:val="decimal"/>
      <w:lvlText w:val="%4."/>
      <w:lvlJc w:val="left"/>
      <w:pPr>
        <w:ind w:left="3589" w:hanging="360"/>
      </w:pPr>
    </w:lvl>
    <w:lvl w:ilvl="4" w:tplc="040C0019" w:tentative="1">
      <w:start w:val="1"/>
      <w:numFmt w:val="lowerLetter"/>
      <w:lvlText w:val="%5."/>
      <w:lvlJc w:val="left"/>
      <w:pPr>
        <w:ind w:left="4309" w:hanging="360"/>
      </w:pPr>
    </w:lvl>
    <w:lvl w:ilvl="5" w:tplc="040C001B" w:tentative="1">
      <w:start w:val="1"/>
      <w:numFmt w:val="lowerRoman"/>
      <w:lvlText w:val="%6."/>
      <w:lvlJc w:val="right"/>
      <w:pPr>
        <w:ind w:left="5029" w:hanging="180"/>
      </w:pPr>
    </w:lvl>
    <w:lvl w:ilvl="6" w:tplc="040C000F" w:tentative="1">
      <w:start w:val="1"/>
      <w:numFmt w:val="decimal"/>
      <w:lvlText w:val="%7."/>
      <w:lvlJc w:val="left"/>
      <w:pPr>
        <w:ind w:left="5749" w:hanging="360"/>
      </w:pPr>
    </w:lvl>
    <w:lvl w:ilvl="7" w:tplc="040C0019" w:tentative="1">
      <w:start w:val="1"/>
      <w:numFmt w:val="lowerLetter"/>
      <w:lvlText w:val="%8."/>
      <w:lvlJc w:val="left"/>
      <w:pPr>
        <w:ind w:left="6469" w:hanging="360"/>
      </w:pPr>
    </w:lvl>
    <w:lvl w:ilvl="8" w:tplc="040C001B" w:tentative="1">
      <w:start w:val="1"/>
      <w:numFmt w:val="lowerRoman"/>
      <w:lvlText w:val="%9."/>
      <w:lvlJc w:val="right"/>
      <w:pPr>
        <w:ind w:left="7189" w:hanging="180"/>
      </w:pPr>
    </w:lvl>
  </w:abstractNum>
  <w:num w:numId="1" w16cid:durableId="1957566105">
    <w:abstractNumId w:val="14"/>
  </w:num>
  <w:num w:numId="2" w16cid:durableId="1258514936">
    <w:abstractNumId w:val="12"/>
  </w:num>
  <w:num w:numId="3" w16cid:durableId="1870678186">
    <w:abstractNumId w:val="32"/>
  </w:num>
  <w:num w:numId="4" w16cid:durableId="1216430569">
    <w:abstractNumId w:val="15"/>
  </w:num>
  <w:num w:numId="5" w16cid:durableId="2080443074">
    <w:abstractNumId w:val="13"/>
  </w:num>
  <w:num w:numId="6" w16cid:durableId="2052653349">
    <w:abstractNumId w:val="10"/>
  </w:num>
  <w:num w:numId="7" w16cid:durableId="1512376117">
    <w:abstractNumId w:val="25"/>
  </w:num>
  <w:num w:numId="8" w16cid:durableId="1209536176">
    <w:abstractNumId w:val="35"/>
  </w:num>
  <w:num w:numId="9" w16cid:durableId="1707759108">
    <w:abstractNumId w:val="19"/>
  </w:num>
  <w:num w:numId="10" w16cid:durableId="1358890490">
    <w:abstractNumId w:val="31"/>
  </w:num>
  <w:num w:numId="11" w16cid:durableId="1858498313">
    <w:abstractNumId w:val="21"/>
  </w:num>
  <w:num w:numId="12" w16cid:durableId="692266539">
    <w:abstractNumId w:val="4"/>
  </w:num>
  <w:num w:numId="13" w16cid:durableId="1472791083">
    <w:abstractNumId w:val="5"/>
  </w:num>
  <w:num w:numId="14" w16cid:durableId="1832989120">
    <w:abstractNumId w:val="6"/>
  </w:num>
  <w:num w:numId="15" w16cid:durableId="513804348">
    <w:abstractNumId w:val="7"/>
  </w:num>
  <w:num w:numId="16" w16cid:durableId="1132283013">
    <w:abstractNumId w:val="9"/>
  </w:num>
  <w:num w:numId="17" w16cid:durableId="757095903">
    <w:abstractNumId w:val="0"/>
  </w:num>
  <w:num w:numId="18" w16cid:durableId="1367215871">
    <w:abstractNumId w:val="1"/>
  </w:num>
  <w:num w:numId="19" w16cid:durableId="1029378503">
    <w:abstractNumId w:val="2"/>
  </w:num>
  <w:num w:numId="20" w16cid:durableId="1924874586">
    <w:abstractNumId w:val="3"/>
  </w:num>
  <w:num w:numId="21" w16cid:durableId="1345328351">
    <w:abstractNumId w:val="8"/>
  </w:num>
  <w:num w:numId="22" w16cid:durableId="837884135">
    <w:abstractNumId w:val="26"/>
  </w:num>
  <w:num w:numId="23" w16cid:durableId="15935810">
    <w:abstractNumId w:val="20"/>
  </w:num>
  <w:num w:numId="24" w16cid:durableId="1152409678">
    <w:abstractNumId w:val="16"/>
  </w:num>
  <w:num w:numId="25" w16cid:durableId="1178541563">
    <w:abstractNumId w:val="34"/>
  </w:num>
  <w:num w:numId="26" w16cid:durableId="449515164">
    <w:abstractNumId w:val="28"/>
  </w:num>
  <w:num w:numId="27" w16cid:durableId="1331760567">
    <w:abstractNumId w:val="22"/>
  </w:num>
  <w:num w:numId="28" w16cid:durableId="339505063">
    <w:abstractNumId w:val="23"/>
  </w:num>
  <w:num w:numId="29" w16cid:durableId="1331565133">
    <w:abstractNumId w:val="29"/>
  </w:num>
  <w:num w:numId="30" w16cid:durableId="192958445">
    <w:abstractNumId w:val="11"/>
  </w:num>
  <w:num w:numId="31" w16cid:durableId="1301040183">
    <w:abstractNumId w:val="18"/>
  </w:num>
  <w:num w:numId="32" w16cid:durableId="33895367">
    <w:abstractNumId w:val="27"/>
  </w:num>
  <w:num w:numId="33" w16cid:durableId="715084833">
    <w:abstractNumId w:val="17"/>
  </w:num>
  <w:num w:numId="34" w16cid:durableId="408814827">
    <w:abstractNumId w:val="24"/>
  </w:num>
  <w:num w:numId="35" w16cid:durableId="1548299661">
    <w:abstractNumId w:val="30"/>
  </w:num>
  <w:num w:numId="36" w16cid:durableId="909968811">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8"/>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20F7"/>
    <w:rsid w:val="00011104"/>
    <w:rsid w:val="00014329"/>
    <w:rsid w:val="0004182D"/>
    <w:rsid w:val="00042353"/>
    <w:rsid w:val="000473E1"/>
    <w:rsid w:val="000618A1"/>
    <w:rsid w:val="00061D8B"/>
    <w:rsid w:val="00063CF5"/>
    <w:rsid w:val="000743AC"/>
    <w:rsid w:val="00081E42"/>
    <w:rsid w:val="0008548A"/>
    <w:rsid w:val="000957CD"/>
    <w:rsid w:val="000A0A8E"/>
    <w:rsid w:val="000B1721"/>
    <w:rsid w:val="000D115C"/>
    <w:rsid w:val="000D6208"/>
    <w:rsid w:val="00117ACE"/>
    <w:rsid w:val="00140117"/>
    <w:rsid w:val="0014249E"/>
    <w:rsid w:val="00150448"/>
    <w:rsid w:val="00151998"/>
    <w:rsid w:val="00157C59"/>
    <w:rsid w:val="00192494"/>
    <w:rsid w:val="001B061C"/>
    <w:rsid w:val="001C504F"/>
    <w:rsid w:val="001C5B33"/>
    <w:rsid w:val="001C73C1"/>
    <w:rsid w:val="001E64DF"/>
    <w:rsid w:val="0021068B"/>
    <w:rsid w:val="00231378"/>
    <w:rsid w:val="002421AD"/>
    <w:rsid w:val="00243495"/>
    <w:rsid w:val="00251CFB"/>
    <w:rsid w:val="002602B5"/>
    <w:rsid w:val="0026514F"/>
    <w:rsid w:val="00273B24"/>
    <w:rsid w:val="00287E5D"/>
    <w:rsid w:val="00295D2D"/>
    <w:rsid w:val="0030711F"/>
    <w:rsid w:val="00325199"/>
    <w:rsid w:val="00336068"/>
    <w:rsid w:val="00347FC6"/>
    <w:rsid w:val="00355C45"/>
    <w:rsid w:val="00362FC7"/>
    <w:rsid w:val="003676AF"/>
    <w:rsid w:val="003A3D4D"/>
    <w:rsid w:val="003D4CEA"/>
    <w:rsid w:val="00403A9A"/>
    <w:rsid w:val="00417E7B"/>
    <w:rsid w:val="00437EA4"/>
    <w:rsid w:val="00463B31"/>
    <w:rsid w:val="00486D78"/>
    <w:rsid w:val="00493267"/>
    <w:rsid w:val="00493FFC"/>
    <w:rsid w:val="004940A5"/>
    <w:rsid w:val="004B0270"/>
    <w:rsid w:val="004B655D"/>
    <w:rsid w:val="004C677C"/>
    <w:rsid w:val="004D0C0A"/>
    <w:rsid w:val="004F3B23"/>
    <w:rsid w:val="004F5893"/>
    <w:rsid w:val="005514D4"/>
    <w:rsid w:val="00597647"/>
    <w:rsid w:val="005A1138"/>
    <w:rsid w:val="005A2D11"/>
    <w:rsid w:val="005C0B1B"/>
    <w:rsid w:val="005C2639"/>
    <w:rsid w:val="005F2FE6"/>
    <w:rsid w:val="005F7753"/>
    <w:rsid w:val="00607358"/>
    <w:rsid w:val="00621040"/>
    <w:rsid w:val="00640124"/>
    <w:rsid w:val="00651E7B"/>
    <w:rsid w:val="006701CB"/>
    <w:rsid w:val="00671631"/>
    <w:rsid w:val="006941D5"/>
    <w:rsid w:val="00694D00"/>
    <w:rsid w:val="006A290A"/>
    <w:rsid w:val="006C0A56"/>
    <w:rsid w:val="006C430B"/>
    <w:rsid w:val="006D4271"/>
    <w:rsid w:val="006E2FEE"/>
    <w:rsid w:val="00700B41"/>
    <w:rsid w:val="00712208"/>
    <w:rsid w:val="00720621"/>
    <w:rsid w:val="00720B6B"/>
    <w:rsid w:val="00730CF2"/>
    <w:rsid w:val="00751E1B"/>
    <w:rsid w:val="0078504F"/>
    <w:rsid w:val="00785762"/>
    <w:rsid w:val="0078784B"/>
    <w:rsid w:val="007C3180"/>
    <w:rsid w:val="007F101B"/>
    <w:rsid w:val="007F7672"/>
    <w:rsid w:val="008013EB"/>
    <w:rsid w:val="00801A5E"/>
    <w:rsid w:val="00814D2B"/>
    <w:rsid w:val="00834CC9"/>
    <w:rsid w:val="008534C0"/>
    <w:rsid w:val="00853AEF"/>
    <w:rsid w:val="008765DD"/>
    <w:rsid w:val="008A05D9"/>
    <w:rsid w:val="008C602C"/>
    <w:rsid w:val="008E0F82"/>
    <w:rsid w:val="008E3AC5"/>
    <w:rsid w:val="008F4287"/>
    <w:rsid w:val="00922CAE"/>
    <w:rsid w:val="00932241"/>
    <w:rsid w:val="00935172"/>
    <w:rsid w:val="00940625"/>
    <w:rsid w:val="00940A94"/>
    <w:rsid w:val="0095344A"/>
    <w:rsid w:val="009A5B8A"/>
    <w:rsid w:val="009B582F"/>
    <w:rsid w:val="009B5DDA"/>
    <w:rsid w:val="009C6CD3"/>
    <w:rsid w:val="009D7AD6"/>
    <w:rsid w:val="009F4CDC"/>
    <w:rsid w:val="00A235F7"/>
    <w:rsid w:val="00A52499"/>
    <w:rsid w:val="00A71656"/>
    <w:rsid w:val="00A81C08"/>
    <w:rsid w:val="00AA7E72"/>
    <w:rsid w:val="00AB583D"/>
    <w:rsid w:val="00AC0DBF"/>
    <w:rsid w:val="00AC289A"/>
    <w:rsid w:val="00AC3926"/>
    <w:rsid w:val="00AC64C2"/>
    <w:rsid w:val="00AF0D3A"/>
    <w:rsid w:val="00AF25CA"/>
    <w:rsid w:val="00B01934"/>
    <w:rsid w:val="00B13510"/>
    <w:rsid w:val="00B17598"/>
    <w:rsid w:val="00B235BD"/>
    <w:rsid w:val="00B5263F"/>
    <w:rsid w:val="00B60C95"/>
    <w:rsid w:val="00B91304"/>
    <w:rsid w:val="00BA20F7"/>
    <w:rsid w:val="00BF2309"/>
    <w:rsid w:val="00BF48DB"/>
    <w:rsid w:val="00C32B92"/>
    <w:rsid w:val="00C3519C"/>
    <w:rsid w:val="00C37F28"/>
    <w:rsid w:val="00C42009"/>
    <w:rsid w:val="00C504AF"/>
    <w:rsid w:val="00C5654E"/>
    <w:rsid w:val="00C67A38"/>
    <w:rsid w:val="00C71F47"/>
    <w:rsid w:val="00C7284B"/>
    <w:rsid w:val="00C859D8"/>
    <w:rsid w:val="00CA0BD2"/>
    <w:rsid w:val="00CC0E23"/>
    <w:rsid w:val="00CD0DE5"/>
    <w:rsid w:val="00CD62DE"/>
    <w:rsid w:val="00CE6B1B"/>
    <w:rsid w:val="00CE7259"/>
    <w:rsid w:val="00D03A91"/>
    <w:rsid w:val="00D04949"/>
    <w:rsid w:val="00D1551A"/>
    <w:rsid w:val="00D41F7D"/>
    <w:rsid w:val="00D61964"/>
    <w:rsid w:val="00D72067"/>
    <w:rsid w:val="00DA2406"/>
    <w:rsid w:val="00DD1663"/>
    <w:rsid w:val="00E076FF"/>
    <w:rsid w:val="00E3516F"/>
    <w:rsid w:val="00E440D5"/>
    <w:rsid w:val="00E524E6"/>
    <w:rsid w:val="00E7087F"/>
    <w:rsid w:val="00E71669"/>
    <w:rsid w:val="00E92449"/>
    <w:rsid w:val="00EA7DFF"/>
    <w:rsid w:val="00EC5DA5"/>
    <w:rsid w:val="00ED388E"/>
    <w:rsid w:val="00EF484E"/>
    <w:rsid w:val="00F028B1"/>
    <w:rsid w:val="00F100EA"/>
    <w:rsid w:val="00F27FFE"/>
    <w:rsid w:val="00F81774"/>
    <w:rsid w:val="00F834CF"/>
    <w:rsid w:val="00F8772F"/>
    <w:rsid w:val="00F91A28"/>
    <w:rsid w:val="00F94C25"/>
    <w:rsid w:val="00FA3938"/>
    <w:rsid w:val="00FD1249"/>
    <w:rsid w:val="00FD4463"/>
    <w:rsid w:val="00FE384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7DBEAAEC"/>
  <w15:chartTrackingRefBased/>
  <w15:docId w15:val="{0748F97E-A4B8-4D4D-AC1A-6E78375A77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3AC5"/>
    <w:pPr>
      <w:spacing w:before="100" w:beforeAutospacing="1" w:after="100" w:afterAutospacing="1" w:line="360" w:lineRule="auto"/>
      <w:ind w:firstLine="709"/>
      <w:jc w:val="both"/>
    </w:pPr>
    <w:rPr>
      <w:rFonts w:ascii="Garamond" w:hAnsi="Garamond"/>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A20F7"/>
    <w:pPr>
      <w:ind w:left="720"/>
      <w:contextualSpacing/>
    </w:pPr>
  </w:style>
  <w:style w:type="character" w:styleId="Lienhypertexte">
    <w:name w:val="Hyperlink"/>
    <w:basedOn w:val="Policepardfaut"/>
    <w:uiPriority w:val="99"/>
    <w:unhideWhenUsed/>
    <w:rsid w:val="00BA20F7"/>
    <w:rPr>
      <w:color w:val="0563C1" w:themeColor="hyperlink"/>
      <w:u w:val="single"/>
    </w:rPr>
  </w:style>
  <w:style w:type="character" w:styleId="Mentionnonrsolue">
    <w:name w:val="Unresolved Mention"/>
    <w:basedOn w:val="Policepardfaut"/>
    <w:uiPriority w:val="99"/>
    <w:semiHidden/>
    <w:unhideWhenUsed/>
    <w:rsid w:val="00BA20F7"/>
    <w:rPr>
      <w:color w:val="605E5C"/>
      <w:shd w:val="clear" w:color="auto" w:fill="E1DFDD"/>
    </w:rPr>
  </w:style>
  <w:style w:type="table" w:styleId="Grilledutableau">
    <w:name w:val="Table Grid"/>
    <w:basedOn w:val="TableauNormal"/>
    <w:uiPriority w:val="39"/>
    <w:rsid w:val="00EA7D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E076FF"/>
    <w:pPr>
      <w:spacing w:after="119"/>
      <w:jc w:val="left"/>
    </w:pPr>
    <w:rPr>
      <w:rFonts w:ascii="Times New Roman" w:eastAsia="Times New Roman" w:hAnsi="Times New Roman" w:cs="Times New Roman"/>
      <w:lang w:eastAsia="fr-FR"/>
    </w:rPr>
  </w:style>
  <w:style w:type="paragraph" w:styleId="Notedebasdepage">
    <w:name w:val="footnote text"/>
    <w:basedOn w:val="Normal"/>
    <w:link w:val="NotedebasdepageCar"/>
    <w:autoRedefine/>
    <w:uiPriority w:val="99"/>
    <w:unhideWhenUsed/>
    <w:qFormat/>
    <w:rsid w:val="005A2D11"/>
    <w:pPr>
      <w:spacing w:before="120" w:beforeAutospacing="0" w:after="0" w:afterAutospacing="0" w:line="240" w:lineRule="auto"/>
      <w:ind w:firstLine="0"/>
    </w:pPr>
    <w:rPr>
      <w:sz w:val="20"/>
      <w:szCs w:val="20"/>
    </w:rPr>
  </w:style>
  <w:style w:type="character" w:customStyle="1" w:styleId="NotedebasdepageCar">
    <w:name w:val="Note de bas de page Car"/>
    <w:basedOn w:val="Policepardfaut"/>
    <w:link w:val="Notedebasdepage"/>
    <w:uiPriority w:val="99"/>
    <w:rsid w:val="005A2D11"/>
    <w:rPr>
      <w:rFonts w:ascii="Garamond" w:hAnsi="Garamond"/>
      <w:sz w:val="20"/>
      <w:szCs w:val="20"/>
    </w:rPr>
  </w:style>
  <w:style w:type="character" w:styleId="Appelnotedebasdep">
    <w:name w:val="footnote reference"/>
    <w:aliases w:val="4_G,Fago Fußnotenzeichen,Footnotes refss,Footnote Ref,16 Point,Superscript 6 Point,ftref,Ref,de nota al pie,fr,oc-footreference,oc-footnoteref,oc-footreference1,oc-footnoteref1,(Diplomarbeit FZ),-E Fußnotenzeichen"/>
    <w:basedOn w:val="Policepardfaut"/>
    <w:uiPriority w:val="99"/>
    <w:unhideWhenUsed/>
    <w:qFormat/>
    <w:rsid w:val="005A2D11"/>
    <w:rPr>
      <w:rFonts w:ascii="Garamond" w:hAnsi="Garamond"/>
      <w:sz w:val="24"/>
      <w:vertAlign w:val="superscript"/>
    </w:rPr>
  </w:style>
  <w:style w:type="paragraph" w:styleId="En-tte">
    <w:name w:val="header"/>
    <w:basedOn w:val="Normal"/>
    <w:link w:val="En-tteCar"/>
    <w:uiPriority w:val="99"/>
    <w:unhideWhenUsed/>
    <w:rsid w:val="00751E1B"/>
    <w:pPr>
      <w:tabs>
        <w:tab w:val="center" w:pos="4536"/>
        <w:tab w:val="right" w:pos="9072"/>
      </w:tabs>
      <w:spacing w:before="0" w:after="0" w:line="240" w:lineRule="auto"/>
    </w:pPr>
  </w:style>
  <w:style w:type="character" w:customStyle="1" w:styleId="En-tteCar">
    <w:name w:val="En-tête Car"/>
    <w:basedOn w:val="Policepardfaut"/>
    <w:link w:val="En-tte"/>
    <w:uiPriority w:val="99"/>
    <w:rsid w:val="00751E1B"/>
    <w:rPr>
      <w:rFonts w:ascii="Garamond" w:hAnsi="Garamond"/>
    </w:rPr>
  </w:style>
  <w:style w:type="paragraph" w:styleId="Pieddepage">
    <w:name w:val="footer"/>
    <w:basedOn w:val="Normal"/>
    <w:link w:val="PieddepageCar"/>
    <w:uiPriority w:val="99"/>
    <w:unhideWhenUsed/>
    <w:rsid w:val="00751E1B"/>
    <w:pPr>
      <w:tabs>
        <w:tab w:val="center" w:pos="4536"/>
        <w:tab w:val="right" w:pos="9072"/>
      </w:tabs>
      <w:spacing w:before="0" w:after="0" w:line="240" w:lineRule="auto"/>
    </w:pPr>
  </w:style>
  <w:style w:type="character" w:customStyle="1" w:styleId="PieddepageCar">
    <w:name w:val="Pied de page Car"/>
    <w:basedOn w:val="Policepardfaut"/>
    <w:link w:val="Pieddepage"/>
    <w:uiPriority w:val="99"/>
    <w:rsid w:val="00751E1B"/>
    <w:rPr>
      <w:rFonts w:ascii="Garamond" w:hAnsi="Garamond"/>
    </w:rPr>
  </w:style>
  <w:style w:type="character" w:styleId="Numrodepage">
    <w:name w:val="page number"/>
    <w:basedOn w:val="Policepardfaut"/>
    <w:uiPriority w:val="99"/>
    <w:semiHidden/>
    <w:unhideWhenUsed/>
    <w:rsid w:val="00751E1B"/>
  </w:style>
  <w:style w:type="paragraph" w:styleId="Citation">
    <w:name w:val="Quote"/>
    <w:basedOn w:val="Normal"/>
    <w:next w:val="Normal"/>
    <w:link w:val="CitationCar"/>
    <w:uiPriority w:val="29"/>
    <w:qFormat/>
    <w:rsid w:val="00B13510"/>
    <w:pPr>
      <w:spacing w:line="240" w:lineRule="auto"/>
      <w:ind w:left="2127" w:right="1128" w:firstLine="0"/>
    </w:pPr>
  </w:style>
  <w:style w:type="character" w:customStyle="1" w:styleId="CitationCar">
    <w:name w:val="Citation Car"/>
    <w:basedOn w:val="Policepardfaut"/>
    <w:link w:val="Citation"/>
    <w:uiPriority w:val="29"/>
    <w:rsid w:val="00B13510"/>
    <w:rPr>
      <w:rFonts w:ascii="Garamond" w:hAnsi="Garamond"/>
    </w:rPr>
  </w:style>
  <w:style w:type="character" w:styleId="Accentuation">
    <w:name w:val="Emphasis"/>
    <w:basedOn w:val="Policepardfaut"/>
    <w:uiPriority w:val="20"/>
    <w:qFormat/>
    <w:rsid w:val="00F834CF"/>
    <w:rPr>
      <w:i/>
      <w:iCs/>
    </w:rPr>
  </w:style>
  <w:style w:type="paragraph" w:customStyle="1" w:styleId="sdfootnote">
    <w:name w:val="sdfootnote"/>
    <w:basedOn w:val="Normal"/>
    <w:rsid w:val="00C32B92"/>
    <w:pPr>
      <w:spacing w:after="0" w:afterAutospacing="0" w:line="240" w:lineRule="auto"/>
      <w:ind w:left="284" w:hanging="284"/>
      <w:jc w:val="left"/>
    </w:pPr>
    <w:rPr>
      <w:rFonts w:ascii="Times New Roman" w:eastAsia="Times New Roman" w:hAnsi="Times New Roman" w:cs="Times New Roman"/>
      <w:sz w:val="20"/>
      <w:szCs w:val="20"/>
      <w:lang w:eastAsia="fr-FR"/>
    </w:rPr>
  </w:style>
  <w:style w:type="character" w:customStyle="1" w:styleId="highlight">
    <w:name w:val="highlight"/>
    <w:basedOn w:val="Policepardfaut"/>
    <w:rsid w:val="00AC0DBF"/>
  </w:style>
  <w:style w:type="paragraph" w:customStyle="1" w:styleId="Bibliographie1">
    <w:name w:val="Bibliographie1"/>
    <w:basedOn w:val="Normal"/>
    <w:link w:val="BibliographyCar"/>
    <w:rsid w:val="00061D8B"/>
    <w:pPr>
      <w:spacing w:before="0" w:beforeAutospacing="0" w:after="240" w:afterAutospacing="0" w:line="240" w:lineRule="auto"/>
      <w:ind w:left="720" w:hanging="720"/>
      <w:jc w:val="left"/>
    </w:pPr>
  </w:style>
  <w:style w:type="character" w:customStyle="1" w:styleId="BibliographyCar">
    <w:name w:val="Bibliography Car"/>
    <w:basedOn w:val="Policepardfaut"/>
    <w:link w:val="Bibliographie1"/>
    <w:rsid w:val="00061D8B"/>
    <w:rPr>
      <w:rFonts w:ascii="Garamond" w:hAnsi="Garamon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2434128">
      <w:bodyDiv w:val="1"/>
      <w:marLeft w:val="0"/>
      <w:marRight w:val="0"/>
      <w:marTop w:val="0"/>
      <w:marBottom w:val="0"/>
      <w:divBdr>
        <w:top w:val="none" w:sz="0" w:space="0" w:color="auto"/>
        <w:left w:val="none" w:sz="0" w:space="0" w:color="auto"/>
        <w:bottom w:val="none" w:sz="0" w:space="0" w:color="auto"/>
        <w:right w:val="none" w:sz="0" w:space="0" w:color="auto"/>
      </w:divBdr>
    </w:div>
    <w:div w:id="354965780">
      <w:bodyDiv w:val="1"/>
      <w:marLeft w:val="0"/>
      <w:marRight w:val="0"/>
      <w:marTop w:val="0"/>
      <w:marBottom w:val="0"/>
      <w:divBdr>
        <w:top w:val="none" w:sz="0" w:space="0" w:color="auto"/>
        <w:left w:val="none" w:sz="0" w:space="0" w:color="auto"/>
        <w:bottom w:val="none" w:sz="0" w:space="0" w:color="auto"/>
        <w:right w:val="none" w:sz="0" w:space="0" w:color="auto"/>
      </w:divBdr>
    </w:div>
    <w:div w:id="391387009">
      <w:bodyDiv w:val="1"/>
      <w:marLeft w:val="0"/>
      <w:marRight w:val="0"/>
      <w:marTop w:val="0"/>
      <w:marBottom w:val="0"/>
      <w:divBdr>
        <w:top w:val="none" w:sz="0" w:space="0" w:color="auto"/>
        <w:left w:val="none" w:sz="0" w:space="0" w:color="auto"/>
        <w:bottom w:val="none" w:sz="0" w:space="0" w:color="auto"/>
        <w:right w:val="none" w:sz="0" w:space="0" w:color="auto"/>
      </w:divBdr>
    </w:div>
    <w:div w:id="580069387">
      <w:bodyDiv w:val="1"/>
      <w:marLeft w:val="0"/>
      <w:marRight w:val="0"/>
      <w:marTop w:val="0"/>
      <w:marBottom w:val="0"/>
      <w:divBdr>
        <w:top w:val="none" w:sz="0" w:space="0" w:color="auto"/>
        <w:left w:val="none" w:sz="0" w:space="0" w:color="auto"/>
        <w:bottom w:val="none" w:sz="0" w:space="0" w:color="auto"/>
        <w:right w:val="none" w:sz="0" w:space="0" w:color="auto"/>
      </w:divBdr>
    </w:div>
    <w:div w:id="1513761167">
      <w:bodyDiv w:val="1"/>
      <w:marLeft w:val="0"/>
      <w:marRight w:val="0"/>
      <w:marTop w:val="0"/>
      <w:marBottom w:val="0"/>
      <w:divBdr>
        <w:top w:val="none" w:sz="0" w:space="0" w:color="auto"/>
        <w:left w:val="none" w:sz="0" w:space="0" w:color="auto"/>
        <w:bottom w:val="none" w:sz="0" w:space="0" w:color="auto"/>
        <w:right w:val="none" w:sz="0" w:space="0" w:color="auto"/>
      </w:divBdr>
    </w:div>
    <w:div w:id="1623152298">
      <w:bodyDiv w:val="1"/>
      <w:marLeft w:val="0"/>
      <w:marRight w:val="0"/>
      <w:marTop w:val="0"/>
      <w:marBottom w:val="0"/>
      <w:divBdr>
        <w:top w:val="none" w:sz="0" w:space="0" w:color="auto"/>
        <w:left w:val="none" w:sz="0" w:space="0" w:color="auto"/>
        <w:bottom w:val="none" w:sz="0" w:space="0" w:color="auto"/>
        <w:right w:val="none" w:sz="0" w:space="0" w:color="auto"/>
      </w:divBdr>
    </w:div>
    <w:div w:id="1822849727">
      <w:bodyDiv w:val="1"/>
      <w:marLeft w:val="0"/>
      <w:marRight w:val="0"/>
      <w:marTop w:val="0"/>
      <w:marBottom w:val="0"/>
      <w:divBdr>
        <w:top w:val="none" w:sz="0" w:space="0" w:color="auto"/>
        <w:left w:val="none" w:sz="0" w:space="0" w:color="auto"/>
        <w:bottom w:val="none" w:sz="0" w:space="0" w:color="auto"/>
        <w:right w:val="none" w:sz="0" w:space="0" w:color="auto"/>
      </w:divBdr>
    </w:div>
    <w:div w:id="1929804652">
      <w:bodyDiv w:val="1"/>
      <w:marLeft w:val="0"/>
      <w:marRight w:val="0"/>
      <w:marTop w:val="0"/>
      <w:marBottom w:val="0"/>
      <w:divBdr>
        <w:top w:val="none" w:sz="0" w:space="0" w:color="auto"/>
        <w:left w:val="none" w:sz="0" w:space="0" w:color="auto"/>
        <w:bottom w:val="none" w:sz="0" w:space="0" w:color="auto"/>
        <w:right w:val="none" w:sz="0" w:space="0" w:color="auto"/>
      </w:divBdr>
    </w:div>
    <w:div w:id="2144304351">
      <w:bodyDiv w:val="1"/>
      <w:marLeft w:val="0"/>
      <w:marRight w:val="0"/>
      <w:marTop w:val="0"/>
      <w:marBottom w:val="0"/>
      <w:divBdr>
        <w:top w:val="none" w:sz="0" w:space="0" w:color="auto"/>
        <w:left w:val="none" w:sz="0" w:space="0" w:color="auto"/>
        <w:bottom w:val="none" w:sz="0" w:space="0" w:color="auto"/>
        <w:right w:val="none" w:sz="0" w:space="0" w:color="auto"/>
      </w:divBdr>
      <w:divsChild>
        <w:div w:id="2569898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609A86-104C-D842-838A-367AE0EB17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2864</Words>
  <Characters>15758</Characters>
  <Application>Microsoft Office Word</Application>
  <DocSecurity>0</DocSecurity>
  <Lines>131</Lines>
  <Paragraphs>37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18585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 Microsoft Office</dc:creator>
  <cp:keywords/>
  <dc:description/>
  <cp:lastModifiedBy>Paul Guillibert</cp:lastModifiedBy>
  <cp:revision>4</cp:revision>
  <cp:lastPrinted>2019-10-03T08:40:00Z</cp:lastPrinted>
  <dcterms:created xsi:type="dcterms:W3CDTF">2025-04-02T07:53:00Z</dcterms:created>
  <dcterms:modified xsi:type="dcterms:W3CDTF">2025-04-02T08:16:00Z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zotero-version="5.0.74"&gt;&lt;session id="d9IaNJgD"/&gt;&lt;style id="http://www.zotero.org/styles/presses-universitaires-de-paris-nanterre" hasBibliography="1" bibliographyStyleHasBeenSet="0"/&gt;&lt;prefs&gt;&lt;pref name="fieldType" value="Field"/&gt;&lt;pre</vt:lpwstr>
  </property>
  <property fmtid="{D5CDD505-2E9C-101B-9397-08002B2CF9AE}" pid="3" name="ZOTERO_PREF_2">
    <vt:lpwstr>f name="automaticJournalAbbreviations" value="true"/&gt;&lt;pref name="noteType" value="1"/&gt;&lt;/prefs&gt;&lt;/data&gt;</vt:lpwstr>
  </property>
</Properties>
</file>