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orps"/>
        <w:numPr>
          <w:ilvl w:val="0"/>
          <w:numId w:val="2"/>
        </w:numPr>
        <w:bidi w:val="0"/>
      </w:pPr>
      <w:r>
        <w:rPr>
          <w:rtl w:val="0"/>
        </w:rPr>
        <w:t xml:space="preserve">Griselda Pollock, </w:t>
      </w:r>
      <w:r>
        <w:rPr>
          <w:rStyle w:val="Aucun"/>
          <w:i w:val="1"/>
          <w:iCs w:val="1"/>
          <w:rtl w:val="0"/>
          <w:lang w:val="fr-FR"/>
        </w:rPr>
        <w:t>Vision et Diff</w:t>
      </w:r>
      <w:r>
        <w:rPr>
          <w:rStyle w:val="Aucun"/>
          <w:i w:val="1"/>
          <w:iCs w:val="1"/>
          <w:rtl w:val="0"/>
          <w:lang w:val="fr-FR"/>
        </w:rPr>
        <w:t>é</w:t>
      </w:r>
      <w:r>
        <w:rPr>
          <w:rStyle w:val="Aucun"/>
          <w:i w:val="1"/>
          <w:iCs w:val="1"/>
          <w:rtl w:val="0"/>
          <w:lang w:val="fr-FR"/>
        </w:rPr>
        <w:t>rence</w:t>
      </w:r>
      <w:r>
        <w:rPr>
          <w:rtl w:val="0"/>
        </w:rPr>
        <w:t xml:space="preserve"> :</w:t>
      </w:r>
    </w:p>
    <w:p>
      <w:pPr>
        <w:pStyle w:val="Corps"/>
        <w:bidi w:val="0"/>
      </w:pPr>
    </w:p>
    <w:p>
      <w:pPr>
        <w:pStyle w:val="Corps"/>
        <w:bidi w:val="0"/>
      </w:pPr>
      <w:r>
        <w:rPr>
          <w:rtl w:val="0"/>
        </w:rPr>
        <w:t xml:space="preserve">p. 76 : </w:t>
      </w:r>
      <w:r>
        <w:rPr>
          <w:rtl w:val="0"/>
        </w:rPr>
        <w:t>« </w:t>
      </w:r>
      <w:r>
        <w:rPr>
          <w:rtl w:val="0"/>
        </w:rPr>
        <w:t>il faut que l</w:t>
      </w:r>
      <w:r>
        <w:rPr>
          <w:rtl w:val="0"/>
        </w:rPr>
        <w:t>’</w:t>
      </w:r>
      <w:r>
        <w:rPr>
          <w:rtl w:val="0"/>
        </w:rPr>
        <w:t xml:space="preserve">on </w:t>
      </w:r>
      <w:r>
        <w:rPr>
          <w:rtl w:val="0"/>
        </w:rPr>
        <w:t>é</w:t>
      </w:r>
      <w:r>
        <w:rPr>
          <w:rtl w:val="0"/>
        </w:rPr>
        <w:t>tudie pourquoi le territoire du modernisme est si souvent une mani</w:t>
      </w:r>
      <w:r>
        <w:rPr>
          <w:rtl w:val="0"/>
        </w:rPr>
        <w:t>è</w:t>
      </w:r>
      <w:r>
        <w:rPr>
          <w:rtl w:val="0"/>
        </w:rPr>
        <w:t>re d</w:t>
      </w:r>
      <w:r>
        <w:rPr>
          <w:rtl w:val="0"/>
        </w:rPr>
        <w:t>’</w:t>
      </w:r>
      <w:r>
        <w:rPr>
          <w:rtl w:val="0"/>
        </w:rPr>
        <w:t xml:space="preserve">avoir </w:t>
      </w:r>
      <w:r>
        <w:rPr>
          <w:rtl w:val="0"/>
        </w:rPr>
        <w:t xml:space="preserve">à </w:t>
      </w:r>
      <w:r>
        <w:rPr>
          <w:rtl w:val="0"/>
        </w:rPr>
        <w:t xml:space="preserve">faire </w:t>
      </w:r>
      <w:r>
        <w:rPr>
          <w:rtl w:val="0"/>
        </w:rPr>
        <w:t xml:space="preserve">à </w:t>
      </w:r>
      <w:r>
        <w:rPr>
          <w:rtl w:val="0"/>
        </w:rPr>
        <w:t>la sexualit</w:t>
      </w:r>
      <w:r>
        <w:rPr>
          <w:rtl w:val="0"/>
        </w:rPr>
        <w:t xml:space="preserve">é </w:t>
      </w:r>
      <w:r>
        <w:rPr>
          <w:rtl w:val="0"/>
        </w:rPr>
        <w:t xml:space="preserve">masculine et </w:t>
      </w:r>
      <w:r>
        <w:rPr>
          <w:rtl w:val="0"/>
        </w:rPr>
        <w:t xml:space="preserve">à </w:t>
      </w:r>
      <w:r>
        <w:rPr>
          <w:rtl w:val="0"/>
        </w:rPr>
        <w:t>ses symboles, au corps des femmes - pourquoi le bordel et le bar ? Quelle relation existe entre la sexualit</w:t>
      </w:r>
      <w:r>
        <w:rPr>
          <w:rtl w:val="0"/>
        </w:rPr>
        <w:t>é</w:t>
      </w:r>
      <w:r>
        <w:rPr>
          <w:rtl w:val="0"/>
        </w:rPr>
        <w:t>, la modernit</w:t>
      </w:r>
      <w:r>
        <w:rPr>
          <w:rtl w:val="0"/>
        </w:rPr>
        <w:t xml:space="preserve">é </w:t>
      </w:r>
      <w:r>
        <w:rPr>
          <w:rtl w:val="0"/>
        </w:rPr>
        <w:t>et le modernisme [</w:t>
      </w:r>
      <w:r>
        <w:rPr>
          <w:rtl w:val="0"/>
        </w:rPr>
        <w:t>…</w:t>
      </w:r>
      <w:r>
        <w:rPr>
          <w:rtl w:val="0"/>
        </w:rPr>
        <w:t>]. Il</w:t>
      </w:r>
      <w:r>
        <w:rPr>
          <w:rtl w:val="0"/>
        </w:rPr>
        <w:t> </w:t>
      </w:r>
      <w:r>
        <w:rPr>
          <w:rtl w:val="0"/>
        </w:rPr>
        <w:t>existe une asym</w:t>
      </w:r>
      <w:r>
        <w:rPr>
          <w:rtl w:val="0"/>
        </w:rPr>
        <w:t>é</w:t>
      </w:r>
      <w:r>
        <w:rPr>
          <w:rtl w:val="0"/>
        </w:rPr>
        <w:t>trie historique - une diff</w:t>
      </w:r>
      <w:r>
        <w:rPr>
          <w:rtl w:val="0"/>
        </w:rPr>
        <w:t>é</w:t>
      </w:r>
      <w:r>
        <w:rPr>
          <w:rtl w:val="0"/>
        </w:rPr>
        <w:t xml:space="preserve">rence sociale, </w:t>
      </w:r>
      <w:r>
        <w:rPr>
          <w:rtl w:val="0"/>
        </w:rPr>
        <w:t>é</w:t>
      </w:r>
      <w:r>
        <w:rPr>
          <w:rtl w:val="0"/>
        </w:rPr>
        <w:t>conomique et subjective entre le fait d</w:t>
      </w:r>
      <w:r>
        <w:rPr>
          <w:rtl w:val="0"/>
        </w:rPr>
        <w:t>’ê</w:t>
      </w:r>
      <w:r>
        <w:rPr>
          <w:rtl w:val="0"/>
        </w:rPr>
        <w:t>tre une femme ou d</w:t>
      </w:r>
      <w:r>
        <w:rPr>
          <w:rtl w:val="0"/>
        </w:rPr>
        <w:t>’ê</w:t>
      </w:r>
      <w:r>
        <w:rPr>
          <w:rtl w:val="0"/>
        </w:rPr>
        <w:t>tre un homme dans le Paris de la fin du XIXe. Cette diff</w:t>
      </w:r>
      <w:r>
        <w:rPr>
          <w:rtl w:val="0"/>
        </w:rPr>
        <w:t>é</w:t>
      </w:r>
      <w:r>
        <w:rPr>
          <w:rtl w:val="0"/>
        </w:rPr>
        <w:t>rence - le produit de la structuration sociale de la diff</w:t>
      </w:r>
      <w:r>
        <w:rPr>
          <w:rtl w:val="0"/>
        </w:rPr>
        <w:t>é</w:t>
      </w:r>
      <w:r>
        <w:rPr>
          <w:rtl w:val="0"/>
        </w:rPr>
        <w:t>rence sexuelle et non une distinction biologique imaginaire - a d</w:t>
      </w:r>
      <w:r>
        <w:rPr>
          <w:rtl w:val="0"/>
        </w:rPr>
        <w:t>é</w:t>
      </w:r>
      <w:r>
        <w:rPr>
          <w:rtl w:val="0"/>
        </w:rPr>
        <w:t>termin</w:t>
      </w:r>
      <w:r>
        <w:rPr>
          <w:rtl w:val="0"/>
        </w:rPr>
        <w:t xml:space="preserve">é à </w:t>
      </w:r>
      <w:r>
        <w:rPr>
          <w:rtl w:val="0"/>
        </w:rPr>
        <w:t>la fois quoi et comment les hommes et les femmes ont peint.</w:t>
      </w:r>
      <w:r>
        <w:rPr>
          <w:rtl w:val="0"/>
        </w:rPr>
        <w:t> »</w:t>
      </w:r>
    </w:p>
    <w:p>
      <w:pPr>
        <w:pStyle w:val="Corps"/>
        <w:bidi w:val="0"/>
      </w:pPr>
    </w:p>
    <w:p>
      <w:pPr>
        <w:pStyle w:val="Corps"/>
        <w:bidi w:val="0"/>
      </w:pPr>
      <w:r>
        <w:rPr>
          <w:rtl w:val="0"/>
        </w:rPr>
        <w:t xml:space="preserve">p. 93 : </w:t>
      </w:r>
      <w:r>
        <w:rPr>
          <w:rtl w:val="0"/>
        </w:rPr>
        <w:t>« </w:t>
      </w:r>
      <w:r>
        <w:rPr>
          <w:rtl w:val="0"/>
        </w:rPr>
        <w:t>les espaces de la f</w:t>
      </w:r>
      <w:r>
        <w:rPr>
          <w:rtl w:val="0"/>
        </w:rPr>
        <w:t>é</w:t>
      </w:r>
      <w:r>
        <w:rPr>
          <w:rtl w:val="0"/>
        </w:rPr>
        <w:t>minit</w:t>
      </w:r>
      <w:r>
        <w:rPr>
          <w:rtl w:val="0"/>
        </w:rPr>
        <w:t xml:space="preserve">é </w:t>
      </w:r>
      <w:r>
        <w:rPr>
          <w:rtl w:val="0"/>
        </w:rPr>
        <w:t>sont ceux depuis lesquels la f</w:t>
      </w:r>
      <w:r>
        <w:rPr>
          <w:rtl w:val="0"/>
        </w:rPr>
        <w:t>é</w:t>
      </w:r>
      <w:r>
        <w:rPr>
          <w:rtl w:val="0"/>
        </w:rPr>
        <w:t>minit</w:t>
      </w:r>
      <w:r>
        <w:rPr>
          <w:rtl w:val="0"/>
        </w:rPr>
        <w:t xml:space="preserve">é </w:t>
      </w:r>
      <w:r>
        <w:rPr>
          <w:rtl w:val="0"/>
        </w:rPr>
        <w:t>est v</w:t>
      </w:r>
      <w:r>
        <w:rPr>
          <w:rtl w:val="0"/>
        </w:rPr>
        <w:t>é</w:t>
      </w:r>
      <w:r>
        <w:rPr>
          <w:rtl w:val="0"/>
        </w:rPr>
        <w:t>cue comme un positionnement dans le discours et la pratique sociale. Ce sont le produit d</w:t>
      </w:r>
      <w:r>
        <w:rPr>
          <w:rtl w:val="0"/>
        </w:rPr>
        <w:t>’</w:t>
      </w:r>
      <w:r>
        <w:rPr>
          <w:rtl w:val="0"/>
        </w:rPr>
        <w:t>un sens exp</w:t>
      </w:r>
      <w:r>
        <w:rPr>
          <w:rtl w:val="0"/>
        </w:rPr>
        <w:t>é</w:t>
      </w:r>
      <w:r>
        <w:rPr>
          <w:rtl w:val="0"/>
        </w:rPr>
        <w:t>riment</w:t>
      </w:r>
      <w:r>
        <w:rPr>
          <w:rtl w:val="0"/>
        </w:rPr>
        <w:t xml:space="preserve">é </w:t>
      </w:r>
      <w:r>
        <w:rPr>
          <w:rtl w:val="0"/>
        </w:rPr>
        <w:t>de localisation sociale, de mobilit</w:t>
      </w:r>
      <w:r>
        <w:rPr>
          <w:rtl w:val="0"/>
        </w:rPr>
        <w:t xml:space="preserve">é </w:t>
      </w:r>
      <w:r>
        <w:rPr>
          <w:rtl w:val="0"/>
        </w:rPr>
        <w:t>et de visibilit</w:t>
      </w:r>
      <w:r>
        <w:rPr>
          <w:rtl w:val="0"/>
        </w:rPr>
        <w:t>é</w:t>
      </w:r>
      <w:r>
        <w:rPr>
          <w:rtl w:val="0"/>
        </w:rPr>
        <w:t xml:space="preserve">, dans les relations sociales du voir et du </w:t>
      </w:r>
      <w:r>
        <w:rPr>
          <w:rtl w:val="0"/>
        </w:rPr>
        <w:t>ê</w:t>
      </w:r>
      <w:r>
        <w:rPr>
          <w:rtl w:val="0"/>
        </w:rPr>
        <w:t>tre vu [</w:t>
      </w:r>
      <w:r>
        <w:rPr>
          <w:rtl w:val="0"/>
        </w:rPr>
        <w:t>…</w:t>
      </w:r>
      <w:r>
        <w:rPr>
          <w:rtl w:val="0"/>
        </w:rPr>
        <w:t>]. La f</w:t>
      </w:r>
      <w:r>
        <w:rPr>
          <w:rtl w:val="0"/>
        </w:rPr>
        <w:t>é</w:t>
      </w:r>
      <w:r>
        <w:rPr>
          <w:rtl w:val="0"/>
        </w:rPr>
        <w:t>minit</w:t>
      </w:r>
      <w:r>
        <w:rPr>
          <w:rtl w:val="0"/>
        </w:rPr>
        <w:t xml:space="preserve">é </w:t>
      </w:r>
      <w:r>
        <w:rPr>
          <w:rtl w:val="0"/>
        </w:rPr>
        <w:t xml:space="preserve">est </w:t>
      </w:r>
      <w:r>
        <w:rPr>
          <w:rtl w:val="0"/>
        </w:rPr>
        <w:t xml:space="preserve">à </w:t>
      </w:r>
      <w:r>
        <w:rPr>
          <w:rtl w:val="0"/>
        </w:rPr>
        <w:t>la fois la condition et l</w:t>
      </w:r>
      <w:r>
        <w:rPr>
          <w:rtl w:val="0"/>
        </w:rPr>
        <w:t>’</w:t>
      </w:r>
      <w:r>
        <w:rPr>
          <w:rtl w:val="0"/>
        </w:rPr>
        <w:t>effet.</w:t>
      </w:r>
      <w:r>
        <w:rPr>
          <w:rtl w:val="0"/>
        </w:rPr>
        <w:t xml:space="preserve"> » </w:t>
      </w:r>
    </w:p>
    <w:p>
      <w:pPr>
        <w:pStyle w:val="Corps"/>
        <w:bidi w:val="0"/>
      </w:pPr>
    </w:p>
    <w:p>
      <w:pPr>
        <w:pStyle w:val="Corps"/>
        <w:bidi w:val="0"/>
      </w:pPr>
      <w:r>
        <w:rPr>
          <w:rtl w:val="0"/>
        </w:rPr>
        <w:t xml:space="preserve">p. 111-112 : </w:t>
      </w:r>
      <w:r>
        <w:rPr>
          <w:rtl w:val="0"/>
        </w:rPr>
        <w:t>« </w:t>
      </w:r>
      <w:r>
        <w:rPr>
          <w:rtl w:val="0"/>
        </w:rPr>
        <w:t>Ainsi, la f</w:t>
      </w:r>
      <w:r>
        <w:rPr>
          <w:rtl w:val="0"/>
        </w:rPr>
        <w:t>é</w:t>
      </w:r>
      <w:r>
        <w:rPr>
          <w:rtl w:val="0"/>
        </w:rPr>
        <w:t>minit</w:t>
      </w:r>
      <w:r>
        <w:rPr>
          <w:rtl w:val="0"/>
        </w:rPr>
        <w:t xml:space="preserve">é </w:t>
      </w:r>
      <w:r>
        <w:rPr>
          <w:rtl w:val="0"/>
        </w:rPr>
        <w:t xml:space="preserve">devrait </w:t>
      </w:r>
      <w:r>
        <w:rPr>
          <w:rtl w:val="0"/>
        </w:rPr>
        <w:t>ê</w:t>
      </w:r>
      <w:r>
        <w:rPr>
          <w:rtl w:val="0"/>
        </w:rPr>
        <w:t>tre comprise non pas comme une condition des femmes mais comme une forme de r</w:t>
      </w:r>
      <w:r>
        <w:rPr>
          <w:rtl w:val="0"/>
        </w:rPr>
        <w:t>é</w:t>
      </w:r>
      <w:r>
        <w:rPr>
          <w:rtl w:val="0"/>
        </w:rPr>
        <w:t>gulation de la sexualit</w:t>
      </w:r>
      <w:r>
        <w:rPr>
          <w:rtl w:val="0"/>
        </w:rPr>
        <w:t xml:space="preserve">é </w:t>
      </w:r>
      <w:r>
        <w:rPr>
          <w:rtl w:val="0"/>
        </w:rPr>
        <w:t>f</w:t>
      </w:r>
      <w:r>
        <w:rPr>
          <w:rtl w:val="0"/>
        </w:rPr>
        <w:t>é</w:t>
      </w:r>
      <w:r>
        <w:rPr>
          <w:rtl w:val="0"/>
        </w:rPr>
        <w:t>minine dans une domesticit</w:t>
      </w:r>
      <w:r>
        <w:rPr>
          <w:rtl w:val="0"/>
        </w:rPr>
        <w:t xml:space="preserve">é </w:t>
      </w:r>
      <w:r>
        <w:rPr>
          <w:rtl w:val="0"/>
          <w:lang w:val="es-ES_tradnl"/>
        </w:rPr>
        <w:t>qu</w:t>
      </w:r>
      <w:r>
        <w:rPr>
          <w:rtl w:val="1"/>
        </w:rPr>
        <w:t>’</w:t>
      </w:r>
      <w:r>
        <w:rPr>
          <w:rtl w:val="0"/>
        </w:rPr>
        <w:t>est celle de la famille h</w:t>
      </w:r>
      <w:r>
        <w:rPr>
          <w:rtl w:val="0"/>
        </w:rPr>
        <w:t>é</w:t>
      </w:r>
      <w:r>
        <w:rPr>
          <w:rtl w:val="0"/>
        </w:rPr>
        <w:t>t</w:t>
      </w:r>
      <w:r>
        <w:rPr>
          <w:rtl w:val="0"/>
        </w:rPr>
        <w:t>é</w:t>
      </w:r>
      <w:r>
        <w:rPr>
          <w:rtl w:val="0"/>
        </w:rPr>
        <w:t>rosexuelle, r</w:t>
      </w:r>
      <w:r>
        <w:rPr>
          <w:rtl w:val="0"/>
        </w:rPr>
        <w:t>é</w:t>
      </w:r>
      <w:r>
        <w:rPr>
          <w:rtl w:val="0"/>
        </w:rPr>
        <w:t>gul</w:t>
      </w:r>
      <w:r>
        <w:rPr>
          <w:rtl w:val="0"/>
        </w:rPr>
        <w:t>é</w:t>
      </w:r>
      <w:r>
        <w:rPr>
          <w:rtl w:val="0"/>
        </w:rPr>
        <w:t>e en derni</w:t>
      </w:r>
      <w:r>
        <w:rPr>
          <w:rtl w:val="0"/>
          <w:lang w:val="it-IT"/>
        </w:rPr>
        <w:t>è</w:t>
      </w:r>
      <w:r>
        <w:rPr>
          <w:rtl w:val="0"/>
        </w:rPr>
        <w:t>re instance par la loi. Les espaces de la f</w:t>
      </w:r>
      <w:r>
        <w:rPr>
          <w:rtl w:val="0"/>
        </w:rPr>
        <w:t>é</w:t>
      </w:r>
      <w:r>
        <w:rPr>
          <w:rtl w:val="0"/>
        </w:rPr>
        <w:t>minit</w:t>
      </w:r>
      <w:r>
        <w:rPr>
          <w:rtl w:val="0"/>
        </w:rPr>
        <w:t xml:space="preserve">é </w:t>
      </w:r>
      <w:r>
        <w:rPr>
          <w:rtl w:val="0"/>
          <w:lang w:val="ru-RU"/>
        </w:rPr>
        <w:t>- id</w:t>
      </w:r>
      <w:r>
        <w:rPr>
          <w:rtl w:val="0"/>
        </w:rPr>
        <w:t>é</w:t>
      </w:r>
      <w:r>
        <w:rPr>
          <w:rtl w:val="0"/>
        </w:rPr>
        <w:t>ologiques et picturaux - articulent rarement la sexualit</w:t>
      </w:r>
      <w:r>
        <w:rPr>
          <w:rtl w:val="0"/>
        </w:rPr>
        <w:t xml:space="preserve">é </w:t>
      </w:r>
      <w:r>
        <w:rPr>
          <w:rtl w:val="0"/>
        </w:rPr>
        <w:t>f</w:t>
      </w:r>
      <w:r>
        <w:rPr>
          <w:rtl w:val="0"/>
        </w:rPr>
        <w:t>é</w:t>
      </w:r>
      <w:r>
        <w:rPr>
          <w:rtl w:val="0"/>
        </w:rPr>
        <w:t>minine.</w:t>
      </w:r>
      <w:r>
        <w:rPr>
          <w:rtl w:val="0"/>
          <w:lang w:val="it-IT"/>
        </w:rPr>
        <w:t xml:space="preserve"> » </w:t>
      </w:r>
    </w:p>
    <w:p>
      <w:pPr>
        <w:pStyle w:val="Corps"/>
        <w:bidi w:val="0"/>
      </w:pPr>
    </w:p>
    <w:p>
      <w:pPr>
        <w:pStyle w:val="Corps"/>
        <w:numPr>
          <w:ilvl w:val="0"/>
          <w:numId w:val="2"/>
        </w:numPr>
        <w:bidi w:val="0"/>
      </w:pPr>
      <w:r>
        <w:rPr>
          <w:rtl w:val="0"/>
        </w:rPr>
        <w:t>Fabienne Brug</w:t>
      </w:r>
      <w:r>
        <w:rPr>
          <w:rtl w:val="0"/>
        </w:rPr>
        <w:t>è</w:t>
      </w:r>
      <w:r>
        <w:rPr>
          <w:rtl w:val="0"/>
        </w:rPr>
        <w:t xml:space="preserve">re, </w:t>
      </w:r>
      <w:r>
        <w:rPr>
          <w:rStyle w:val="Aucun"/>
          <w:i w:val="1"/>
          <w:iCs w:val="1"/>
          <w:rtl w:val="0"/>
          <w:lang w:val="fr-FR"/>
        </w:rPr>
        <w:t>La vraie histoire de l</w:t>
      </w:r>
      <w:r>
        <w:rPr>
          <w:rStyle w:val="Aucun"/>
          <w:i w:val="1"/>
          <w:iCs w:val="1"/>
          <w:rtl w:val="0"/>
          <w:lang w:val="fr-FR"/>
        </w:rPr>
        <w:t>’</w:t>
      </w:r>
      <w:r>
        <w:rPr>
          <w:rStyle w:val="Aucun"/>
          <w:i w:val="1"/>
          <w:iCs w:val="1"/>
          <w:rtl w:val="0"/>
          <w:lang w:val="fr-FR"/>
        </w:rPr>
        <w:t>Impressionnisme. Manet, Morizot et les autres</w:t>
      </w:r>
      <w:r>
        <w:rPr>
          <w:rtl w:val="0"/>
        </w:rPr>
        <w:t>, Vrin, Paris, 2024</w:t>
      </w:r>
    </w:p>
    <w:p>
      <w:pPr>
        <w:pStyle w:val="Corps"/>
        <w:bidi w:val="0"/>
      </w:pPr>
    </w:p>
    <w:p>
      <w:pPr>
        <w:pStyle w:val="Corps"/>
        <w:bidi w:val="0"/>
      </w:pPr>
      <w:r>
        <w:rPr>
          <w:rtl w:val="0"/>
        </w:rPr>
        <w:t xml:space="preserve">Pp. 7-8 : </w:t>
      </w:r>
      <w:r>
        <w:rPr>
          <w:rtl w:val="0"/>
        </w:rPr>
        <w:t>« </w:t>
      </w:r>
      <w:r>
        <w:rPr>
          <w:rtl w:val="0"/>
        </w:rPr>
        <w:t>Les grands artistes ne sont jamais des femmes, c</w:t>
      </w:r>
      <w:r>
        <w:rPr>
          <w:rtl w:val="0"/>
        </w:rPr>
        <w:t>’</w:t>
      </w:r>
      <w:r>
        <w:rPr>
          <w:rtl w:val="0"/>
        </w:rPr>
        <w:t>est bien connu [</w:t>
      </w:r>
      <w:r>
        <w:rPr>
          <w:rtl w:val="0"/>
        </w:rPr>
        <w:t>…</w:t>
      </w:r>
      <w:r>
        <w:rPr>
          <w:rtl w:val="0"/>
        </w:rPr>
        <w:t>]. Ne nous trompons pas. Il s</w:t>
      </w:r>
      <w:r>
        <w:rPr>
          <w:rtl w:val="0"/>
        </w:rPr>
        <w:t>’</w:t>
      </w:r>
      <w:r>
        <w:rPr>
          <w:rtl w:val="0"/>
        </w:rPr>
        <w:t>agit bien de d</w:t>
      </w:r>
      <w:r>
        <w:rPr>
          <w:rtl w:val="0"/>
        </w:rPr>
        <w:t>é</w:t>
      </w:r>
      <w:r>
        <w:rPr>
          <w:rtl w:val="0"/>
        </w:rPr>
        <w:t>faire une histoire de l</w:t>
      </w:r>
      <w:r>
        <w:rPr>
          <w:rtl w:val="0"/>
        </w:rPr>
        <w:t>’</w:t>
      </w:r>
      <w:r>
        <w:rPr>
          <w:rtl w:val="0"/>
        </w:rPr>
        <w:t>art et une esth</w:t>
      </w:r>
      <w:r>
        <w:rPr>
          <w:rtl w:val="0"/>
        </w:rPr>
        <w:t>é</w:t>
      </w:r>
      <w:r>
        <w:rPr>
          <w:rtl w:val="0"/>
        </w:rPr>
        <w:t>tique masculinis</w:t>
      </w:r>
      <w:r>
        <w:rPr>
          <w:rtl w:val="0"/>
        </w:rPr>
        <w:t>é</w:t>
      </w:r>
      <w:r>
        <w:rPr>
          <w:rtl w:val="0"/>
        </w:rPr>
        <w:t>es pour produire des analyses qui restituent la pr</w:t>
      </w:r>
      <w:r>
        <w:rPr>
          <w:rtl w:val="0"/>
        </w:rPr>
        <w:t>é</w:t>
      </w:r>
      <w:r>
        <w:rPr>
          <w:rtl w:val="0"/>
        </w:rPr>
        <w:t>sence d</w:t>
      </w:r>
      <w:r>
        <w:rPr>
          <w:rtl w:val="0"/>
        </w:rPr>
        <w:t>’</w:t>
      </w:r>
      <w:r>
        <w:rPr>
          <w:rtl w:val="0"/>
        </w:rPr>
        <w:t xml:space="preserve">une </w:t>
      </w:r>
      <w:r>
        <w:rPr>
          <w:rtl w:val="0"/>
        </w:rPr>
        <w:t>œ</w:t>
      </w:r>
      <w:r>
        <w:rPr>
          <w:rtl w:val="0"/>
        </w:rPr>
        <w:t>uvre singuli</w:t>
      </w:r>
      <w:r>
        <w:rPr>
          <w:rtl w:val="0"/>
        </w:rPr>
        <w:t>è</w:t>
      </w:r>
      <w:r>
        <w:rPr>
          <w:rtl w:val="0"/>
        </w:rPr>
        <w:t>re et en dialogue avec les autres peintres de la deuxi</w:t>
      </w:r>
      <w:r>
        <w:rPr>
          <w:rtl w:val="0"/>
        </w:rPr>
        <w:t>è</w:t>
      </w:r>
      <w:r>
        <w:rPr>
          <w:rtl w:val="0"/>
        </w:rPr>
        <w:t>me moiti</w:t>
      </w:r>
      <w:r>
        <w:rPr>
          <w:rtl w:val="0"/>
        </w:rPr>
        <w:t xml:space="preserve">é </w:t>
      </w:r>
      <w:r>
        <w:rPr>
          <w:rtl w:val="0"/>
        </w:rPr>
        <w:t>du XIX</w:t>
      </w:r>
      <w:r>
        <w:rPr>
          <w:rStyle w:val="Aucun"/>
          <w:vertAlign w:val="superscript"/>
          <w:rtl w:val="0"/>
          <w:lang w:val="fr-FR"/>
        </w:rPr>
        <w:t>e</w:t>
      </w:r>
      <w:r>
        <w:rPr>
          <w:rtl w:val="0"/>
        </w:rPr>
        <w:t xml:space="preserve"> si</w:t>
      </w:r>
      <w:r>
        <w:rPr>
          <w:rtl w:val="0"/>
        </w:rPr>
        <w:t>è</w:t>
      </w:r>
      <w:r>
        <w:rPr>
          <w:rtl w:val="0"/>
        </w:rPr>
        <w:t>cle fran</w:t>
      </w:r>
      <w:r>
        <w:rPr>
          <w:rtl w:val="0"/>
        </w:rPr>
        <w:t>ç</w:t>
      </w:r>
      <w:r>
        <w:rPr>
          <w:rtl w:val="0"/>
        </w:rPr>
        <w:t xml:space="preserve">ais. </w:t>
      </w:r>
      <w:r>
        <w:rPr>
          <w:rtl w:val="0"/>
        </w:rPr>
        <w:t xml:space="preserve">À </w:t>
      </w:r>
      <w:r>
        <w:rPr>
          <w:rtl w:val="0"/>
        </w:rPr>
        <w:t>l</w:t>
      </w:r>
      <w:r>
        <w:rPr>
          <w:rtl w:val="0"/>
        </w:rPr>
        <w:t>’</w:t>
      </w:r>
      <w:r>
        <w:rPr>
          <w:rtl w:val="0"/>
        </w:rPr>
        <w:t>int</w:t>
      </w:r>
      <w:r>
        <w:rPr>
          <w:rtl w:val="0"/>
        </w:rPr>
        <w:t>é</w:t>
      </w:r>
      <w:r>
        <w:rPr>
          <w:rtl w:val="0"/>
        </w:rPr>
        <w:t xml:space="preserve">rieur de ce travail de recentrement, la relation entre Morisot et </w:t>
      </w:r>
      <w:r>
        <w:rPr>
          <w:rtl w:val="0"/>
        </w:rPr>
        <w:t>Manet</w:t>
      </w:r>
      <w:r>
        <w:rPr>
          <w:rtl w:val="0"/>
        </w:rPr>
        <w:t xml:space="preserve"> est essentielle.</w:t>
      </w:r>
      <w:r>
        <w:rPr>
          <w:rtl w:val="0"/>
        </w:rPr>
        <w:t> »</w:t>
      </w:r>
    </w:p>
    <w:p>
      <w:pPr>
        <w:pStyle w:val="Corps"/>
        <w:bidi w:val="0"/>
      </w:pPr>
    </w:p>
    <w:p>
      <w:pPr>
        <w:pStyle w:val="Corps"/>
        <w:bidi w:val="0"/>
      </w:pPr>
      <w:r>
        <w:rPr>
          <w:rtl w:val="0"/>
        </w:rPr>
        <w:t xml:space="preserve">P. 8 : </w:t>
      </w:r>
      <w:r>
        <w:rPr>
          <w:rtl w:val="0"/>
        </w:rPr>
        <w:t>« </w:t>
      </w:r>
      <w:r>
        <w:rPr>
          <w:rtl w:val="0"/>
        </w:rPr>
        <w:t xml:space="preserve">Morisot est </w:t>
      </w:r>
      <w:r>
        <w:rPr>
          <w:rtl w:val="0"/>
        </w:rPr>
        <w:t xml:space="preserve">à </w:t>
      </w:r>
      <w:r>
        <w:rPr>
          <w:rtl w:val="0"/>
        </w:rPr>
        <w:t>la fois mod</w:t>
      </w:r>
      <w:r>
        <w:rPr>
          <w:rtl w:val="0"/>
        </w:rPr>
        <w:t>è</w:t>
      </w:r>
      <w:r>
        <w:rPr>
          <w:rtl w:val="0"/>
        </w:rPr>
        <w:t>le inspirant et une artiste reconnue m</w:t>
      </w:r>
      <w:r>
        <w:rPr>
          <w:rtl w:val="0"/>
        </w:rPr>
        <w:t>ê</w:t>
      </w:r>
      <w:r>
        <w:rPr>
          <w:rtl w:val="0"/>
        </w:rPr>
        <w:t>me si son atelier est dans sa maison, r</w:t>
      </w:r>
      <w:r>
        <w:rPr>
          <w:rtl w:val="0"/>
        </w:rPr>
        <w:t>é</w:t>
      </w:r>
      <w:r>
        <w:rPr>
          <w:rtl w:val="0"/>
        </w:rPr>
        <w:t>install</w:t>
      </w:r>
      <w:r>
        <w:rPr>
          <w:rtl w:val="0"/>
        </w:rPr>
        <w:t xml:space="preserve">é </w:t>
      </w:r>
      <w:r>
        <w:rPr>
          <w:rtl w:val="0"/>
        </w:rPr>
        <w:t>tous les jours, au milieu de la vie domestique ; c</w:t>
      </w:r>
      <w:r>
        <w:rPr>
          <w:rtl w:val="0"/>
        </w:rPr>
        <w:t>’</w:t>
      </w:r>
      <w:r>
        <w:rPr>
          <w:rtl w:val="0"/>
        </w:rPr>
        <w:t>est son souhait semble-t-il et sa fa</w:t>
      </w:r>
      <w:r>
        <w:rPr>
          <w:rtl w:val="0"/>
        </w:rPr>
        <w:t>ç</w:t>
      </w:r>
      <w:r>
        <w:rPr>
          <w:rtl w:val="0"/>
        </w:rPr>
        <w:t xml:space="preserve">on de ne jamais oublier la peinture. Au fur et </w:t>
      </w:r>
      <w:r>
        <w:rPr>
          <w:rtl w:val="0"/>
        </w:rPr>
        <w:t xml:space="preserve">à </w:t>
      </w:r>
      <w:r>
        <w:rPr>
          <w:rtl w:val="0"/>
        </w:rPr>
        <w:t>mesure que se constitue une histoire de la peinture fran</w:t>
      </w:r>
      <w:r>
        <w:rPr>
          <w:rtl w:val="0"/>
        </w:rPr>
        <w:t>ç</w:t>
      </w:r>
      <w:r>
        <w:rPr>
          <w:rtl w:val="0"/>
        </w:rPr>
        <w:t>aise apr</w:t>
      </w:r>
      <w:r>
        <w:rPr>
          <w:rtl w:val="0"/>
        </w:rPr>
        <w:t>è</w:t>
      </w:r>
      <w:r>
        <w:rPr>
          <w:rtl w:val="0"/>
        </w:rPr>
        <w:t>s la fin du XIX</w:t>
      </w:r>
      <w:r>
        <w:rPr>
          <w:rStyle w:val="Aucun"/>
          <w:vertAlign w:val="superscript"/>
          <w:rtl w:val="0"/>
          <w:lang w:val="fr-FR"/>
        </w:rPr>
        <w:t>e</w:t>
      </w:r>
      <w:r>
        <w:rPr>
          <w:rtl w:val="0"/>
        </w:rPr>
        <w:t xml:space="preserve"> si</w:t>
      </w:r>
      <w:r>
        <w:rPr>
          <w:rtl w:val="0"/>
        </w:rPr>
        <w:t>è</w:t>
      </w:r>
      <w:r>
        <w:rPr>
          <w:rtl w:val="0"/>
        </w:rPr>
        <w:t xml:space="preserve">cle, </w:t>
      </w:r>
      <w:r>
        <w:rPr>
          <w:rtl w:val="0"/>
        </w:rPr>
        <w:t>É</w:t>
      </w:r>
      <w:r>
        <w:rPr>
          <w:rtl w:val="0"/>
        </w:rPr>
        <w:t>douard Manet devient ce peintre magn</w:t>
      </w:r>
      <w:r>
        <w:rPr>
          <w:rtl w:val="0"/>
        </w:rPr>
        <w:t>é</w:t>
      </w:r>
      <w:r>
        <w:rPr>
          <w:rtl w:val="0"/>
        </w:rPr>
        <w:t xml:space="preserve">tique et incompris, qui a fait scandale. Il est un </w:t>
      </w:r>
      <w:r>
        <w:rPr>
          <w:rtl w:val="0"/>
        </w:rPr>
        <w:t>« </w:t>
      </w:r>
      <w:r>
        <w:rPr>
          <w:rtl w:val="0"/>
        </w:rPr>
        <w:t>cas</w:t>
      </w:r>
      <w:r>
        <w:rPr>
          <w:rtl w:val="0"/>
        </w:rPr>
        <w:t> »</w:t>
      </w:r>
      <w:r>
        <w:rPr>
          <w:rtl w:val="0"/>
        </w:rPr>
        <w:t xml:space="preserve">, </w:t>
      </w:r>
      <w:r>
        <w:rPr>
          <w:rtl w:val="0"/>
        </w:rPr>
        <w:t xml:space="preserve">à </w:t>
      </w:r>
      <w:r>
        <w:rPr>
          <w:rtl w:val="0"/>
        </w:rPr>
        <w:t>la fois dans et en dehors de l</w:t>
      </w:r>
      <w:r>
        <w:rPr>
          <w:rtl w:val="0"/>
        </w:rPr>
        <w:t>’</w:t>
      </w:r>
      <w:r>
        <w:rPr>
          <w:rtl w:val="0"/>
        </w:rPr>
        <w:t>impressionnisme, toujours singulier dans son expression jusqu</w:t>
      </w:r>
      <w:r>
        <w:rPr>
          <w:rtl w:val="0"/>
        </w:rPr>
        <w:t>’à ê</w:t>
      </w:r>
      <w:r>
        <w:rPr>
          <w:rtl w:val="0"/>
        </w:rPr>
        <w:t>tre consid</w:t>
      </w:r>
      <w:r>
        <w:rPr>
          <w:rtl w:val="0"/>
        </w:rPr>
        <w:t>é</w:t>
      </w:r>
      <w:r>
        <w:rPr>
          <w:rtl w:val="0"/>
        </w:rPr>
        <w:t>r</w:t>
      </w:r>
      <w:r>
        <w:rPr>
          <w:rtl w:val="0"/>
        </w:rPr>
        <w:t xml:space="preserve">é </w:t>
      </w:r>
      <w:r>
        <w:rPr>
          <w:rtl w:val="0"/>
        </w:rPr>
        <w:t>comme l</w:t>
      </w:r>
      <w:r>
        <w:rPr>
          <w:rtl w:val="0"/>
        </w:rPr>
        <w:t>’</w:t>
      </w:r>
      <w:r>
        <w:rPr>
          <w:rtl w:val="0"/>
        </w:rPr>
        <w:t>inventeur de la peinture moderne. Morisot ne devient ni un cas, ni una singularit</w:t>
      </w:r>
      <w:r>
        <w:rPr>
          <w:rtl w:val="0"/>
        </w:rPr>
        <w:t xml:space="preserve">é </w:t>
      </w:r>
      <w:r>
        <w:rPr>
          <w:rtl w:val="0"/>
        </w:rPr>
        <w:t>parce qu</w:t>
      </w:r>
      <w:r>
        <w:rPr>
          <w:rtl w:val="0"/>
        </w:rPr>
        <w:t>’</w:t>
      </w:r>
      <w:r>
        <w:rPr>
          <w:rtl w:val="0"/>
        </w:rPr>
        <w:t>une femme ne peut pas l</w:t>
      </w:r>
      <w:r>
        <w:rPr>
          <w:rtl w:val="0"/>
        </w:rPr>
        <w:t>’ê</w:t>
      </w:r>
      <w:r>
        <w:rPr>
          <w:rtl w:val="0"/>
        </w:rPr>
        <w:t>tre au XIX</w:t>
      </w:r>
      <w:r>
        <w:rPr>
          <w:rStyle w:val="Aucun"/>
          <w:vertAlign w:val="superscript"/>
          <w:rtl w:val="0"/>
          <w:lang w:val="fr-FR"/>
        </w:rPr>
        <w:t xml:space="preserve">e </w:t>
      </w:r>
      <w:r>
        <w:rPr>
          <w:rtl w:val="0"/>
        </w:rPr>
        <w:t>si</w:t>
      </w:r>
      <w:r>
        <w:rPr>
          <w:rtl w:val="0"/>
        </w:rPr>
        <w:t>è</w:t>
      </w:r>
      <w:r>
        <w:rPr>
          <w:rtl w:val="0"/>
        </w:rPr>
        <w:t>cle dans le domaine de l</w:t>
      </w:r>
      <w:r>
        <w:rPr>
          <w:rtl w:val="0"/>
        </w:rPr>
        <w:t>’</w:t>
      </w:r>
      <w:r>
        <w:rPr>
          <w:rtl w:val="0"/>
        </w:rPr>
        <w:t xml:space="preserve">art. Pourtant, le </w:t>
      </w:r>
      <w:r>
        <w:rPr>
          <w:rtl w:val="0"/>
        </w:rPr>
        <w:t>« </w:t>
      </w:r>
      <w:r>
        <w:rPr>
          <w:rtl w:val="0"/>
        </w:rPr>
        <w:t>cas</w:t>
      </w:r>
      <w:r>
        <w:rPr>
          <w:rtl w:val="0"/>
        </w:rPr>
        <w:t xml:space="preserve"> » </w:t>
      </w:r>
      <w:r>
        <w:rPr>
          <w:rtl w:val="0"/>
        </w:rPr>
        <w:t>c</w:t>
      </w:r>
      <w:r>
        <w:rPr>
          <w:rtl w:val="0"/>
        </w:rPr>
        <w:t>’</w:t>
      </w:r>
      <w:r>
        <w:rPr>
          <w:rtl w:val="0"/>
        </w:rPr>
        <w:t>est elle !</w:t>
      </w:r>
      <w:r>
        <w:rPr>
          <w:rtl w:val="0"/>
        </w:rPr>
        <w:t> »</w:t>
      </w:r>
    </w:p>
    <w:p>
      <w:pPr>
        <w:pStyle w:val="Corps"/>
        <w:bidi w:val="0"/>
      </w:pPr>
    </w:p>
    <w:p>
      <w:pPr>
        <w:pStyle w:val="Corps"/>
        <w:bidi w:val="0"/>
      </w:pPr>
      <w:r>
        <w:rPr>
          <w:rtl w:val="0"/>
        </w:rPr>
        <w:t xml:space="preserve">p. 13 : </w:t>
      </w:r>
      <w:r>
        <w:rPr>
          <w:rtl w:val="0"/>
        </w:rPr>
        <w:t>« </w:t>
      </w:r>
      <w:r>
        <w:rPr>
          <w:rtl w:val="0"/>
        </w:rPr>
        <w:t>Morisot est un sympt</w:t>
      </w:r>
      <w:r>
        <w:rPr>
          <w:rtl w:val="0"/>
        </w:rPr>
        <w:t>ô</w:t>
      </w:r>
      <w:r>
        <w:rPr>
          <w:rtl w:val="0"/>
        </w:rPr>
        <w:t>me de l</w:t>
      </w:r>
      <w:r>
        <w:rPr>
          <w:rtl w:val="0"/>
        </w:rPr>
        <w:t>’</w:t>
      </w:r>
      <w:r>
        <w:rPr>
          <w:rtl w:val="0"/>
        </w:rPr>
        <w:t>intrusion du genre dans les arts tels qu</w:t>
      </w:r>
      <w:r>
        <w:rPr>
          <w:rtl w:val="0"/>
        </w:rPr>
        <w:t>’</w:t>
      </w:r>
      <w:r>
        <w:rPr>
          <w:rtl w:val="0"/>
        </w:rPr>
        <w:t>ils sont mis en r</w:t>
      </w:r>
      <w:r>
        <w:rPr>
          <w:rtl w:val="0"/>
        </w:rPr>
        <w:t>é</w:t>
      </w:r>
      <w:r>
        <w:rPr>
          <w:rtl w:val="0"/>
        </w:rPr>
        <w:t>cit historiquement. Pourquoi Berthe Morisot n</w:t>
      </w:r>
      <w:r>
        <w:rPr>
          <w:rtl w:val="0"/>
        </w:rPr>
        <w:t>’</w:t>
      </w:r>
      <w:r>
        <w:rPr>
          <w:rtl w:val="0"/>
        </w:rPr>
        <w:t xml:space="preserve">est-elle pas </w:t>
      </w:r>
      <w:r>
        <w:rPr>
          <w:rtl w:val="0"/>
        </w:rPr>
        <w:t>É</w:t>
      </w:r>
      <w:r>
        <w:rPr>
          <w:rtl w:val="0"/>
        </w:rPr>
        <w:t>douard Manet ? Parce que des limites culturelles, id</w:t>
      </w:r>
      <w:r>
        <w:rPr>
          <w:rtl w:val="0"/>
        </w:rPr>
        <w:t>é</w:t>
      </w:r>
      <w:r>
        <w:rPr>
          <w:rtl w:val="0"/>
        </w:rPr>
        <w:t>ologiques et toujours syst</w:t>
      </w:r>
      <w:r>
        <w:rPr>
          <w:rtl w:val="0"/>
        </w:rPr>
        <w:t>é</w:t>
      </w:r>
      <w:r>
        <w:rPr>
          <w:rtl w:val="0"/>
        </w:rPr>
        <w:t>miques tiennent que la grandeur de l</w:t>
      </w:r>
      <w:r>
        <w:rPr>
          <w:rtl w:val="0"/>
        </w:rPr>
        <w:t>’</w:t>
      </w:r>
      <w:r>
        <w:rPr>
          <w:rtl w:val="0"/>
        </w:rPr>
        <w:t>art est masculine. Beaucoup se dit dans les mots : grand homme, grand artiste. Grande artiste peintre ? Grande femme ? Les mots n</w:t>
      </w:r>
      <w:r>
        <w:rPr>
          <w:rtl w:val="0"/>
        </w:rPr>
        <w:t>’</w:t>
      </w:r>
      <w:r>
        <w:rPr>
          <w:rtl w:val="0"/>
        </w:rPr>
        <w:t>existent pas pour exprimer la grandeur de l</w:t>
      </w:r>
      <w:r>
        <w:rPr>
          <w:rtl w:val="0"/>
        </w:rPr>
        <w:t>’</w:t>
      </w:r>
      <w:r>
        <w:rPr>
          <w:rtl w:val="0"/>
        </w:rPr>
        <w:t>art au f</w:t>
      </w:r>
      <w:r>
        <w:rPr>
          <w:rtl w:val="0"/>
        </w:rPr>
        <w:t>é</w:t>
      </w:r>
      <w:r>
        <w:rPr>
          <w:rtl w:val="0"/>
        </w:rPr>
        <w:t>minin alors m</w:t>
      </w:r>
      <w:r>
        <w:rPr>
          <w:rtl w:val="0"/>
        </w:rPr>
        <w:t>ê</w:t>
      </w:r>
      <w:r>
        <w:rPr>
          <w:rtl w:val="0"/>
        </w:rPr>
        <w:t>me que les exp</w:t>
      </w:r>
      <w:r>
        <w:rPr>
          <w:rtl w:val="0"/>
        </w:rPr>
        <w:t>é</w:t>
      </w:r>
      <w:r>
        <w:rPr>
          <w:rtl w:val="0"/>
        </w:rPr>
        <w:t>riences des femmes peintres existent, se d</w:t>
      </w:r>
      <w:r>
        <w:rPr>
          <w:rtl w:val="0"/>
        </w:rPr>
        <w:t>é</w:t>
      </w:r>
      <w:r>
        <w:rPr>
          <w:rtl w:val="0"/>
        </w:rPr>
        <w:t>ploient et, parfois, dans une grande reconnaissance malgr</w:t>
      </w:r>
      <w:r>
        <w:rPr>
          <w:rtl w:val="0"/>
        </w:rPr>
        <w:t xml:space="preserve">é </w:t>
      </w:r>
      <w:r>
        <w:rPr>
          <w:rtl w:val="0"/>
        </w:rPr>
        <w:t>les contraintes, les conventions, les emp</w:t>
      </w:r>
      <w:r>
        <w:rPr>
          <w:rtl w:val="0"/>
        </w:rPr>
        <w:t>ê</w:t>
      </w:r>
      <w:r>
        <w:rPr>
          <w:rtl w:val="0"/>
        </w:rPr>
        <w:t>chements, les interdits.</w:t>
      </w:r>
      <w:r>
        <w:rPr>
          <w:rtl w:val="0"/>
        </w:rPr>
        <w:t> »</w:t>
      </w:r>
    </w:p>
    <w:p>
      <w:pPr>
        <w:pStyle w:val="Corps"/>
        <w:bidi w:val="0"/>
      </w:pPr>
    </w:p>
    <w:p>
      <w:pPr>
        <w:pStyle w:val="Corps"/>
        <w:bidi w:val="0"/>
      </w:pPr>
      <w:r>
        <w:rPr>
          <w:rtl w:val="0"/>
        </w:rPr>
        <w:t xml:space="preserve">p. 74 : </w:t>
      </w:r>
      <w:r>
        <w:rPr>
          <w:rtl w:val="0"/>
        </w:rPr>
        <w:t>« </w:t>
      </w:r>
      <w:r>
        <w:rPr>
          <w:rtl w:val="0"/>
        </w:rPr>
        <w:t>Les artistes surgissent comme des singularit</w:t>
      </w:r>
      <w:r>
        <w:rPr>
          <w:rtl w:val="0"/>
        </w:rPr>
        <w:t>é</w:t>
      </w:r>
      <w:r>
        <w:rPr>
          <w:rtl w:val="0"/>
        </w:rPr>
        <w:t>s expressives ; il y a toujours des rencontres, des agencements, des influences en coulisse qui grouillent dans une expression en train de se former. L</w:t>
      </w:r>
      <w:r>
        <w:rPr>
          <w:rtl w:val="0"/>
        </w:rPr>
        <w:t>’</w:t>
      </w:r>
      <w:r>
        <w:rPr>
          <w:rtl w:val="0"/>
        </w:rPr>
        <w:t>histoire de l</w:t>
      </w:r>
      <w:r>
        <w:rPr>
          <w:rtl w:val="0"/>
        </w:rPr>
        <w:t>’</w:t>
      </w:r>
      <w:r>
        <w:rPr>
          <w:rtl w:val="0"/>
        </w:rPr>
        <w:t>art mais aussi tout ce qui constitue une th</w:t>
      </w:r>
      <w:r>
        <w:rPr>
          <w:rtl w:val="0"/>
        </w:rPr>
        <w:t>é</w:t>
      </w:r>
      <w:r>
        <w:rPr>
          <w:rtl w:val="0"/>
        </w:rPr>
        <w:t>orie ou une philosophie de l</w:t>
      </w:r>
      <w:r>
        <w:rPr>
          <w:rtl w:val="0"/>
        </w:rPr>
        <w:t>’</w:t>
      </w:r>
      <w:r>
        <w:rPr>
          <w:rtl w:val="0"/>
        </w:rPr>
        <w:t xml:space="preserve">art, fonctionne </w:t>
      </w:r>
      <w:r>
        <w:rPr>
          <w:rtl w:val="0"/>
        </w:rPr>
        <w:t xml:space="preserve">à </w:t>
      </w:r>
      <w:r>
        <w:rPr>
          <w:rtl w:val="0"/>
        </w:rPr>
        <w:t>la simplification et cette simplification est port</w:t>
      </w:r>
      <w:r>
        <w:rPr>
          <w:rtl w:val="0"/>
        </w:rPr>
        <w:t>é</w:t>
      </w:r>
      <w:r>
        <w:rPr>
          <w:rtl w:val="0"/>
        </w:rPr>
        <w:t>e par un genre, le masculin.</w:t>
      </w:r>
      <w:r>
        <w:rPr>
          <w:rtl w:val="0"/>
        </w:rPr>
        <w:t> »</w:t>
      </w: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  <w:r>
        <w:br w:type="textWrapping"/>
      </w:r>
      <w:r>
        <w:br w:type="page"/>
      </w:r>
    </w:p>
    <w:p>
      <w:pPr>
        <w:pStyle w:val="Corps"/>
        <w:bidi w:val="0"/>
      </w:pPr>
      <w:r>
        <w:drawing xmlns:a="http://schemas.openxmlformats.org/drawingml/2006/main">
          <wp:anchor distT="152400" distB="152400" distL="152400" distR="152400" simplePos="0" relativeHeight="251659264" behindDoc="0" locked="0" layoutInCell="1" allowOverlap="1">
            <wp:simplePos x="0" y="0"/>
            <wp:positionH relativeFrom="page">
              <wp:posOffset>549983</wp:posOffset>
            </wp:positionH>
            <wp:positionV relativeFrom="page">
              <wp:posOffset>1048251</wp:posOffset>
            </wp:positionV>
            <wp:extent cx="4223026" cy="3467326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5" name="officeArt object" descr="Morisot_-_On_the_Terrace,_187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Morisot_-_On_the_Terrace,_1874.jpg" descr="Morisot_-_On_the_Terrace,_1874.jp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23026" cy="346732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60288" behindDoc="0" locked="0" layoutInCell="1" allowOverlap="1">
                <wp:simplePos x="0" y="0"/>
                <wp:positionH relativeFrom="page">
                  <wp:posOffset>549983</wp:posOffset>
                </wp:positionH>
                <wp:positionV relativeFrom="page">
                  <wp:posOffset>4515577</wp:posOffset>
                </wp:positionV>
                <wp:extent cx="2293184" cy="309880"/>
                <wp:effectExtent l="0" t="0" r="0" b="0"/>
                <wp:wrapThrough wrapText="bothSides" distL="152400" distR="152400">
                  <wp:wrapPolygon edited="1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073741826" name="officeArt object" descr="Berthe Morisot, Sur la terrasse, 18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93184" cy="30988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Corps"/>
                              <w:bidi w:val="0"/>
                            </w:pPr>
                            <w:r>
                              <w:rPr>
                                <w:rtl w:val="0"/>
                              </w:rPr>
                              <w:t xml:space="preserve">Berthe Morisot, </w:t>
                            </w:r>
                            <w:r>
                              <w:rPr>
                                <w:rStyle w:val="Aucun"/>
                                <w:i w:val="1"/>
                                <w:iCs w:val="1"/>
                                <w:rtl w:val="0"/>
                                <w:lang w:val="fr-FR"/>
                              </w:rPr>
                              <w:t>Sur la terrasse</w:t>
                            </w:r>
                            <w:r>
                              <w:rPr>
                                <w:rtl w:val="0"/>
                              </w:rPr>
                              <w:t>, 1874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type="#_x0000_t202" style="visibility:visible;position:absolute;margin-left:43.3pt;margin-top:355.6pt;width:180.6pt;height:24.4pt;z-index:251660288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orps"/>
                        <w:bidi w:val="0"/>
                      </w:pPr>
                      <w:r>
                        <w:rPr>
                          <w:rtl w:val="0"/>
                        </w:rPr>
                        <w:t xml:space="preserve">Berthe Morisot, </w:t>
                      </w:r>
                      <w:r>
                        <w:rPr>
                          <w:rStyle w:val="Aucun"/>
                          <w:i w:val="1"/>
                          <w:iCs w:val="1"/>
                          <w:rtl w:val="0"/>
                          <w:lang w:val="fr-FR"/>
                        </w:rPr>
                        <w:t>Sur la terrasse</w:t>
                      </w:r>
                      <w:r>
                        <w:rPr>
                          <w:rtl w:val="0"/>
                        </w:rPr>
                        <w:t>, 1874</w:t>
                      </w:r>
                    </w:p>
                  </w:txbxContent>
                </v:textbox>
                <w10:wrap type="through" side="bothSides" anchorx="page" anchory="page"/>
              </v:shape>
            </w:pict>
          </mc:Fallback>
        </mc:AlternateContent>
      </w:r>
      <w:r>
        <w:drawing xmlns:a="http://schemas.openxmlformats.org/drawingml/2006/main">
          <wp:anchor distT="152400" distB="152400" distL="152400" distR="152400" simplePos="0" relativeHeight="251661312" behindDoc="0" locked="0" layoutInCell="1" allowOverlap="1">
            <wp:simplePos x="0" y="0"/>
            <wp:positionH relativeFrom="page">
              <wp:posOffset>468737</wp:posOffset>
            </wp:positionH>
            <wp:positionV relativeFrom="page">
              <wp:posOffset>5780232</wp:posOffset>
            </wp:positionV>
            <wp:extent cx="4748859" cy="2902615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7" name="officeArt object" descr="Berthe_Morisot_-_Jour_d'été,_187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Berthe_Morisot_-_Jour_d'été,_1879.jpg" descr="Berthe_Morisot_-_Jour_d'été,_1879.jpg"/>
                    <pic:cNvPicPr>
                      <a:picLocks noChangeAspect="1"/>
                    </pic:cNvPicPr>
                  </pic:nvPicPr>
                  <pic:blipFill>
                    <a:blip r:embed="rId5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48859" cy="290261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62336" behindDoc="0" locked="0" layoutInCell="1" allowOverlap="1">
                <wp:simplePos x="0" y="0"/>
                <wp:positionH relativeFrom="page">
                  <wp:posOffset>468737</wp:posOffset>
                </wp:positionH>
                <wp:positionV relativeFrom="page">
                  <wp:posOffset>8682847</wp:posOffset>
                </wp:positionV>
                <wp:extent cx="2293184" cy="309880"/>
                <wp:effectExtent l="0" t="0" r="0" b="0"/>
                <wp:wrapThrough wrapText="bothSides" distL="152400" distR="152400">
                  <wp:wrapPolygon edited="1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073741828" name="officeArt object" descr="Berthe Morisot, Jour d’été, 18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93184" cy="30988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Corps"/>
                              <w:bidi w:val="0"/>
                            </w:pPr>
                            <w:r>
                              <w:rPr>
                                <w:rtl w:val="0"/>
                              </w:rPr>
                              <w:t xml:space="preserve">Berthe Morisot, </w:t>
                            </w:r>
                            <w:r>
                              <w:rPr>
                                <w:rStyle w:val="Aucun"/>
                                <w:i w:val="1"/>
                                <w:iCs w:val="1"/>
                                <w:rtl w:val="0"/>
                                <w:lang w:val="fr-FR"/>
                              </w:rPr>
                              <w:t>Jour d</w:t>
                            </w:r>
                            <w:r>
                              <w:rPr>
                                <w:rStyle w:val="Aucun"/>
                                <w:i w:val="1"/>
                                <w:iCs w:val="1"/>
                                <w:rtl w:val="0"/>
                                <w:lang w:val="fr-FR"/>
                              </w:rPr>
                              <w:t>’é</w:t>
                            </w:r>
                            <w:r>
                              <w:rPr>
                                <w:rStyle w:val="Aucun"/>
                                <w:i w:val="1"/>
                                <w:iCs w:val="1"/>
                                <w:rtl w:val="0"/>
                                <w:lang w:val="fr-FR"/>
                              </w:rPr>
                              <w:t>t</w:t>
                            </w:r>
                            <w:r>
                              <w:rPr>
                                <w:rStyle w:val="Aucun"/>
                                <w:i w:val="1"/>
                                <w:iCs w:val="1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tl w:val="0"/>
                              </w:rPr>
                              <w:t>, 1879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7" type="#_x0000_t202" style="visibility:visible;position:absolute;margin-left:36.9pt;margin-top:683.7pt;width:180.6pt;height:24.4pt;z-index:251662336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orps"/>
                        <w:bidi w:val="0"/>
                      </w:pPr>
                      <w:r>
                        <w:rPr>
                          <w:rtl w:val="0"/>
                        </w:rPr>
                        <w:t xml:space="preserve">Berthe Morisot, </w:t>
                      </w:r>
                      <w:r>
                        <w:rPr>
                          <w:rStyle w:val="Aucun"/>
                          <w:i w:val="1"/>
                          <w:iCs w:val="1"/>
                          <w:rtl w:val="0"/>
                          <w:lang w:val="fr-FR"/>
                        </w:rPr>
                        <w:t>Jour d</w:t>
                      </w:r>
                      <w:r>
                        <w:rPr>
                          <w:rStyle w:val="Aucun"/>
                          <w:i w:val="1"/>
                          <w:iCs w:val="1"/>
                          <w:rtl w:val="0"/>
                          <w:lang w:val="fr-FR"/>
                        </w:rPr>
                        <w:t>’é</w:t>
                      </w:r>
                      <w:r>
                        <w:rPr>
                          <w:rStyle w:val="Aucun"/>
                          <w:i w:val="1"/>
                          <w:iCs w:val="1"/>
                          <w:rtl w:val="0"/>
                          <w:lang w:val="fr-FR"/>
                        </w:rPr>
                        <w:t>t</w:t>
                      </w:r>
                      <w:r>
                        <w:rPr>
                          <w:rStyle w:val="Aucun"/>
                          <w:i w:val="1"/>
                          <w:iCs w:val="1"/>
                          <w:rtl w:val="0"/>
                          <w:lang w:val="fr-FR"/>
                        </w:rPr>
                        <w:t>é</w:t>
                      </w:r>
                      <w:r>
                        <w:rPr>
                          <w:rtl w:val="0"/>
                        </w:rPr>
                        <w:t>, 1879</w:t>
                      </w:r>
                    </w:p>
                  </w:txbxContent>
                </v:textbox>
                <w10:wrap type="through" side="bothSides" anchorx="page" anchory="page"/>
              </v:shape>
            </w:pict>
          </mc:Fallback>
        </mc:AlternateContent>
      </w:r>
    </w:p>
    <w:sectPr>
      <w:headerReference w:type="default" r:id="rId6"/>
      <w:footerReference w:type="default" r:id="rId7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Tiret"/>
  </w:abstractNum>
  <w:abstractNum w:abstractNumId="1">
    <w:multiLevelType w:val="hybridMultilevel"/>
    <w:styleLink w:val="Tiret"/>
    <w:lvl w:ilvl="0">
      <w:start w:val="1"/>
      <w:numFmt w:val="bullet"/>
      <w:suff w:val="tab"/>
      <w:lvlText w:val="-"/>
      <w:lvlJc w:val="left"/>
      <w:pPr>
        <w:ind w:left="24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vertAlign w:val="baseline"/>
      </w:rPr>
    </w:lvl>
    <w:lvl w:ilvl="1">
      <w:start w:val="1"/>
      <w:numFmt w:val="bullet"/>
      <w:suff w:val="tab"/>
      <w:lvlText w:val="-"/>
      <w:lvlJc w:val="left"/>
      <w:pPr>
        <w:ind w:left="48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vertAlign w:val="baseline"/>
      </w:rPr>
    </w:lvl>
    <w:lvl w:ilvl="2">
      <w:start w:val="1"/>
      <w:numFmt w:val="bullet"/>
      <w:suff w:val="tab"/>
      <w:lvlText w:val="-"/>
      <w:lvlJc w:val="left"/>
      <w:pPr>
        <w:ind w:left="72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vertAlign w:val="baseline"/>
      </w:rPr>
    </w:lvl>
    <w:lvl w:ilvl="3">
      <w:start w:val="1"/>
      <w:numFmt w:val="bullet"/>
      <w:suff w:val="tab"/>
      <w:lvlText w:val="-"/>
      <w:lvlJc w:val="left"/>
      <w:pPr>
        <w:ind w:left="96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vertAlign w:val="baseline"/>
      </w:rPr>
    </w:lvl>
    <w:lvl w:ilvl="4">
      <w:start w:val="1"/>
      <w:numFmt w:val="bullet"/>
      <w:suff w:val="tab"/>
      <w:lvlText w:val="-"/>
      <w:lvlJc w:val="left"/>
      <w:pPr>
        <w:ind w:left="120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vertAlign w:val="baseline"/>
      </w:rPr>
    </w:lvl>
    <w:lvl w:ilvl="5">
      <w:start w:val="1"/>
      <w:numFmt w:val="bullet"/>
      <w:suff w:val="tab"/>
      <w:lvlText w:val="-"/>
      <w:lvlJc w:val="left"/>
      <w:pPr>
        <w:ind w:left="144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vertAlign w:val="baseline"/>
      </w:rPr>
    </w:lvl>
    <w:lvl w:ilvl="6">
      <w:start w:val="1"/>
      <w:numFmt w:val="bullet"/>
      <w:suff w:val="tab"/>
      <w:lvlText w:val="-"/>
      <w:lvlJc w:val="left"/>
      <w:pPr>
        <w:ind w:left="168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vertAlign w:val="baseline"/>
      </w:rPr>
    </w:lvl>
    <w:lvl w:ilvl="7">
      <w:start w:val="1"/>
      <w:numFmt w:val="bullet"/>
      <w:suff w:val="tab"/>
      <w:lvlText w:val="-"/>
      <w:lvlJc w:val="left"/>
      <w:pPr>
        <w:ind w:left="192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vertAlign w:val="baseline"/>
      </w:rPr>
    </w:lvl>
    <w:lvl w:ilvl="8">
      <w:start w:val="1"/>
      <w:numFmt w:val="bullet"/>
      <w:suff w:val="tab"/>
      <w:lvlText w:val="-"/>
      <w:lvlJc w:val="left"/>
      <w:pPr>
        <w:ind w:left="216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français" w:val="‘“(〔[{〈《「『【⦅〘〖«〝︵︷︹︻︽︿﹁﹃﹇﹙﹛﹝｢"/>
  <w:noLineBreaksBefore w:lang="françai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orps">
    <w:name w:val="Corps"/>
    <w:next w:val="Corps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both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:lang w:val="fr-FR"/>
      <w14:textOutline>
        <w14:noFill/>
      </w14:textOutline>
      <w14:textFill>
        <w14:solidFill>
          <w14:srgbClr w14:val="000000"/>
        </w14:solidFill>
      </w14:textFill>
    </w:rPr>
  </w:style>
  <w:style w:type="numbering" w:styleId="Tiret">
    <w:name w:val="Tiret"/>
    <w:pPr>
      <w:numPr>
        <w:numId w:val="1"/>
      </w:numPr>
    </w:pPr>
  </w:style>
  <w:style w:type="character" w:styleId="Aucun">
    <w:name w:val="Aucun"/>
    <w:rPr>
      <w:lang w:val="fr-FR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jpeg"/><Relationship Id="rId5" Type="http://schemas.openxmlformats.org/officeDocument/2006/relationships/image" Target="media/image2.jpeg"/><Relationship Id="rId6" Type="http://schemas.openxmlformats.org/officeDocument/2006/relationships/header" Target="header1.xml"/><Relationship Id="rId7" Type="http://schemas.openxmlformats.org/officeDocument/2006/relationships/footer" Target="footer1.xml"/><Relationship Id="rId8" Type="http://schemas.openxmlformats.org/officeDocument/2006/relationships/numbering" Target="numbering.xml"/><Relationship Id="rId9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just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Times New Roman"/>
            <a:ea typeface="Times New Roman"/>
            <a:cs typeface="Times New Roman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