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69DC2" w14:textId="77777777" w:rsidR="00AC186B" w:rsidRPr="001E77CA" w:rsidRDefault="00EA4D39" w:rsidP="001E77CA">
      <w:pPr>
        <w:spacing w:line="360" w:lineRule="auto"/>
        <w:jc w:val="center"/>
        <w:rPr>
          <w:rFonts w:ascii="Times New Roman" w:hAnsi="Times New Roman"/>
          <w:b/>
          <w:sz w:val="24"/>
        </w:rPr>
      </w:pPr>
      <w:r w:rsidRPr="001E77CA">
        <w:rPr>
          <w:rFonts w:ascii="Times New Roman" w:hAnsi="Times New Roman"/>
          <w:b/>
          <w:sz w:val="24"/>
        </w:rPr>
        <w:t>Université Paris I Panthéon-Sorbonne</w:t>
      </w:r>
    </w:p>
    <w:p w14:paraId="36DEDD0A" w14:textId="77777777" w:rsidR="00AC186B" w:rsidRPr="001E77CA" w:rsidRDefault="00AC186B" w:rsidP="001E77CA">
      <w:pPr>
        <w:spacing w:line="360" w:lineRule="auto"/>
        <w:jc w:val="center"/>
        <w:rPr>
          <w:rFonts w:ascii="Times New Roman" w:hAnsi="Times New Roman"/>
          <w:b/>
          <w:sz w:val="24"/>
        </w:rPr>
      </w:pPr>
      <w:r w:rsidRPr="001E77CA">
        <w:rPr>
          <w:rFonts w:ascii="Times New Roman" w:hAnsi="Times New Roman"/>
          <w:b/>
          <w:sz w:val="24"/>
        </w:rPr>
        <w:t>Département d’histoire</w:t>
      </w:r>
    </w:p>
    <w:p w14:paraId="1ED2A000" w14:textId="77777777" w:rsidR="00AC186B" w:rsidRPr="001E77CA" w:rsidRDefault="00AC186B" w:rsidP="001E77CA">
      <w:pPr>
        <w:tabs>
          <w:tab w:val="left" w:pos="6270"/>
        </w:tabs>
        <w:spacing w:line="360" w:lineRule="auto"/>
        <w:rPr>
          <w:rFonts w:ascii="Times New Roman" w:hAnsi="Times New Roman"/>
          <w:sz w:val="24"/>
        </w:rPr>
      </w:pPr>
    </w:p>
    <w:p w14:paraId="1150F1E6" w14:textId="77777777" w:rsidR="00AC186B" w:rsidRPr="001E77CA" w:rsidRDefault="00AC186B" w:rsidP="001E77CA">
      <w:pPr>
        <w:spacing w:line="360" w:lineRule="auto"/>
        <w:rPr>
          <w:rFonts w:ascii="Times New Roman" w:hAnsi="Times New Roman"/>
          <w:sz w:val="24"/>
        </w:rPr>
      </w:pPr>
    </w:p>
    <w:p w14:paraId="695CCC7C" w14:textId="77777777" w:rsidR="00FA53C4" w:rsidRDefault="007055E7" w:rsidP="001E77CA">
      <w:pPr>
        <w:spacing w:line="360" w:lineRule="auto"/>
        <w:jc w:val="center"/>
        <w:rPr>
          <w:rFonts w:ascii="Times New Roman" w:hAnsi="Times New Roman"/>
          <w:b/>
          <w:sz w:val="32"/>
          <w:szCs w:val="32"/>
        </w:rPr>
      </w:pPr>
      <w:r w:rsidRPr="007332A8">
        <w:rPr>
          <w:rFonts w:ascii="Times New Roman" w:hAnsi="Times New Roman"/>
          <w:b/>
          <w:sz w:val="32"/>
          <w:szCs w:val="32"/>
        </w:rPr>
        <w:t xml:space="preserve">Histoire des attitudes devant la mort </w:t>
      </w:r>
    </w:p>
    <w:p w14:paraId="281D9946" w14:textId="77777777" w:rsidR="000D2EBE" w:rsidRPr="007332A8" w:rsidRDefault="00EA4D39" w:rsidP="001E77CA">
      <w:pPr>
        <w:spacing w:line="360" w:lineRule="auto"/>
        <w:jc w:val="center"/>
        <w:rPr>
          <w:rFonts w:ascii="Times New Roman" w:hAnsi="Times New Roman"/>
          <w:b/>
          <w:sz w:val="32"/>
          <w:szCs w:val="32"/>
        </w:rPr>
      </w:pPr>
      <w:r w:rsidRPr="007332A8">
        <w:rPr>
          <w:rFonts w:ascii="Times New Roman" w:hAnsi="Times New Roman"/>
          <w:b/>
          <w:sz w:val="32"/>
          <w:szCs w:val="32"/>
        </w:rPr>
        <w:t>XX</w:t>
      </w:r>
      <w:r w:rsidRPr="007332A8">
        <w:rPr>
          <w:rFonts w:ascii="Times New Roman" w:hAnsi="Times New Roman"/>
          <w:b/>
          <w:sz w:val="32"/>
          <w:szCs w:val="32"/>
          <w:vertAlign w:val="superscript"/>
        </w:rPr>
        <w:t>e</w:t>
      </w:r>
      <w:r w:rsidRPr="007332A8">
        <w:rPr>
          <w:rFonts w:ascii="Times New Roman" w:hAnsi="Times New Roman"/>
          <w:b/>
          <w:sz w:val="32"/>
          <w:szCs w:val="32"/>
        </w:rPr>
        <w:t>-XXI</w:t>
      </w:r>
      <w:r w:rsidRPr="007332A8">
        <w:rPr>
          <w:rFonts w:ascii="Times New Roman" w:hAnsi="Times New Roman"/>
          <w:b/>
          <w:sz w:val="32"/>
          <w:szCs w:val="32"/>
          <w:vertAlign w:val="superscript"/>
        </w:rPr>
        <w:t>e</w:t>
      </w:r>
      <w:r w:rsidR="00266F13" w:rsidRPr="007332A8">
        <w:rPr>
          <w:rFonts w:ascii="Times New Roman" w:hAnsi="Times New Roman"/>
          <w:b/>
          <w:sz w:val="32"/>
          <w:szCs w:val="32"/>
        </w:rPr>
        <w:t xml:space="preserve"> siècle</w:t>
      </w:r>
      <w:r w:rsidR="00FA53C4">
        <w:rPr>
          <w:rFonts w:ascii="Times New Roman" w:hAnsi="Times New Roman"/>
          <w:b/>
          <w:sz w:val="32"/>
          <w:szCs w:val="32"/>
        </w:rPr>
        <w:t>s</w:t>
      </w:r>
    </w:p>
    <w:p w14:paraId="128DDF4F" w14:textId="77777777" w:rsidR="00AC186B" w:rsidRPr="001E77CA" w:rsidRDefault="00AC186B" w:rsidP="001E77CA">
      <w:pPr>
        <w:spacing w:line="360" w:lineRule="auto"/>
        <w:rPr>
          <w:rFonts w:ascii="Times New Roman" w:hAnsi="Times New Roman"/>
          <w:sz w:val="24"/>
        </w:rPr>
      </w:pPr>
    </w:p>
    <w:p w14:paraId="67BC9B1C" w14:textId="77777777" w:rsidR="00AC186B" w:rsidRDefault="00AC186B" w:rsidP="001E77CA">
      <w:pPr>
        <w:spacing w:line="360" w:lineRule="auto"/>
        <w:rPr>
          <w:rFonts w:ascii="Times New Roman" w:hAnsi="Times New Roman"/>
          <w:sz w:val="24"/>
        </w:rPr>
      </w:pPr>
    </w:p>
    <w:p w14:paraId="499770F7" w14:textId="77777777" w:rsidR="007332A8" w:rsidRPr="001E77CA" w:rsidRDefault="007332A8" w:rsidP="001E77CA">
      <w:pPr>
        <w:spacing w:line="360" w:lineRule="auto"/>
        <w:rPr>
          <w:rFonts w:ascii="Times New Roman" w:hAnsi="Times New Roman"/>
          <w:sz w:val="24"/>
        </w:rPr>
      </w:pPr>
    </w:p>
    <w:p w14:paraId="51D58DDE" w14:textId="77777777" w:rsidR="000D2EBE" w:rsidRPr="001E77CA" w:rsidRDefault="000D2EBE" w:rsidP="001E77CA">
      <w:pPr>
        <w:spacing w:line="360" w:lineRule="auto"/>
        <w:rPr>
          <w:rFonts w:ascii="Times New Roman" w:hAnsi="Times New Roman"/>
          <w:sz w:val="24"/>
        </w:rPr>
      </w:pPr>
    </w:p>
    <w:p w14:paraId="08B06B33" w14:textId="77777777" w:rsidR="00AC186B" w:rsidRPr="001E77CA" w:rsidRDefault="007332A8" w:rsidP="007332A8">
      <w:pPr>
        <w:spacing w:line="360" w:lineRule="auto"/>
        <w:jc w:val="center"/>
        <w:rPr>
          <w:rFonts w:ascii="Times New Roman" w:hAnsi="Times New Roman"/>
          <w:sz w:val="24"/>
        </w:rPr>
      </w:pPr>
      <w:r>
        <w:rPr>
          <w:noProof/>
        </w:rPr>
        <w:drawing>
          <wp:inline distT="0" distB="0" distL="0" distR="0" wp14:anchorId="3C5BB1F5" wp14:editId="24C6DE25">
            <wp:extent cx="4930775" cy="3531715"/>
            <wp:effectExtent l="0" t="0" r="3175" b="0"/>
            <wp:docPr id="2" name="Image 2" descr="La mise au tombeau du soldat inconnu, sous l'Arc de triomphe à Paris, le 28 janvier 1921. Il avait été transporté dans une chapelle ardente installée dans une salle de l’Arc de triomphe à l’occasion du deuxième anniversaire de l’Armistice le 11 novembre 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ise au tombeau du soldat inconnu, sous l'Arc de triomphe à Paris, le 28 janvier 1921. Il avait été transporté dans une chapelle ardente installée dans une salle de l’Arc de triomphe à l’occasion du deuxième anniversaire de l’Armistice le 11 novembre 1920.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8297" cy="3537103"/>
                    </a:xfrm>
                    <a:prstGeom prst="rect">
                      <a:avLst/>
                    </a:prstGeom>
                    <a:noFill/>
                    <a:ln>
                      <a:noFill/>
                    </a:ln>
                  </pic:spPr>
                </pic:pic>
              </a:graphicData>
            </a:graphic>
          </wp:inline>
        </w:drawing>
      </w:r>
    </w:p>
    <w:p w14:paraId="730D2611" w14:textId="77777777" w:rsidR="00AC186B" w:rsidRPr="001E77CA" w:rsidRDefault="00AC186B" w:rsidP="001E77CA">
      <w:pPr>
        <w:spacing w:line="360" w:lineRule="auto"/>
        <w:rPr>
          <w:rFonts w:ascii="Times New Roman" w:hAnsi="Times New Roman"/>
          <w:sz w:val="24"/>
        </w:rPr>
      </w:pPr>
    </w:p>
    <w:p w14:paraId="5A7A5043" w14:textId="77777777" w:rsidR="00AC186B" w:rsidRDefault="007332A8" w:rsidP="007332A8">
      <w:pPr>
        <w:spacing w:line="360" w:lineRule="auto"/>
        <w:jc w:val="center"/>
        <w:rPr>
          <w:rFonts w:ascii="Times New Roman" w:hAnsi="Times New Roman"/>
          <w:sz w:val="24"/>
        </w:rPr>
      </w:pPr>
      <w:r>
        <w:rPr>
          <w:rFonts w:ascii="Times New Roman" w:hAnsi="Times New Roman"/>
          <w:sz w:val="24"/>
        </w:rPr>
        <w:t xml:space="preserve">Mise au tombeau du soldat inconnu, sous l’Arc de Triomphe, </w:t>
      </w:r>
      <w:r w:rsidR="00496875">
        <w:rPr>
          <w:rFonts w:ascii="Times New Roman" w:hAnsi="Times New Roman"/>
          <w:sz w:val="24"/>
        </w:rPr>
        <w:t xml:space="preserve">le </w:t>
      </w:r>
      <w:r>
        <w:rPr>
          <w:rFonts w:ascii="Times New Roman" w:hAnsi="Times New Roman"/>
          <w:sz w:val="24"/>
        </w:rPr>
        <w:t>28 janvier 1921.</w:t>
      </w:r>
    </w:p>
    <w:p w14:paraId="2165FE5F" w14:textId="77777777" w:rsidR="007332A8" w:rsidRPr="001E77CA" w:rsidRDefault="007332A8" w:rsidP="007332A8">
      <w:pPr>
        <w:spacing w:line="360" w:lineRule="auto"/>
        <w:jc w:val="center"/>
        <w:rPr>
          <w:rFonts w:ascii="Times New Roman" w:hAnsi="Times New Roman"/>
          <w:sz w:val="24"/>
        </w:rPr>
      </w:pPr>
      <w:r>
        <w:rPr>
          <w:rFonts w:ascii="Times New Roman" w:hAnsi="Times New Roman"/>
          <w:sz w:val="24"/>
        </w:rPr>
        <w:t xml:space="preserve">Source : </w:t>
      </w:r>
      <w:r w:rsidRPr="007332A8">
        <w:rPr>
          <w:rFonts w:ascii="Times New Roman" w:hAnsi="Times New Roman"/>
          <w:i/>
          <w:sz w:val="24"/>
        </w:rPr>
        <w:t>La Documentation française</w:t>
      </w:r>
      <w:r>
        <w:rPr>
          <w:rFonts w:ascii="Times New Roman" w:hAnsi="Times New Roman"/>
          <w:sz w:val="24"/>
        </w:rPr>
        <w:t>.</w:t>
      </w:r>
    </w:p>
    <w:p w14:paraId="60DC48CB" w14:textId="77777777" w:rsidR="00AC186B" w:rsidRPr="001E77CA" w:rsidRDefault="00AC186B" w:rsidP="001E77CA">
      <w:pPr>
        <w:spacing w:line="360" w:lineRule="auto"/>
        <w:rPr>
          <w:rFonts w:ascii="Times New Roman" w:hAnsi="Times New Roman"/>
          <w:sz w:val="24"/>
        </w:rPr>
      </w:pPr>
    </w:p>
    <w:p w14:paraId="7DE17C1E" w14:textId="77777777" w:rsidR="006366D6" w:rsidRPr="001E77CA" w:rsidRDefault="006366D6" w:rsidP="001E77CA">
      <w:pPr>
        <w:spacing w:line="360" w:lineRule="auto"/>
        <w:rPr>
          <w:rFonts w:ascii="Times New Roman" w:hAnsi="Times New Roman"/>
          <w:sz w:val="24"/>
        </w:rPr>
      </w:pPr>
    </w:p>
    <w:p w14:paraId="4E638C13" w14:textId="77777777" w:rsidR="00AC186B" w:rsidRPr="001E77CA" w:rsidRDefault="00AC186B" w:rsidP="001E77CA">
      <w:pPr>
        <w:spacing w:line="360" w:lineRule="auto"/>
        <w:rPr>
          <w:rFonts w:ascii="Times New Roman" w:hAnsi="Times New Roman"/>
          <w:sz w:val="24"/>
        </w:rPr>
      </w:pPr>
    </w:p>
    <w:p w14:paraId="5C01946F" w14:textId="77777777" w:rsidR="00AC186B" w:rsidRPr="001E77CA" w:rsidRDefault="00AC186B" w:rsidP="001E77CA">
      <w:pPr>
        <w:spacing w:line="360" w:lineRule="auto"/>
        <w:jc w:val="center"/>
        <w:rPr>
          <w:rFonts w:ascii="Times New Roman" w:hAnsi="Times New Roman"/>
          <w:sz w:val="24"/>
        </w:rPr>
      </w:pPr>
      <w:r w:rsidRPr="001E77CA">
        <w:rPr>
          <w:rFonts w:ascii="Times New Roman" w:hAnsi="Times New Roman"/>
          <w:sz w:val="24"/>
        </w:rPr>
        <w:t>Fascicule de travaux dirigés</w:t>
      </w:r>
    </w:p>
    <w:p w14:paraId="43A856DE" w14:textId="77777777" w:rsidR="00AC186B" w:rsidRPr="001E77CA" w:rsidRDefault="00AC186B" w:rsidP="001E77CA">
      <w:pPr>
        <w:spacing w:line="360" w:lineRule="auto"/>
        <w:jc w:val="center"/>
        <w:rPr>
          <w:rFonts w:ascii="Times New Roman" w:hAnsi="Times New Roman"/>
          <w:sz w:val="24"/>
        </w:rPr>
      </w:pPr>
      <w:proofErr w:type="gramStart"/>
      <w:r w:rsidRPr="001E77CA">
        <w:rPr>
          <w:rFonts w:ascii="Times New Roman" w:hAnsi="Times New Roman"/>
          <w:sz w:val="24"/>
        </w:rPr>
        <w:t>proposé</w:t>
      </w:r>
      <w:proofErr w:type="gramEnd"/>
      <w:r w:rsidRPr="001E77CA">
        <w:rPr>
          <w:rFonts w:ascii="Times New Roman" w:hAnsi="Times New Roman"/>
          <w:sz w:val="24"/>
        </w:rPr>
        <w:t xml:space="preserve"> par Guillaume Cuchet</w:t>
      </w:r>
    </w:p>
    <w:p w14:paraId="2C1955BF" w14:textId="46F23379" w:rsidR="00D326FF" w:rsidRDefault="000C7CEB" w:rsidP="00B402CA">
      <w:pPr>
        <w:spacing w:line="360" w:lineRule="auto"/>
        <w:jc w:val="center"/>
        <w:rPr>
          <w:rFonts w:ascii="Times New Roman" w:hAnsi="Times New Roman"/>
          <w:sz w:val="24"/>
        </w:rPr>
      </w:pPr>
      <w:r>
        <w:rPr>
          <w:rFonts w:ascii="Times New Roman" w:hAnsi="Times New Roman"/>
          <w:sz w:val="24"/>
        </w:rPr>
        <w:t>1</w:t>
      </w:r>
      <w:r w:rsidRPr="000C7CEB">
        <w:rPr>
          <w:rFonts w:ascii="Times New Roman" w:hAnsi="Times New Roman"/>
          <w:sz w:val="24"/>
          <w:vertAlign w:val="superscript"/>
        </w:rPr>
        <w:t>er</w:t>
      </w:r>
      <w:r w:rsidR="00EA4D39" w:rsidRPr="001E77CA">
        <w:rPr>
          <w:rFonts w:ascii="Times New Roman" w:hAnsi="Times New Roman"/>
          <w:sz w:val="24"/>
        </w:rPr>
        <w:t xml:space="preserve"> semestre 202</w:t>
      </w:r>
      <w:r>
        <w:rPr>
          <w:rFonts w:ascii="Times New Roman" w:hAnsi="Times New Roman"/>
          <w:sz w:val="24"/>
        </w:rPr>
        <w:t>5</w:t>
      </w:r>
      <w:r w:rsidR="00EA4D39" w:rsidRPr="001E77CA">
        <w:rPr>
          <w:rFonts w:ascii="Times New Roman" w:hAnsi="Times New Roman"/>
          <w:sz w:val="24"/>
        </w:rPr>
        <w:t>-202</w:t>
      </w:r>
      <w:r>
        <w:rPr>
          <w:rFonts w:ascii="Times New Roman" w:hAnsi="Times New Roman"/>
          <w:sz w:val="24"/>
        </w:rPr>
        <w:t>6</w:t>
      </w:r>
      <w:r w:rsidR="00D326FF">
        <w:rPr>
          <w:b/>
          <w:bCs/>
        </w:rPr>
        <w:br w:type="page"/>
      </w:r>
    </w:p>
    <w:p w14:paraId="62FB44B8" w14:textId="77777777" w:rsidR="00496875" w:rsidRPr="00496875" w:rsidRDefault="00496875" w:rsidP="00143ED1">
      <w:pPr>
        <w:spacing w:line="240" w:lineRule="auto"/>
        <w:rPr>
          <w:rFonts w:ascii="Times New Roman" w:hAnsi="Times New Roman"/>
          <w:b/>
          <w:sz w:val="20"/>
          <w:szCs w:val="20"/>
        </w:rPr>
      </w:pPr>
      <w:r w:rsidRPr="00496875">
        <w:rPr>
          <w:rFonts w:ascii="Times New Roman" w:hAnsi="Times New Roman"/>
          <w:b/>
          <w:sz w:val="20"/>
          <w:szCs w:val="20"/>
        </w:rPr>
        <w:lastRenderedPageBreak/>
        <w:t>Liste des séances de TD</w:t>
      </w:r>
    </w:p>
    <w:p w14:paraId="2F722D07" w14:textId="77777777" w:rsidR="004F05B6" w:rsidRDefault="004F05B6" w:rsidP="00143ED1">
      <w:pPr>
        <w:spacing w:line="240" w:lineRule="auto"/>
        <w:rPr>
          <w:rFonts w:ascii="Times New Roman" w:hAnsi="Times New Roman"/>
          <w:bCs/>
          <w:sz w:val="20"/>
          <w:szCs w:val="20"/>
        </w:rPr>
      </w:pPr>
    </w:p>
    <w:p w14:paraId="76C4DB38" w14:textId="141207CE"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3F2790">
        <w:rPr>
          <w:rFonts w:ascii="Times New Roman" w:hAnsi="Times New Roman"/>
          <w:bCs/>
          <w:sz w:val="20"/>
          <w:szCs w:val="20"/>
        </w:rPr>
        <w:t>19 septembre</w:t>
      </w:r>
    </w:p>
    <w:p w14:paraId="4D1FED83" w14:textId="77777777" w:rsidR="00FA53C4" w:rsidRDefault="00FA53C4" w:rsidP="00143ED1">
      <w:pPr>
        <w:spacing w:line="240" w:lineRule="auto"/>
        <w:rPr>
          <w:rFonts w:ascii="Times New Roman" w:hAnsi="Times New Roman"/>
          <w:bCs/>
          <w:sz w:val="20"/>
          <w:szCs w:val="20"/>
        </w:rPr>
      </w:pPr>
    </w:p>
    <w:p w14:paraId="5CE78A2A" w14:textId="70C48A16"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3F2790">
        <w:rPr>
          <w:rFonts w:ascii="Times New Roman" w:hAnsi="Times New Roman"/>
          <w:bCs/>
          <w:sz w:val="20"/>
          <w:szCs w:val="20"/>
        </w:rPr>
        <w:t>26 septembre</w:t>
      </w:r>
    </w:p>
    <w:p w14:paraId="39AC435A" w14:textId="77777777" w:rsidR="00FA53C4" w:rsidRDefault="00FA53C4" w:rsidP="00FA53C4">
      <w:pPr>
        <w:spacing w:line="240" w:lineRule="auto"/>
        <w:rPr>
          <w:rFonts w:ascii="Times New Roman" w:hAnsi="Times New Roman"/>
          <w:bCs/>
          <w:sz w:val="20"/>
          <w:szCs w:val="20"/>
        </w:rPr>
      </w:pPr>
      <w:r>
        <w:rPr>
          <w:rFonts w:ascii="Times New Roman" w:hAnsi="Times New Roman"/>
          <w:bCs/>
          <w:sz w:val="20"/>
          <w:szCs w:val="20"/>
        </w:rPr>
        <w:t>&amp; Le 11 novembre, fête nationale</w:t>
      </w:r>
    </w:p>
    <w:p w14:paraId="20A0A239" w14:textId="77777777" w:rsidR="00FA53C4" w:rsidRPr="00772A83" w:rsidRDefault="00FA53C4" w:rsidP="00FA53C4">
      <w:pPr>
        <w:spacing w:line="240" w:lineRule="auto"/>
        <w:rPr>
          <w:rFonts w:ascii="Times New Roman" w:hAnsi="Times New Roman"/>
          <w:sz w:val="20"/>
          <w:szCs w:val="20"/>
        </w:rPr>
      </w:pPr>
      <w:r>
        <w:rPr>
          <w:rFonts w:ascii="Times New Roman" w:hAnsi="Times New Roman"/>
          <w:sz w:val="20"/>
          <w:szCs w:val="20"/>
        </w:rPr>
        <w:t>&amp; Un pupille de la nation : Paul Ricoeur (1913-2005)</w:t>
      </w:r>
    </w:p>
    <w:p w14:paraId="4D7C25F8" w14:textId="77777777" w:rsidR="00FA53C4" w:rsidRDefault="00FA53C4" w:rsidP="00787E13">
      <w:pPr>
        <w:spacing w:line="240" w:lineRule="auto"/>
        <w:rPr>
          <w:rFonts w:ascii="Times New Roman" w:hAnsi="Times New Roman"/>
          <w:bCs/>
          <w:sz w:val="20"/>
          <w:szCs w:val="20"/>
        </w:rPr>
      </w:pPr>
    </w:p>
    <w:p w14:paraId="2EC97CF4" w14:textId="43E6CDEC"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3F2790">
        <w:rPr>
          <w:rFonts w:ascii="Times New Roman" w:hAnsi="Times New Roman"/>
          <w:bCs/>
          <w:sz w:val="20"/>
          <w:szCs w:val="20"/>
        </w:rPr>
        <w:t>3 octobre</w:t>
      </w:r>
    </w:p>
    <w:p w14:paraId="02CB58AA" w14:textId="77777777" w:rsidR="00FA53C4" w:rsidRDefault="00FA53C4" w:rsidP="00FA53C4">
      <w:pPr>
        <w:spacing w:line="240" w:lineRule="auto"/>
        <w:rPr>
          <w:rFonts w:ascii="Times New Roman" w:hAnsi="Times New Roman"/>
          <w:sz w:val="20"/>
          <w:szCs w:val="20"/>
        </w:rPr>
      </w:pPr>
      <w:r w:rsidRPr="003E3504">
        <w:rPr>
          <w:rFonts w:ascii="Times New Roman" w:hAnsi="Times New Roman"/>
          <w:bCs/>
          <w:sz w:val="20"/>
          <w:szCs w:val="20"/>
        </w:rPr>
        <w:t>&amp;</w:t>
      </w:r>
      <w:r w:rsidRPr="003E3504">
        <w:rPr>
          <w:rFonts w:ascii="Times New Roman" w:hAnsi="Times New Roman"/>
          <w:sz w:val="20"/>
          <w:szCs w:val="20"/>
        </w:rPr>
        <w:t xml:space="preserve"> La mort et la vie paroissiale en France en 1944.</w:t>
      </w:r>
    </w:p>
    <w:p w14:paraId="4E1511D4" w14:textId="77777777" w:rsidR="009D7219" w:rsidRPr="003E3504" w:rsidRDefault="009D7219" w:rsidP="00FA53C4">
      <w:pPr>
        <w:spacing w:line="240" w:lineRule="auto"/>
        <w:rPr>
          <w:rFonts w:ascii="Times New Roman" w:hAnsi="Times New Roman"/>
          <w:sz w:val="20"/>
          <w:szCs w:val="20"/>
        </w:rPr>
      </w:pPr>
      <w:r>
        <w:rPr>
          <w:rFonts w:ascii="Times New Roman" w:hAnsi="Times New Roman"/>
          <w:sz w:val="20"/>
          <w:szCs w:val="20"/>
        </w:rPr>
        <w:t>&amp; Guerre, patriotisme et refoulement de la mort (E. Mor</w:t>
      </w:r>
      <w:r w:rsidR="00AA724D">
        <w:rPr>
          <w:rFonts w:ascii="Times New Roman" w:hAnsi="Times New Roman"/>
          <w:sz w:val="20"/>
          <w:szCs w:val="20"/>
        </w:rPr>
        <w:t>i</w:t>
      </w:r>
      <w:r>
        <w:rPr>
          <w:rFonts w:ascii="Times New Roman" w:hAnsi="Times New Roman"/>
          <w:sz w:val="20"/>
          <w:szCs w:val="20"/>
        </w:rPr>
        <w:t xml:space="preserve">n, </w:t>
      </w:r>
      <w:r w:rsidRPr="009D7219">
        <w:rPr>
          <w:rFonts w:ascii="Times New Roman" w:hAnsi="Times New Roman"/>
          <w:i/>
          <w:iCs/>
          <w:sz w:val="20"/>
          <w:szCs w:val="20"/>
        </w:rPr>
        <w:t>L’homme devant la mort</w:t>
      </w:r>
      <w:r>
        <w:rPr>
          <w:rFonts w:ascii="Times New Roman" w:hAnsi="Times New Roman"/>
          <w:sz w:val="20"/>
          <w:szCs w:val="20"/>
        </w:rPr>
        <w:t>, 1951)</w:t>
      </w:r>
    </w:p>
    <w:p w14:paraId="1959C1F8" w14:textId="77777777" w:rsidR="00570097" w:rsidRDefault="00570097" w:rsidP="00787E13">
      <w:pPr>
        <w:spacing w:line="240" w:lineRule="auto"/>
        <w:rPr>
          <w:rFonts w:ascii="Times New Roman" w:hAnsi="Times New Roman"/>
          <w:sz w:val="20"/>
          <w:szCs w:val="20"/>
        </w:rPr>
      </w:pPr>
    </w:p>
    <w:p w14:paraId="23730A4E" w14:textId="4D8676C3"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441C0A">
        <w:rPr>
          <w:rFonts w:ascii="Times New Roman" w:hAnsi="Times New Roman"/>
          <w:bCs/>
          <w:sz w:val="20"/>
          <w:szCs w:val="20"/>
        </w:rPr>
        <w:t>10 octobre</w:t>
      </w:r>
    </w:p>
    <w:p w14:paraId="0F5F298E" w14:textId="77777777" w:rsidR="00FA53C4" w:rsidRDefault="00FA53C4" w:rsidP="00FA53C4">
      <w:pPr>
        <w:spacing w:line="240" w:lineRule="auto"/>
        <w:rPr>
          <w:rFonts w:ascii="Times New Roman" w:hAnsi="Times New Roman"/>
          <w:sz w:val="20"/>
          <w:szCs w:val="20"/>
        </w:rPr>
      </w:pPr>
      <w:r>
        <w:rPr>
          <w:rFonts w:ascii="Times New Roman" w:hAnsi="Times New Roman"/>
          <w:sz w:val="20"/>
          <w:szCs w:val="20"/>
        </w:rPr>
        <w:t xml:space="preserve">&amp; </w:t>
      </w:r>
      <w:r w:rsidRPr="00772A83">
        <w:rPr>
          <w:rFonts w:ascii="Times New Roman" w:hAnsi="Times New Roman"/>
          <w:sz w:val="20"/>
          <w:szCs w:val="20"/>
        </w:rPr>
        <w:t xml:space="preserve">Pie XII, « Problèmes médicaux et moraux de la réanimation », </w:t>
      </w:r>
      <w:r w:rsidRPr="00772A83">
        <w:rPr>
          <w:rFonts w:ascii="Times New Roman" w:hAnsi="Times New Roman"/>
          <w:i/>
          <w:sz w:val="20"/>
          <w:szCs w:val="20"/>
        </w:rPr>
        <w:t>La Documentation Catholique</w:t>
      </w:r>
      <w:r w:rsidRPr="00772A83">
        <w:rPr>
          <w:rFonts w:ascii="Times New Roman" w:hAnsi="Times New Roman"/>
          <w:sz w:val="20"/>
          <w:szCs w:val="20"/>
        </w:rPr>
        <w:t>, n</w:t>
      </w:r>
      <w:r w:rsidRPr="00772A83">
        <w:rPr>
          <w:rFonts w:ascii="Times New Roman" w:hAnsi="Times New Roman"/>
          <w:sz w:val="20"/>
          <w:szCs w:val="20"/>
          <w:vertAlign w:val="superscript"/>
        </w:rPr>
        <w:t>o</w:t>
      </w:r>
      <w:r w:rsidRPr="00772A83">
        <w:rPr>
          <w:rFonts w:ascii="Times New Roman" w:hAnsi="Times New Roman"/>
          <w:sz w:val="20"/>
          <w:szCs w:val="20"/>
        </w:rPr>
        <w:t xml:space="preserve"> 1267, 22 décembre 1957, col. 1605-1610.</w:t>
      </w:r>
    </w:p>
    <w:p w14:paraId="50C9F08C" w14:textId="77777777" w:rsidR="003F7D3A" w:rsidRDefault="003F7D3A" w:rsidP="003F7D3A">
      <w:pPr>
        <w:spacing w:line="240" w:lineRule="auto"/>
        <w:rPr>
          <w:rFonts w:ascii="Times New Roman" w:hAnsi="Times New Roman"/>
          <w:sz w:val="20"/>
          <w:szCs w:val="20"/>
        </w:rPr>
      </w:pPr>
      <w:r>
        <w:rPr>
          <w:rFonts w:ascii="Times New Roman" w:hAnsi="Times New Roman"/>
          <w:sz w:val="20"/>
          <w:szCs w:val="20"/>
        </w:rPr>
        <w:t>&amp; L’autorisation sous condition de l</w:t>
      </w:r>
      <w:proofErr w:type="gramStart"/>
      <w:r>
        <w:rPr>
          <w:rFonts w:ascii="Times New Roman" w:hAnsi="Times New Roman"/>
          <w:sz w:val="20"/>
          <w:szCs w:val="20"/>
        </w:rPr>
        <w:t>’«</w:t>
      </w:r>
      <w:proofErr w:type="gramEnd"/>
      <w:r>
        <w:rPr>
          <w:rFonts w:ascii="Times New Roman" w:hAnsi="Times New Roman"/>
          <w:sz w:val="20"/>
          <w:szCs w:val="20"/>
        </w:rPr>
        <w:t> incinération » par l’Église catholique en 1964.</w:t>
      </w:r>
    </w:p>
    <w:p w14:paraId="6E1DFB08" w14:textId="77777777" w:rsidR="003F7D3A" w:rsidRDefault="003F7D3A" w:rsidP="00FA53C4">
      <w:pPr>
        <w:spacing w:line="240" w:lineRule="auto"/>
        <w:rPr>
          <w:rFonts w:ascii="Times New Roman" w:hAnsi="Times New Roman"/>
          <w:sz w:val="20"/>
          <w:szCs w:val="20"/>
        </w:rPr>
      </w:pPr>
    </w:p>
    <w:p w14:paraId="0F344963" w14:textId="045ED293"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B32485">
        <w:rPr>
          <w:rFonts w:ascii="Times New Roman" w:hAnsi="Times New Roman"/>
          <w:bCs/>
          <w:sz w:val="20"/>
          <w:szCs w:val="20"/>
        </w:rPr>
        <w:t>1</w:t>
      </w:r>
      <w:r w:rsidR="00441C0A">
        <w:rPr>
          <w:rFonts w:ascii="Times New Roman" w:hAnsi="Times New Roman"/>
          <w:bCs/>
          <w:sz w:val="20"/>
          <w:szCs w:val="20"/>
        </w:rPr>
        <w:t>7 octobre</w:t>
      </w:r>
    </w:p>
    <w:p w14:paraId="63F00898" w14:textId="77777777" w:rsidR="00C40ED1" w:rsidRPr="00C40ED1" w:rsidRDefault="00C40ED1" w:rsidP="00143ED1">
      <w:pPr>
        <w:spacing w:line="240" w:lineRule="auto"/>
        <w:rPr>
          <w:rFonts w:ascii="Times New Roman" w:hAnsi="Times New Roman"/>
          <w:b/>
          <w:sz w:val="20"/>
          <w:szCs w:val="20"/>
        </w:rPr>
      </w:pPr>
      <w:r w:rsidRPr="00C40ED1">
        <w:rPr>
          <w:rFonts w:ascii="Times New Roman" w:hAnsi="Times New Roman"/>
          <w:b/>
          <w:sz w:val="20"/>
          <w:szCs w:val="20"/>
        </w:rPr>
        <w:t>Interrogation</w:t>
      </w:r>
    </w:p>
    <w:p w14:paraId="0A86A0D0" w14:textId="77777777" w:rsidR="003F7D3A" w:rsidRDefault="003F7D3A" w:rsidP="003F7D3A">
      <w:pPr>
        <w:spacing w:line="240" w:lineRule="auto"/>
        <w:rPr>
          <w:rFonts w:ascii="Times New Roman" w:hAnsi="Times New Roman"/>
          <w:sz w:val="20"/>
          <w:szCs w:val="20"/>
        </w:rPr>
      </w:pPr>
      <w:r>
        <w:rPr>
          <w:rFonts w:ascii="Times New Roman" w:hAnsi="Times New Roman"/>
          <w:sz w:val="20"/>
          <w:szCs w:val="20"/>
          <w:lang w:val="en-US"/>
        </w:rPr>
        <w:t xml:space="preserve">&amp; La fin de vie dans les </w:t>
      </w:r>
      <w:proofErr w:type="spellStart"/>
      <w:r>
        <w:rPr>
          <w:rFonts w:ascii="Times New Roman" w:hAnsi="Times New Roman"/>
          <w:sz w:val="20"/>
          <w:szCs w:val="20"/>
          <w:lang w:val="en-US"/>
        </w:rPr>
        <w:t>hôpitaux</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américains</w:t>
      </w:r>
      <w:proofErr w:type="spellEnd"/>
      <w:r>
        <w:rPr>
          <w:rFonts w:ascii="Times New Roman" w:hAnsi="Times New Roman"/>
          <w:sz w:val="20"/>
          <w:szCs w:val="20"/>
          <w:lang w:val="en-US"/>
        </w:rPr>
        <w:t xml:space="preserve"> (</w:t>
      </w:r>
      <w:r w:rsidRPr="00772A83">
        <w:rPr>
          <w:rFonts w:ascii="Times New Roman" w:hAnsi="Times New Roman"/>
          <w:sz w:val="20"/>
          <w:szCs w:val="20"/>
          <w:lang w:val="en-US"/>
        </w:rPr>
        <w:t xml:space="preserve">Elisabeth Kübler-Ross, </w:t>
      </w:r>
      <w:r w:rsidRPr="00772A83">
        <w:rPr>
          <w:rFonts w:ascii="Times New Roman" w:hAnsi="Times New Roman"/>
          <w:i/>
          <w:sz w:val="20"/>
          <w:szCs w:val="20"/>
          <w:lang w:val="en-US"/>
        </w:rPr>
        <w:t>On Death and Dying</w:t>
      </w:r>
      <w:r w:rsidRPr="00772A83">
        <w:rPr>
          <w:rFonts w:ascii="Times New Roman" w:hAnsi="Times New Roman"/>
          <w:sz w:val="20"/>
          <w:szCs w:val="20"/>
          <w:lang w:val="en-US"/>
        </w:rPr>
        <w:t xml:space="preserve">, </w:t>
      </w:r>
      <w:r>
        <w:rPr>
          <w:rFonts w:ascii="Times New Roman" w:hAnsi="Times New Roman"/>
          <w:sz w:val="20"/>
          <w:szCs w:val="20"/>
          <w:lang w:val="en-US"/>
        </w:rPr>
        <w:t>1969)</w:t>
      </w:r>
      <w:r w:rsidRPr="00772A83">
        <w:rPr>
          <w:rFonts w:ascii="Times New Roman" w:hAnsi="Times New Roman"/>
          <w:sz w:val="20"/>
          <w:szCs w:val="20"/>
        </w:rPr>
        <w:t>.</w:t>
      </w:r>
    </w:p>
    <w:p w14:paraId="69D40D1F" w14:textId="77777777" w:rsidR="00FA53C4" w:rsidRDefault="00FA53C4" w:rsidP="00FA53C4">
      <w:pPr>
        <w:spacing w:line="240" w:lineRule="auto"/>
        <w:rPr>
          <w:rFonts w:ascii="Times New Roman" w:hAnsi="Times New Roman"/>
          <w:sz w:val="20"/>
          <w:szCs w:val="20"/>
        </w:rPr>
      </w:pPr>
      <w:r>
        <w:rPr>
          <w:rFonts w:ascii="Times New Roman" w:hAnsi="Times New Roman"/>
          <w:sz w:val="20"/>
          <w:szCs w:val="20"/>
        </w:rPr>
        <w:t xml:space="preserve">&amp; Un modèle britannique des attitudes devant la mort ? (Geoffrey </w:t>
      </w:r>
      <w:proofErr w:type="spellStart"/>
      <w:r>
        <w:rPr>
          <w:rFonts w:ascii="Times New Roman" w:hAnsi="Times New Roman"/>
          <w:sz w:val="20"/>
          <w:szCs w:val="20"/>
        </w:rPr>
        <w:t>Gorer</w:t>
      </w:r>
      <w:proofErr w:type="spellEnd"/>
      <w:r>
        <w:rPr>
          <w:rFonts w:ascii="Times New Roman" w:hAnsi="Times New Roman"/>
          <w:sz w:val="20"/>
          <w:szCs w:val="20"/>
        </w:rPr>
        <w:t>, 1963-1965)</w:t>
      </w:r>
    </w:p>
    <w:p w14:paraId="07085BFF" w14:textId="77777777" w:rsidR="00FA53C4" w:rsidRDefault="00FA53C4" w:rsidP="00FA53C4">
      <w:pPr>
        <w:spacing w:line="240" w:lineRule="auto"/>
        <w:rPr>
          <w:rFonts w:ascii="Times New Roman" w:hAnsi="Times New Roman"/>
          <w:sz w:val="20"/>
          <w:szCs w:val="20"/>
        </w:rPr>
      </w:pPr>
    </w:p>
    <w:p w14:paraId="66BDF12B" w14:textId="3237FA48"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441C0A">
        <w:rPr>
          <w:rFonts w:ascii="Times New Roman" w:hAnsi="Times New Roman"/>
          <w:bCs/>
          <w:sz w:val="20"/>
          <w:szCs w:val="20"/>
        </w:rPr>
        <w:t>24 octobre</w:t>
      </w:r>
    </w:p>
    <w:p w14:paraId="1FD9ECEB" w14:textId="77777777" w:rsidR="003F7D3A" w:rsidRDefault="003F7D3A" w:rsidP="00143ED1">
      <w:pPr>
        <w:spacing w:line="240" w:lineRule="auto"/>
        <w:rPr>
          <w:rFonts w:ascii="Times New Roman" w:hAnsi="Times New Roman"/>
          <w:bCs/>
          <w:sz w:val="20"/>
          <w:szCs w:val="20"/>
        </w:rPr>
      </w:pPr>
      <w:r>
        <w:rPr>
          <w:rFonts w:ascii="Times New Roman" w:hAnsi="Times New Roman"/>
          <w:bCs/>
          <w:sz w:val="20"/>
          <w:szCs w:val="20"/>
        </w:rPr>
        <w:t xml:space="preserve">&amp; </w:t>
      </w:r>
      <w:r w:rsidRPr="003F7D3A">
        <w:rPr>
          <w:rFonts w:ascii="Times New Roman" w:hAnsi="Times New Roman"/>
          <w:bCs/>
          <w:i/>
          <w:iCs/>
          <w:sz w:val="20"/>
          <w:szCs w:val="20"/>
        </w:rPr>
        <w:t>Les funérailles d’antan</w:t>
      </w:r>
      <w:r>
        <w:rPr>
          <w:rFonts w:ascii="Times New Roman" w:hAnsi="Times New Roman"/>
          <w:bCs/>
          <w:sz w:val="20"/>
          <w:szCs w:val="20"/>
        </w:rPr>
        <w:t xml:space="preserve"> (1960) d’après Georges Brassens</w:t>
      </w:r>
    </w:p>
    <w:p w14:paraId="0662B53D" w14:textId="77777777" w:rsidR="00FA53C4" w:rsidRDefault="00FA53C4" w:rsidP="00FA53C4">
      <w:pPr>
        <w:spacing w:line="240" w:lineRule="auto"/>
        <w:rPr>
          <w:rFonts w:ascii="Times New Roman" w:hAnsi="Times New Roman"/>
          <w:sz w:val="20"/>
          <w:szCs w:val="20"/>
        </w:rPr>
      </w:pPr>
      <w:r>
        <w:rPr>
          <w:rFonts w:ascii="Times New Roman" w:hAnsi="Times New Roman"/>
          <w:sz w:val="20"/>
          <w:szCs w:val="20"/>
        </w:rPr>
        <w:t xml:space="preserve">&amp; La fin des pompes funèbres ? La réforme </w:t>
      </w:r>
      <w:proofErr w:type="spellStart"/>
      <w:r>
        <w:rPr>
          <w:rFonts w:ascii="Times New Roman" w:hAnsi="Times New Roman"/>
          <w:sz w:val="20"/>
          <w:szCs w:val="20"/>
        </w:rPr>
        <w:t>Feltin</w:t>
      </w:r>
      <w:proofErr w:type="spellEnd"/>
      <w:r>
        <w:rPr>
          <w:rFonts w:ascii="Times New Roman" w:hAnsi="Times New Roman"/>
          <w:sz w:val="20"/>
          <w:szCs w:val="20"/>
        </w:rPr>
        <w:t xml:space="preserve"> de 1962 dans le diocèse de Paris.</w:t>
      </w:r>
    </w:p>
    <w:p w14:paraId="13CF8BAD" w14:textId="77777777" w:rsidR="009D7219" w:rsidRDefault="009D7219" w:rsidP="00FA53C4">
      <w:pPr>
        <w:spacing w:line="240" w:lineRule="auto"/>
        <w:rPr>
          <w:rFonts w:ascii="Times New Roman" w:hAnsi="Times New Roman"/>
          <w:sz w:val="20"/>
          <w:szCs w:val="20"/>
        </w:rPr>
      </w:pPr>
    </w:p>
    <w:p w14:paraId="1C2E2D43" w14:textId="05391AB8"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Séance du</w:t>
      </w:r>
      <w:r w:rsidR="00BF6F6C">
        <w:rPr>
          <w:rFonts w:ascii="Times New Roman" w:hAnsi="Times New Roman"/>
          <w:bCs/>
          <w:sz w:val="20"/>
          <w:szCs w:val="20"/>
        </w:rPr>
        <w:t xml:space="preserve"> 7 novembre</w:t>
      </w:r>
    </w:p>
    <w:p w14:paraId="328B2CC5" w14:textId="77777777" w:rsidR="00FA53C4" w:rsidRPr="00772A83" w:rsidRDefault="00FA53C4" w:rsidP="00FA53C4">
      <w:pPr>
        <w:spacing w:line="240" w:lineRule="auto"/>
        <w:rPr>
          <w:rFonts w:ascii="Times New Roman" w:hAnsi="Times New Roman"/>
          <w:sz w:val="20"/>
          <w:szCs w:val="20"/>
        </w:rPr>
      </w:pPr>
      <w:r>
        <w:rPr>
          <w:rFonts w:ascii="Times New Roman" w:hAnsi="Times New Roman"/>
          <w:sz w:val="20"/>
          <w:szCs w:val="20"/>
        </w:rPr>
        <w:t xml:space="preserve">&amp; </w:t>
      </w:r>
      <w:r w:rsidRPr="00772A83">
        <w:rPr>
          <w:rFonts w:ascii="Times New Roman" w:hAnsi="Times New Roman"/>
          <w:sz w:val="20"/>
          <w:szCs w:val="20"/>
        </w:rPr>
        <w:t xml:space="preserve">Raymond Moody, </w:t>
      </w:r>
      <w:r w:rsidRPr="00772A83">
        <w:rPr>
          <w:rFonts w:ascii="Times New Roman" w:hAnsi="Times New Roman"/>
          <w:i/>
          <w:sz w:val="20"/>
          <w:szCs w:val="20"/>
        </w:rPr>
        <w:t>La vie après la vie</w:t>
      </w:r>
      <w:r w:rsidRPr="00772A83">
        <w:rPr>
          <w:rFonts w:ascii="Times New Roman" w:hAnsi="Times New Roman"/>
          <w:sz w:val="20"/>
          <w:szCs w:val="20"/>
        </w:rPr>
        <w:t xml:space="preserve"> </w:t>
      </w:r>
      <w:r>
        <w:rPr>
          <w:rFonts w:ascii="Times New Roman" w:hAnsi="Times New Roman"/>
          <w:sz w:val="20"/>
          <w:szCs w:val="20"/>
        </w:rPr>
        <w:t>(</w:t>
      </w:r>
      <w:r w:rsidRPr="00772A83">
        <w:rPr>
          <w:rFonts w:ascii="Times New Roman" w:hAnsi="Times New Roman"/>
          <w:sz w:val="20"/>
          <w:szCs w:val="20"/>
        </w:rPr>
        <w:t>1975)</w:t>
      </w:r>
      <w:r>
        <w:rPr>
          <w:rFonts w:ascii="Times New Roman" w:hAnsi="Times New Roman"/>
          <w:sz w:val="20"/>
          <w:szCs w:val="20"/>
        </w:rPr>
        <w:t> : les expériences de mort imminente</w:t>
      </w:r>
      <w:r w:rsidRPr="00772A83">
        <w:rPr>
          <w:rFonts w:ascii="Times New Roman" w:hAnsi="Times New Roman"/>
          <w:sz w:val="20"/>
          <w:szCs w:val="20"/>
        </w:rPr>
        <w:t>.</w:t>
      </w:r>
    </w:p>
    <w:p w14:paraId="20415BB5" w14:textId="77777777" w:rsidR="00FA53C4" w:rsidRDefault="00FA53C4" w:rsidP="00FA53C4">
      <w:pPr>
        <w:spacing w:line="240" w:lineRule="auto"/>
        <w:rPr>
          <w:rFonts w:ascii="Times New Roman" w:hAnsi="Times New Roman"/>
          <w:sz w:val="20"/>
          <w:szCs w:val="20"/>
        </w:rPr>
      </w:pPr>
      <w:r>
        <w:rPr>
          <w:rFonts w:ascii="Times New Roman" w:hAnsi="Times New Roman"/>
          <w:sz w:val="20"/>
          <w:szCs w:val="20"/>
        </w:rPr>
        <w:t>&amp; La crise de l’au-delà catholique (Note de la Congrégation pour la doctrine de la foi de 1979).</w:t>
      </w:r>
    </w:p>
    <w:p w14:paraId="0667F5F1" w14:textId="77777777" w:rsidR="00FA53C4" w:rsidRDefault="00FA53C4" w:rsidP="00540DAE">
      <w:pPr>
        <w:spacing w:line="240" w:lineRule="auto"/>
        <w:rPr>
          <w:rFonts w:ascii="Times New Roman" w:hAnsi="Times New Roman"/>
          <w:sz w:val="20"/>
          <w:szCs w:val="20"/>
        </w:rPr>
      </w:pPr>
    </w:p>
    <w:p w14:paraId="5D52C117" w14:textId="6922073B"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BF6F6C">
        <w:rPr>
          <w:rFonts w:ascii="Times New Roman" w:hAnsi="Times New Roman"/>
          <w:bCs/>
          <w:sz w:val="20"/>
          <w:szCs w:val="20"/>
        </w:rPr>
        <w:t>14 novembre</w:t>
      </w:r>
    </w:p>
    <w:p w14:paraId="4AC68571" w14:textId="77777777" w:rsidR="00FA53C4" w:rsidRDefault="00FA53C4" w:rsidP="00FA53C4">
      <w:pPr>
        <w:spacing w:line="240" w:lineRule="auto"/>
        <w:rPr>
          <w:rFonts w:ascii="Times New Roman" w:hAnsi="Times New Roman"/>
          <w:sz w:val="20"/>
          <w:szCs w:val="20"/>
        </w:rPr>
      </w:pPr>
      <w:r>
        <w:rPr>
          <w:rFonts w:ascii="Times New Roman" w:hAnsi="Times New Roman"/>
          <w:sz w:val="20"/>
          <w:szCs w:val="20"/>
        </w:rPr>
        <w:t xml:space="preserve">&amp; </w:t>
      </w:r>
      <w:r w:rsidRPr="00772A83">
        <w:rPr>
          <w:rFonts w:ascii="Times New Roman" w:hAnsi="Times New Roman"/>
          <w:sz w:val="20"/>
          <w:szCs w:val="20"/>
        </w:rPr>
        <w:t>La loi Veil</w:t>
      </w:r>
      <w:r>
        <w:rPr>
          <w:rFonts w:ascii="Times New Roman" w:hAnsi="Times New Roman"/>
          <w:sz w:val="20"/>
          <w:szCs w:val="20"/>
        </w:rPr>
        <w:t xml:space="preserve"> sur l’IVG</w:t>
      </w:r>
      <w:r w:rsidRPr="00772A83">
        <w:rPr>
          <w:rFonts w:ascii="Times New Roman" w:hAnsi="Times New Roman"/>
          <w:sz w:val="20"/>
          <w:szCs w:val="20"/>
        </w:rPr>
        <w:t xml:space="preserve"> du 17 janvier 1975.</w:t>
      </w:r>
    </w:p>
    <w:p w14:paraId="6346FFE9" w14:textId="0BA78AC6" w:rsidR="003F7D3A" w:rsidRDefault="00B862AE" w:rsidP="00FA53C4">
      <w:pPr>
        <w:spacing w:line="240" w:lineRule="auto"/>
        <w:rPr>
          <w:rFonts w:ascii="Times New Roman" w:hAnsi="Times New Roman"/>
          <w:sz w:val="20"/>
          <w:szCs w:val="20"/>
        </w:rPr>
      </w:pPr>
      <w:r>
        <w:rPr>
          <w:rFonts w:ascii="Times New Roman" w:hAnsi="Times New Roman"/>
          <w:sz w:val="20"/>
          <w:szCs w:val="20"/>
        </w:rPr>
        <w:t>&amp; Entretien préparatoire à une Interruption médicale de grossesse (D. Memmi, 2003)</w:t>
      </w:r>
    </w:p>
    <w:p w14:paraId="10A8F96A" w14:textId="77777777" w:rsidR="00B862AE" w:rsidRDefault="00B862AE" w:rsidP="00FA53C4">
      <w:pPr>
        <w:spacing w:line="240" w:lineRule="auto"/>
        <w:rPr>
          <w:rFonts w:ascii="Times New Roman" w:hAnsi="Times New Roman"/>
          <w:sz w:val="20"/>
          <w:szCs w:val="20"/>
        </w:rPr>
      </w:pPr>
    </w:p>
    <w:p w14:paraId="35D47605" w14:textId="023A5961" w:rsidR="00A10947" w:rsidRDefault="00A10947" w:rsidP="00143ED1">
      <w:pPr>
        <w:spacing w:line="240" w:lineRule="auto"/>
        <w:rPr>
          <w:rFonts w:ascii="Times New Roman" w:hAnsi="Times New Roman"/>
          <w:bCs/>
          <w:sz w:val="20"/>
          <w:szCs w:val="20"/>
        </w:rPr>
      </w:pPr>
      <w:r>
        <w:rPr>
          <w:rFonts w:ascii="Times New Roman" w:hAnsi="Times New Roman"/>
          <w:bCs/>
          <w:sz w:val="20"/>
          <w:szCs w:val="20"/>
        </w:rPr>
        <w:t xml:space="preserve">Séance du </w:t>
      </w:r>
      <w:r w:rsidR="00BF6F6C">
        <w:rPr>
          <w:rFonts w:ascii="Times New Roman" w:hAnsi="Times New Roman"/>
          <w:bCs/>
          <w:sz w:val="20"/>
          <w:szCs w:val="20"/>
        </w:rPr>
        <w:t>21 novembre</w:t>
      </w:r>
    </w:p>
    <w:p w14:paraId="4AE63E31" w14:textId="5487CBD4" w:rsidR="0055608D" w:rsidRDefault="0055608D" w:rsidP="00540DAE">
      <w:pPr>
        <w:spacing w:line="240" w:lineRule="auto"/>
        <w:rPr>
          <w:rFonts w:ascii="Times New Roman" w:hAnsi="Times New Roman"/>
          <w:sz w:val="20"/>
          <w:szCs w:val="20"/>
        </w:rPr>
      </w:pPr>
      <w:r>
        <w:rPr>
          <w:rFonts w:ascii="Times New Roman" w:hAnsi="Times New Roman"/>
          <w:sz w:val="20"/>
          <w:szCs w:val="20"/>
        </w:rPr>
        <w:t>&amp; La loi L</w:t>
      </w:r>
      <w:r w:rsidR="003A73DA">
        <w:rPr>
          <w:rFonts w:ascii="Times New Roman" w:hAnsi="Times New Roman"/>
          <w:sz w:val="20"/>
          <w:szCs w:val="20"/>
        </w:rPr>
        <w:t>e</w:t>
      </w:r>
      <w:r>
        <w:rPr>
          <w:rFonts w:ascii="Times New Roman" w:hAnsi="Times New Roman"/>
          <w:sz w:val="20"/>
          <w:szCs w:val="20"/>
        </w:rPr>
        <w:t>onetti sur les malades en fin de vie (2005)</w:t>
      </w:r>
    </w:p>
    <w:p w14:paraId="77666E12" w14:textId="77777777" w:rsidR="00003F4F" w:rsidRDefault="00003F4F" w:rsidP="00003F4F">
      <w:pPr>
        <w:spacing w:line="240" w:lineRule="auto"/>
        <w:rPr>
          <w:rFonts w:ascii="Times New Roman" w:hAnsi="Times New Roman"/>
          <w:sz w:val="20"/>
          <w:szCs w:val="20"/>
        </w:rPr>
      </w:pPr>
      <w:r>
        <w:rPr>
          <w:rFonts w:ascii="Times New Roman" w:hAnsi="Times New Roman"/>
          <w:sz w:val="20"/>
          <w:szCs w:val="20"/>
        </w:rPr>
        <w:t xml:space="preserve">&amp; </w:t>
      </w:r>
      <w:r w:rsidRPr="00143ED1">
        <w:rPr>
          <w:rFonts w:ascii="Times New Roman" w:hAnsi="Times New Roman"/>
          <w:sz w:val="20"/>
          <w:szCs w:val="20"/>
        </w:rPr>
        <w:t>Le débat de 2012 sur la fin de vie en France.</w:t>
      </w:r>
    </w:p>
    <w:p w14:paraId="6F34E85B" w14:textId="77777777" w:rsidR="00B32485" w:rsidRDefault="00B32485" w:rsidP="00540DAE">
      <w:pPr>
        <w:spacing w:line="240" w:lineRule="auto"/>
        <w:rPr>
          <w:rFonts w:ascii="Times New Roman" w:hAnsi="Times New Roman"/>
          <w:sz w:val="20"/>
          <w:szCs w:val="20"/>
        </w:rPr>
      </w:pPr>
    </w:p>
    <w:p w14:paraId="5BC2E484" w14:textId="03F4D8BF" w:rsidR="00B32485" w:rsidRDefault="00B32485" w:rsidP="00540DAE">
      <w:pPr>
        <w:spacing w:line="240" w:lineRule="auto"/>
        <w:rPr>
          <w:rFonts w:ascii="Times New Roman" w:hAnsi="Times New Roman"/>
          <w:sz w:val="20"/>
          <w:szCs w:val="20"/>
        </w:rPr>
      </w:pPr>
      <w:r>
        <w:rPr>
          <w:rFonts w:ascii="Times New Roman" w:hAnsi="Times New Roman"/>
          <w:sz w:val="20"/>
          <w:szCs w:val="20"/>
        </w:rPr>
        <w:t>Séance du 2</w:t>
      </w:r>
      <w:r w:rsidR="00BF6F6C">
        <w:rPr>
          <w:rFonts w:ascii="Times New Roman" w:hAnsi="Times New Roman"/>
          <w:sz w:val="20"/>
          <w:szCs w:val="20"/>
        </w:rPr>
        <w:t>8 novembre</w:t>
      </w:r>
    </w:p>
    <w:p w14:paraId="5EC586B9" w14:textId="77777777" w:rsidR="00B32485" w:rsidRDefault="003F7D3A" w:rsidP="00540DAE">
      <w:pPr>
        <w:spacing w:line="240" w:lineRule="auto"/>
        <w:rPr>
          <w:rFonts w:ascii="Times New Roman" w:hAnsi="Times New Roman"/>
          <w:sz w:val="20"/>
          <w:szCs w:val="20"/>
        </w:rPr>
      </w:pPr>
      <w:r>
        <w:rPr>
          <w:rFonts w:ascii="Times New Roman" w:hAnsi="Times New Roman"/>
          <w:sz w:val="20"/>
          <w:szCs w:val="20"/>
        </w:rPr>
        <w:t xml:space="preserve">&amp; </w:t>
      </w:r>
      <w:r w:rsidR="00175AB8">
        <w:rPr>
          <w:rFonts w:ascii="Times New Roman" w:hAnsi="Times New Roman"/>
          <w:sz w:val="20"/>
          <w:szCs w:val="20"/>
        </w:rPr>
        <w:t>La crise de la ritualité funèbre catholique dans les années 1970 (Serge Bonnet)</w:t>
      </w:r>
    </w:p>
    <w:p w14:paraId="5ACE6130" w14:textId="72F5F3D4" w:rsidR="009D7219" w:rsidRPr="00772A83" w:rsidRDefault="009D7219" w:rsidP="009D7219">
      <w:pPr>
        <w:spacing w:line="240" w:lineRule="auto"/>
        <w:rPr>
          <w:rFonts w:ascii="Times New Roman" w:hAnsi="Times New Roman"/>
          <w:sz w:val="20"/>
          <w:szCs w:val="20"/>
        </w:rPr>
      </w:pPr>
      <w:r>
        <w:rPr>
          <w:rFonts w:ascii="Times New Roman" w:hAnsi="Times New Roman"/>
          <w:sz w:val="20"/>
          <w:szCs w:val="20"/>
        </w:rPr>
        <w:t xml:space="preserve">&amp; </w:t>
      </w:r>
      <w:r w:rsidR="00B557B6">
        <w:rPr>
          <w:rFonts w:ascii="Times New Roman" w:hAnsi="Times New Roman"/>
          <w:sz w:val="20"/>
          <w:szCs w:val="20"/>
        </w:rPr>
        <w:t>Commentaire de film (sur le thème de la mortalité routière)</w:t>
      </w:r>
      <w:r w:rsidR="001B1ED1">
        <w:rPr>
          <w:rFonts w:ascii="Times New Roman" w:hAnsi="Times New Roman"/>
          <w:sz w:val="20"/>
          <w:szCs w:val="20"/>
        </w:rPr>
        <w:t xml:space="preserve"> : </w:t>
      </w:r>
      <w:r w:rsidR="001B1ED1" w:rsidRPr="001B1ED1">
        <w:rPr>
          <w:rFonts w:ascii="Times New Roman" w:hAnsi="Times New Roman"/>
          <w:i/>
          <w:iCs/>
          <w:sz w:val="20"/>
          <w:szCs w:val="20"/>
        </w:rPr>
        <w:t>Les choses de la vie</w:t>
      </w:r>
      <w:r w:rsidR="001B1ED1">
        <w:rPr>
          <w:rFonts w:ascii="Times New Roman" w:hAnsi="Times New Roman"/>
          <w:sz w:val="20"/>
          <w:szCs w:val="20"/>
        </w:rPr>
        <w:t xml:space="preserve"> (1970) de Claude Sautet.</w:t>
      </w:r>
    </w:p>
    <w:p w14:paraId="3A73638D" w14:textId="77777777" w:rsidR="00175AB8" w:rsidRDefault="00175AB8" w:rsidP="00540DAE">
      <w:pPr>
        <w:spacing w:line="240" w:lineRule="auto"/>
        <w:rPr>
          <w:rFonts w:ascii="Times New Roman" w:hAnsi="Times New Roman"/>
          <w:sz w:val="20"/>
          <w:szCs w:val="20"/>
        </w:rPr>
      </w:pPr>
    </w:p>
    <w:p w14:paraId="77BEEE63" w14:textId="64098AF5" w:rsidR="00B32485" w:rsidRPr="003F7D3A" w:rsidRDefault="00B32485" w:rsidP="00540DAE">
      <w:pPr>
        <w:spacing w:line="240" w:lineRule="auto"/>
        <w:rPr>
          <w:rFonts w:ascii="Times New Roman" w:hAnsi="Times New Roman"/>
          <w:sz w:val="20"/>
          <w:szCs w:val="20"/>
        </w:rPr>
      </w:pPr>
      <w:r w:rsidRPr="003F7D3A">
        <w:rPr>
          <w:rFonts w:ascii="Times New Roman" w:hAnsi="Times New Roman"/>
          <w:sz w:val="20"/>
          <w:szCs w:val="20"/>
        </w:rPr>
        <w:t xml:space="preserve">Séance du </w:t>
      </w:r>
      <w:r w:rsidR="00C76574">
        <w:rPr>
          <w:rFonts w:ascii="Times New Roman" w:hAnsi="Times New Roman"/>
          <w:sz w:val="20"/>
          <w:szCs w:val="20"/>
        </w:rPr>
        <w:t>5 décembre</w:t>
      </w:r>
    </w:p>
    <w:p w14:paraId="72CC47D2" w14:textId="77777777" w:rsidR="003F7D3A" w:rsidRPr="003F7D3A" w:rsidRDefault="003F7D3A" w:rsidP="00143ED1">
      <w:pPr>
        <w:spacing w:line="240" w:lineRule="auto"/>
        <w:rPr>
          <w:rFonts w:ascii="Times New Roman" w:hAnsi="Times New Roman"/>
          <w:b/>
          <w:sz w:val="20"/>
          <w:szCs w:val="20"/>
        </w:rPr>
      </w:pPr>
      <w:r w:rsidRPr="003F7D3A">
        <w:rPr>
          <w:rFonts w:ascii="Times New Roman" w:hAnsi="Times New Roman"/>
          <w:b/>
          <w:sz w:val="20"/>
          <w:szCs w:val="20"/>
        </w:rPr>
        <w:t>Interrogation</w:t>
      </w:r>
    </w:p>
    <w:p w14:paraId="686026ED" w14:textId="77777777" w:rsidR="00C76574" w:rsidRDefault="003F7D3A" w:rsidP="00143ED1">
      <w:pPr>
        <w:spacing w:line="240" w:lineRule="auto"/>
        <w:rPr>
          <w:rFonts w:ascii="Times New Roman" w:hAnsi="Times New Roman"/>
          <w:sz w:val="20"/>
          <w:szCs w:val="20"/>
        </w:rPr>
      </w:pPr>
      <w:r>
        <w:rPr>
          <w:rFonts w:ascii="Times New Roman" w:hAnsi="Times New Roman"/>
          <w:sz w:val="20"/>
          <w:szCs w:val="20"/>
        </w:rPr>
        <w:t>&amp; La « révolution crématiste » (Jean-Didier Urbain, 1998)</w:t>
      </w:r>
    </w:p>
    <w:p w14:paraId="3272EA5D" w14:textId="2DEFBE22" w:rsidR="00C2797F" w:rsidRDefault="00C2797F" w:rsidP="00143ED1">
      <w:pPr>
        <w:spacing w:line="240" w:lineRule="auto"/>
        <w:rPr>
          <w:rFonts w:ascii="Times New Roman" w:hAnsi="Times New Roman"/>
          <w:sz w:val="20"/>
          <w:szCs w:val="20"/>
        </w:rPr>
      </w:pPr>
      <w:r>
        <w:rPr>
          <w:rFonts w:ascii="Times New Roman" w:hAnsi="Times New Roman"/>
          <w:sz w:val="20"/>
          <w:szCs w:val="20"/>
        </w:rPr>
        <w:t>&amp;</w:t>
      </w:r>
      <w:r w:rsidR="00BB0C2F">
        <w:rPr>
          <w:rFonts w:ascii="Times New Roman" w:hAnsi="Times New Roman"/>
          <w:sz w:val="20"/>
          <w:szCs w:val="20"/>
        </w:rPr>
        <w:t xml:space="preserve"> L’épidémie de Covid-19 et la mort (Marie de Hennezel, 2020)</w:t>
      </w:r>
    </w:p>
    <w:p w14:paraId="75B18A1D" w14:textId="77777777" w:rsidR="00C76574" w:rsidRDefault="00C76574" w:rsidP="00143ED1">
      <w:pPr>
        <w:spacing w:line="240" w:lineRule="auto"/>
        <w:rPr>
          <w:rFonts w:ascii="Times New Roman" w:hAnsi="Times New Roman"/>
          <w:sz w:val="20"/>
          <w:szCs w:val="20"/>
        </w:rPr>
      </w:pPr>
    </w:p>
    <w:p w14:paraId="6BA50B4F" w14:textId="77777777" w:rsidR="00C76574" w:rsidRDefault="00C76574" w:rsidP="00143ED1">
      <w:pPr>
        <w:spacing w:line="240" w:lineRule="auto"/>
        <w:rPr>
          <w:rFonts w:ascii="Times New Roman" w:hAnsi="Times New Roman"/>
          <w:sz w:val="20"/>
          <w:szCs w:val="20"/>
        </w:rPr>
      </w:pPr>
      <w:r>
        <w:rPr>
          <w:rFonts w:ascii="Times New Roman" w:hAnsi="Times New Roman"/>
          <w:sz w:val="20"/>
          <w:szCs w:val="20"/>
        </w:rPr>
        <w:t>Séance du 12 décembre</w:t>
      </w:r>
    </w:p>
    <w:p w14:paraId="3E4AC353" w14:textId="111C3F65" w:rsidR="007B7ADA" w:rsidRDefault="007B7ADA" w:rsidP="0055608D">
      <w:pPr>
        <w:spacing w:line="240" w:lineRule="auto"/>
        <w:rPr>
          <w:rFonts w:ascii="Times New Roman" w:hAnsi="Times New Roman"/>
          <w:sz w:val="20"/>
          <w:szCs w:val="20"/>
        </w:rPr>
      </w:pPr>
      <w:r>
        <w:rPr>
          <w:rFonts w:ascii="Times New Roman" w:hAnsi="Times New Roman"/>
          <w:sz w:val="20"/>
          <w:szCs w:val="20"/>
        </w:rPr>
        <w:t>&amp; Le plaidoyer de Jacques Attali en faveur de l’euthanasie (1981)</w:t>
      </w:r>
    </w:p>
    <w:p w14:paraId="4BBE682F" w14:textId="62D27120" w:rsidR="001701F8" w:rsidRDefault="001701F8" w:rsidP="0055608D">
      <w:pPr>
        <w:spacing w:line="240" w:lineRule="auto"/>
        <w:rPr>
          <w:rFonts w:ascii="Times New Roman" w:hAnsi="Times New Roman"/>
          <w:sz w:val="20"/>
          <w:szCs w:val="20"/>
        </w:rPr>
      </w:pPr>
      <w:r>
        <w:rPr>
          <w:rFonts w:ascii="Times New Roman" w:hAnsi="Times New Roman"/>
          <w:sz w:val="20"/>
          <w:szCs w:val="20"/>
        </w:rPr>
        <w:t>&amp; Le manifeste fondateur des soins palliatifs en France (P. Verspieren, 1984)</w:t>
      </w:r>
    </w:p>
    <w:p w14:paraId="359C9171" w14:textId="77777777" w:rsidR="00C76574" w:rsidRDefault="00C76574" w:rsidP="00143ED1">
      <w:pPr>
        <w:spacing w:line="240" w:lineRule="auto"/>
        <w:rPr>
          <w:rFonts w:ascii="Times New Roman" w:hAnsi="Times New Roman"/>
          <w:sz w:val="20"/>
          <w:szCs w:val="20"/>
        </w:rPr>
      </w:pPr>
    </w:p>
    <w:p w14:paraId="48ED67DA" w14:textId="77777777" w:rsidR="004145A6" w:rsidRDefault="00C76574" w:rsidP="00143ED1">
      <w:pPr>
        <w:spacing w:line="240" w:lineRule="auto"/>
        <w:rPr>
          <w:rFonts w:ascii="Times New Roman" w:hAnsi="Times New Roman"/>
          <w:sz w:val="20"/>
          <w:szCs w:val="20"/>
        </w:rPr>
      </w:pPr>
      <w:r>
        <w:rPr>
          <w:rFonts w:ascii="Times New Roman" w:hAnsi="Times New Roman"/>
          <w:sz w:val="20"/>
          <w:szCs w:val="20"/>
        </w:rPr>
        <w:t>Séance du 19 décembre</w:t>
      </w:r>
    </w:p>
    <w:p w14:paraId="64186937" w14:textId="77777777" w:rsidR="00B862AE" w:rsidRPr="003E3504" w:rsidRDefault="00B862AE" w:rsidP="00B862AE">
      <w:pPr>
        <w:spacing w:line="240" w:lineRule="auto"/>
        <w:rPr>
          <w:rFonts w:ascii="Times New Roman" w:hAnsi="Times New Roman"/>
          <w:sz w:val="20"/>
          <w:szCs w:val="20"/>
        </w:rPr>
      </w:pPr>
      <w:r w:rsidRPr="003E3504">
        <w:rPr>
          <w:rFonts w:ascii="Times New Roman" w:hAnsi="Times New Roman"/>
          <w:sz w:val="20"/>
          <w:szCs w:val="20"/>
        </w:rPr>
        <w:t>&amp; Le culte des morts et des tombeaux en France à la fin des années 1980 (Jean-Didier Urbain).</w:t>
      </w:r>
    </w:p>
    <w:p w14:paraId="3610B348" w14:textId="77777777" w:rsidR="001701F8" w:rsidRDefault="001701F8" w:rsidP="001701F8">
      <w:pPr>
        <w:spacing w:line="240" w:lineRule="auto"/>
        <w:rPr>
          <w:rFonts w:ascii="Times New Roman" w:hAnsi="Times New Roman"/>
          <w:sz w:val="20"/>
          <w:szCs w:val="20"/>
        </w:rPr>
      </w:pPr>
      <w:r>
        <w:rPr>
          <w:rFonts w:ascii="Times New Roman" w:hAnsi="Times New Roman"/>
          <w:sz w:val="20"/>
          <w:szCs w:val="20"/>
        </w:rPr>
        <w:t>&amp; La maladie d’Alzheimer, maladie du XXI</w:t>
      </w:r>
      <w:r w:rsidRPr="00143ED1">
        <w:rPr>
          <w:rFonts w:ascii="Times New Roman" w:hAnsi="Times New Roman"/>
          <w:sz w:val="20"/>
          <w:szCs w:val="20"/>
          <w:vertAlign w:val="superscript"/>
        </w:rPr>
        <w:t>e</w:t>
      </w:r>
      <w:r>
        <w:rPr>
          <w:rFonts w:ascii="Times New Roman" w:hAnsi="Times New Roman"/>
          <w:sz w:val="20"/>
          <w:szCs w:val="20"/>
        </w:rPr>
        <w:t xml:space="preserve"> siècle (</w:t>
      </w:r>
      <w:r w:rsidRPr="001B370C">
        <w:rPr>
          <w:rFonts w:ascii="Times New Roman" w:hAnsi="Times New Roman"/>
          <w:sz w:val="20"/>
          <w:szCs w:val="20"/>
        </w:rPr>
        <w:t xml:space="preserve">Jean </w:t>
      </w:r>
      <w:proofErr w:type="spellStart"/>
      <w:r w:rsidRPr="001B370C">
        <w:rPr>
          <w:rFonts w:ascii="Times New Roman" w:hAnsi="Times New Roman"/>
          <w:sz w:val="20"/>
          <w:szCs w:val="20"/>
        </w:rPr>
        <w:t>Biès</w:t>
      </w:r>
      <w:proofErr w:type="spellEnd"/>
      <w:r>
        <w:rPr>
          <w:rFonts w:ascii="Times New Roman" w:hAnsi="Times New Roman"/>
          <w:sz w:val="20"/>
          <w:szCs w:val="20"/>
        </w:rPr>
        <w:t>, 2015).</w:t>
      </w:r>
    </w:p>
    <w:p w14:paraId="21EC26DF" w14:textId="03755FEB" w:rsidR="00FA53C4" w:rsidRDefault="00FA53C4" w:rsidP="00143ED1">
      <w:pPr>
        <w:spacing w:line="240" w:lineRule="auto"/>
        <w:rPr>
          <w:rFonts w:ascii="Times New Roman" w:hAnsi="Times New Roman"/>
          <w:bCs/>
          <w:sz w:val="20"/>
          <w:szCs w:val="20"/>
        </w:rPr>
      </w:pPr>
      <w:r>
        <w:rPr>
          <w:rFonts w:ascii="Times New Roman" w:hAnsi="Times New Roman"/>
          <w:bCs/>
          <w:sz w:val="20"/>
          <w:szCs w:val="20"/>
        </w:rPr>
        <w:br w:type="page"/>
      </w:r>
    </w:p>
    <w:p w14:paraId="110DDFA4" w14:textId="65212C0E" w:rsidR="00FA53C4" w:rsidRPr="00EF1A0A" w:rsidRDefault="00FA53C4" w:rsidP="00EF1A0A">
      <w:pPr>
        <w:spacing w:line="240" w:lineRule="auto"/>
        <w:jc w:val="left"/>
        <w:rPr>
          <w:rFonts w:ascii="Times New Roman" w:hAnsi="Times New Roman"/>
          <w:sz w:val="20"/>
          <w:szCs w:val="20"/>
        </w:rPr>
      </w:pPr>
    </w:p>
    <w:p w14:paraId="04F81240" w14:textId="4B35CC72" w:rsidR="00DE21C5" w:rsidRDefault="00DE21C5" w:rsidP="0055608D">
      <w:pPr>
        <w:spacing w:line="240" w:lineRule="auto"/>
        <w:jc w:val="center"/>
        <w:rPr>
          <w:rFonts w:ascii="Times New Roman" w:hAnsi="Times New Roman"/>
          <w:b/>
          <w:bCs/>
          <w:sz w:val="24"/>
          <w:vertAlign w:val="superscript"/>
        </w:rPr>
      </w:pPr>
      <w:bookmarkStart w:id="0" w:name="_Hlk124245940"/>
      <w:bookmarkStart w:id="1" w:name="_Hlk124246589"/>
      <w:r>
        <w:rPr>
          <w:rFonts w:ascii="Times New Roman" w:hAnsi="Times New Roman"/>
          <w:b/>
          <w:bCs/>
          <w:sz w:val="24"/>
        </w:rPr>
        <w:t xml:space="preserve">La </w:t>
      </w:r>
      <w:r w:rsidRPr="00445E76">
        <w:rPr>
          <w:rFonts w:ascii="Times New Roman" w:hAnsi="Times New Roman"/>
          <w:b/>
          <w:bCs/>
          <w:sz w:val="24"/>
        </w:rPr>
        <w:t>mortalité en France depuis le XVIII</w:t>
      </w:r>
      <w:r w:rsidRPr="00445E76">
        <w:rPr>
          <w:rFonts w:ascii="Times New Roman" w:hAnsi="Times New Roman"/>
          <w:b/>
          <w:bCs/>
          <w:sz w:val="24"/>
          <w:vertAlign w:val="superscript"/>
        </w:rPr>
        <w:t>e</w:t>
      </w:r>
      <w:r w:rsidR="003D629D">
        <w:rPr>
          <w:rFonts w:ascii="Times New Roman" w:hAnsi="Times New Roman"/>
          <w:b/>
          <w:bCs/>
          <w:sz w:val="24"/>
          <w:vertAlign w:val="superscript"/>
        </w:rPr>
        <w:t xml:space="preserve"> </w:t>
      </w:r>
      <w:r w:rsidR="003D629D" w:rsidRPr="003D629D">
        <w:rPr>
          <w:rFonts w:ascii="Times New Roman" w:hAnsi="Times New Roman"/>
          <w:b/>
          <w:bCs/>
          <w:sz w:val="24"/>
        </w:rPr>
        <w:t>siècle</w:t>
      </w:r>
    </w:p>
    <w:p w14:paraId="65824252" w14:textId="77777777" w:rsidR="003D629D" w:rsidRPr="0055608D" w:rsidRDefault="003D629D" w:rsidP="0055608D">
      <w:pPr>
        <w:spacing w:line="240" w:lineRule="auto"/>
        <w:jc w:val="center"/>
        <w:rPr>
          <w:rFonts w:ascii="Times New Roman" w:hAnsi="Times New Roman"/>
          <w:b/>
          <w:sz w:val="20"/>
          <w:szCs w:val="20"/>
        </w:rPr>
      </w:pPr>
    </w:p>
    <w:p w14:paraId="3BE0D374" w14:textId="77777777" w:rsidR="00DE21C5" w:rsidRPr="00DE21C5" w:rsidRDefault="00DE21C5" w:rsidP="00DE21C5">
      <w:pPr>
        <w:pStyle w:val="Paragraphedeliste"/>
        <w:numPr>
          <w:ilvl w:val="0"/>
          <w:numId w:val="23"/>
        </w:numPr>
        <w:spacing w:after="160" w:line="360" w:lineRule="auto"/>
        <w:rPr>
          <w:b/>
          <w:bCs/>
          <w:sz w:val="20"/>
          <w:szCs w:val="20"/>
        </w:rPr>
      </w:pPr>
      <w:r w:rsidRPr="00DE21C5">
        <w:rPr>
          <w:b/>
          <w:bCs/>
          <w:sz w:val="20"/>
          <w:szCs w:val="20"/>
        </w:rPr>
        <w:t>Le taux brut</w:t>
      </w:r>
    </w:p>
    <w:p w14:paraId="3B1CD771" w14:textId="77777777" w:rsidR="00DE21C5" w:rsidRDefault="00DE21C5" w:rsidP="00DE21C5">
      <w:pPr>
        <w:spacing w:line="360" w:lineRule="auto"/>
        <w:ind w:firstLine="708"/>
        <w:jc w:val="center"/>
        <w:rPr>
          <w:rFonts w:ascii="Times New Roman" w:hAnsi="Times New Roman"/>
          <w:sz w:val="24"/>
        </w:rPr>
      </w:pPr>
      <w:r>
        <w:rPr>
          <w:noProof/>
        </w:rPr>
        <w:drawing>
          <wp:inline distT="0" distB="0" distL="0" distR="0" wp14:anchorId="7C44F89F" wp14:editId="7D02DB07">
            <wp:extent cx="3174849" cy="2864498"/>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0444" cy="2896614"/>
                    </a:xfrm>
                    <a:prstGeom prst="rect">
                      <a:avLst/>
                    </a:prstGeom>
                    <a:noFill/>
                    <a:ln>
                      <a:noFill/>
                    </a:ln>
                  </pic:spPr>
                </pic:pic>
              </a:graphicData>
            </a:graphic>
          </wp:inline>
        </w:drawing>
      </w:r>
    </w:p>
    <w:p w14:paraId="5C81DCC5" w14:textId="77777777" w:rsidR="00DB2639" w:rsidRDefault="00DB2639" w:rsidP="00DE21C5">
      <w:pPr>
        <w:spacing w:line="360" w:lineRule="auto"/>
        <w:ind w:firstLine="708"/>
        <w:jc w:val="center"/>
        <w:rPr>
          <w:rFonts w:ascii="Times New Roman" w:hAnsi="Times New Roman"/>
          <w:sz w:val="24"/>
        </w:rPr>
      </w:pPr>
    </w:p>
    <w:p w14:paraId="7CFF5FC8" w14:textId="77777777" w:rsidR="00DE21C5" w:rsidRPr="00DE21C5" w:rsidRDefault="00DE21C5" w:rsidP="00DE21C5">
      <w:pPr>
        <w:pStyle w:val="Paragraphedeliste"/>
        <w:numPr>
          <w:ilvl w:val="0"/>
          <w:numId w:val="23"/>
        </w:numPr>
        <w:spacing w:line="360" w:lineRule="auto"/>
        <w:rPr>
          <w:b/>
          <w:bCs/>
          <w:sz w:val="20"/>
          <w:szCs w:val="20"/>
        </w:rPr>
      </w:pPr>
      <w:r w:rsidRPr="00DE21C5">
        <w:rPr>
          <w:b/>
          <w:bCs/>
          <w:sz w:val="20"/>
          <w:szCs w:val="20"/>
        </w:rPr>
        <w:t>L’espérance de vie</w:t>
      </w:r>
    </w:p>
    <w:bookmarkEnd w:id="0"/>
    <w:p w14:paraId="6C0A8346" w14:textId="77777777" w:rsidR="00DE21C5" w:rsidRPr="00DE21C5" w:rsidRDefault="00DB2639" w:rsidP="00DE21C5">
      <w:pPr>
        <w:spacing w:line="360" w:lineRule="auto"/>
        <w:jc w:val="center"/>
        <w:rPr>
          <w:rFonts w:ascii="Times New Roman" w:hAnsi="Times New Roman"/>
          <w:b/>
          <w:bCs/>
          <w:sz w:val="20"/>
          <w:szCs w:val="20"/>
        </w:rPr>
      </w:pPr>
      <w:r>
        <w:rPr>
          <w:noProof/>
        </w:rPr>
        <w:drawing>
          <wp:inline distT="0" distB="0" distL="0" distR="0" wp14:anchorId="719991B4" wp14:editId="2B779177">
            <wp:extent cx="3643309" cy="305111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3937" cy="3060011"/>
                    </a:xfrm>
                    <a:prstGeom prst="rect">
                      <a:avLst/>
                    </a:prstGeom>
                    <a:noFill/>
                    <a:ln>
                      <a:noFill/>
                    </a:ln>
                  </pic:spPr>
                </pic:pic>
              </a:graphicData>
            </a:graphic>
          </wp:inline>
        </w:drawing>
      </w:r>
    </w:p>
    <w:p w14:paraId="6A5B0BF0" w14:textId="77777777" w:rsidR="00DE21C5" w:rsidRDefault="00DE21C5" w:rsidP="00DE21C5">
      <w:pPr>
        <w:spacing w:line="360" w:lineRule="auto"/>
        <w:rPr>
          <w:rFonts w:ascii="Times New Roman" w:hAnsi="Times New Roman"/>
          <w:sz w:val="20"/>
          <w:szCs w:val="20"/>
        </w:rPr>
      </w:pPr>
    </w:p>
    <w:p w14:paraId="627BB66F" w14:textId="70711BF5" w:rsidR="00800138" w:rsidRPr="0055608D" w:rsidRDefault="00DE21C5" w:rsidP="0055608D">
      <w:pPr>
        <w:spacing w:line="360" w:lineRule="auto"/>
        <w:rPr>
          <w:rFonts w:ascii="Times New Roman" w:hAnsi="Times New Roman"/>
          <w:b/>
          <w:bCs/>
          <w:sz w:val="20"/>
          <w:szCs w:val="20"/>
        </w:rPr>
      </w:pPr>
      <w:r w:rsidRPr="00DE21C5">
        <w:rPr>
          <w:rFonts w:ascii="Times New Roman" w:hAnsi="Times New Roman"/>
          <w:sz w:val="20"/>
          <w:szCs w:val="20"/>
        </w:rPr>
        <w:t xml:space="preserve">Source : </w:t>
      </w:r>
      <w:proofErr w:type="spellStart"/>
      <w:r w:rsidRPr="00DE21C5">
        <w:rPr>
          <w:rFonts w:ascii="Times New Roman" w:hAnsi="Times New Roman"/>
          <w:sz w:val="20"/>
          <w:szCs w:val="20"/>
        </w:rPr>
        <w:t>Meslé</w:t>
      </w:r>
      <w:proofErr w:type="spellEnd"/>
      <w:r w:rsidRPr="00DE21C5">
        <w:rPr>
          <w:rFonts w:ascii="Times New Roman" w:hAnsi="Times New Roman"/>
          <w:sz w:val="20"/>
          <w:szCs w:val="20"/>
        </w:rPr>
        <w:t xml:space="preserve"> (France) et Vallin (Jacques), « Reconstitution de tables annuelles de mortalité pour </w:t>
      </w:r>
      <w:smartTag w:uri="urn:schemas-microsoft-com:office:smarttags" w:element="PersonName">
        <w:smartTagPr>
          <w:attr w:name="ProductID" w:val="la France"/>
        </w:smartTagPr>
        <w:r w:rsidRPr="00DE21C5">
          <w:rPr>
            <w:rFonts w:ascii="Times New Roman" w:hAnsi="Times New Roman"/>
            <w:sz w:val="20"/>
            <w:szCs w:val="20"/>
          </w:rPr>
          <w:t>la France</w:t>
        </w:r>
      </w:smartTag>
      <w:r w:rsidRPr="00DE21C5">
        <w:rPr>
          <w:rFonts w:ascii="Times New Roman" w:hAnsi="Times New Roman"/>
          <w:sz w:val="20"/>
          <w:szCs w:val="20"/>
        </w:rPr>
        <w:t xml:space="preserve"> au XIX</w:t>
      </w:r>
      <w:r w:rsidRPr="00DE21C5">
        <w:rPr>
          <w:rFonts w:ascii="Times New Roman" w:hAnsi="Times New Roman"/>
          <w:sz w:val="20"/>
          <w:szCs w:val="20"/>
          <w:vertAlign w:val="superscript"/>
        </w:rPr>
        <w:t>e</w:t>
      </w:r>
      <w:r w:rsidRPr="00DE21C5">
        <w:rPr>
          <w:rFonts w:ascii="Times New Roman" w:hAnsi="Times New Roman"/>
          <w:sz w:val="20"/>
          <w:szCs w:val="20"/>
        </w:rPr>
        <w:t xml:space="preserve"> siècle », </w:t>
      </w:r>
      <w:r w:rsidRPr="00DE21C5">
        <w:rPr>
          <w:rFonts w:ascii="Times New Roman" w:hAnsi="Times New Roman"/>
          <w:i/>
          <w:iCs/>
          <w:sz w:val="20"/>
          <w:szCs w:val="20"/>
        </w:rPr>
        <w:t>Population</w:t>
      </w:r>
      <w:r w:rsidRPr="00DE21C5">
        <w:rPr>
          <w:rFonts w:ascii="Times New Roman" w:hAnsi="Times New Roman"/>
          <w:sz w:val="20"/>
          <w:szCs w:val="20"/>
        </w:rPr>
        <w:t>, 44.6 (novembre-décembre 1989), p.1121-1158.</w:t>
      </w:r>
      <w:bookmarkEnd w:id="1"/>
      <w:r w:rsidR="00800138">
        <w:rPr>
          <w:rFonts w:ascii="Times New Roman" w:hAnsi="Times New Roman"/>
          <w:sz w:val="20"/>
          <w:szCs w:val="20"/>
        </w:rPr>
        <w:br w:type="page"/>
      </w:r>
    </w:p>
    <w:p w14:paraId="3F12B07E" w14:textId="77777777" w:rsidR="00800138" w:rsidRPr="00514936" w:rsidRDefault="00800138" w:rsidP="00800138">
      <w:pPr>
        <w:spacing w:line="240" w:lineRule="auto"/>
        <w:jc w:val="center"/>
        <w:rPr>
          <w:rFonts w:ascii="Times New Roman" w:hAnsi="Times New Roman"/>
          <w:b/>
          <w:sz w:val="20"/>
          <w:szCs w:val="20"/>
        </w:rPr>
      </w:pPr>
      <w:r w:rsidRPr="00514936">
        <w:rPr>
          <w:rFonts w:ascii="Times New Roman" w:hAnsi="Times New Roman"/>
          <w:b/>
          <w:sz w:val="20"/>
          <w:szCs w:val="20"/>
        </w:rPr>
        <w:lastRenderedPageBreak/>
        <w:t>Le 11</w:t>
      </w:r>
      <w:r w:rsidR="000E53AF">
        <w:rPr>
          <w:rFonts w:ascii="Times New Roman" w:hAnsi="Times New Roman"/>
          <w:b/>
          <w:sz w:val="20"/>
          <w:szCs w:val="20"/>
        </w:rPr>
        <w:t xml:space="preserve"> n</w:t>
      </w:r>
      <w:r w:rsidRPr="00514936">
        <w:rPr>
          <w:rFonts w:ascii="Times New Roman" w:hAnsi="Times New Roman"/>
          <w:b/>
          <w:sz w:val="20"/>
          <w:szCs w:val="20"/>
        </w:rPr>
        <w:t>ovembre,</w:t>
      </w:r>
      <w:r>
        <w:rPr>
          <w:rFonts w:ascii="Times New Roman" w:hAnsi="Times New Roman"/>
          <w:b/>
          <w:sz w:val="20"/>
          <w:szCs w:val="20"/>
        </w:rPr>
        <w:t xml:space="preserve"> fête nationale</w:t>
      </w:r>
    </w:p>
    <w:p w14:paraId="4B09A864"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1.</w:t>
      </w:r>
    </w:p>
    <w:p w14:paraId="4C8DDD44" w14:textId="77777777" w:rsidR="00800138" w:rsidRPr="00514936" w:rsidRDefault="00800138" w:rsidP="00800138">
      <w:pPr>
        <w:spacing w:line="240" w:lineRule="auto"/>
        <w:rPr>
          <w:rFonts w:ascii="Times New Roman" w:hAnsi="Times New Roman"/>
          <w:sz w:val="20"/>
          <w:szCs w:val="20"/>
        </w:rPr>
      </w:pPr>
      <w:r>
        <w:rPr>
          <w:rFonts w:ascii="Times New Roman" w:hAnsi="Times New Roman"/>
          <w:sz w:val="20"/>
          <w:szCs w:val="20"/>
        </w:rPr>
        <w:t>« </w:t>
      </w:r>
      <w:r w:rsidRPr="00514936">
        <w:rPr>
          <w:rFonts w:ascii="Times New Roman" w:hAnsi="Times New Roman"/>
          <w:sz w:val="20"/>
          <w:szCs w:val="20"/>
        </w:rPr>
        <w:t>Aux combattants !</w:t>
      </w:r>
    </w:p>
    <w:p w14:paraId="796E6AD7" w14:textId="77777777" w:rsidR="00800138" w:rsidRPr="00514936" w:rsidRDefault="00800138" w:rsidP="00800138">
      <w:pPr>
        <w:spacing w:line="240" w:lineRule="auto"/>
        <w:rPr>
          <w:rFonts w:ascii="Times New Roman" w:hAnsi="Times New Roman"/>
          <w:sz w:val="20"/>
          <w:szCs w:val="20"/>
        </w:rPr>
      </w:pPr>
      <w:r w:rsidRPr="00514936">
        <w:rPr>
          <w:rFonts w:ascii="Times New Roman" w:hAnsi="Times New Roman"/>
          <w:smallCaps/>
          <w:sz w:val="20"/>
          <w:szCs w:val="20"/>
        </w:rPr>
        <w:t>Notre fête</w:t>
      </w:r>
      <w:r w:rsidRPr="00514936">
        <w:rPr>
          <w:rFonts w:ascii="Times New Roman" w:hAnsi="Times New Roman"/>
          <w:sz w:val="20"/>
          <w:szCs w:val="20"/>
        </w:rPr>
        <w:t xml:space="preserve">, celle de l’Armistice, est bien le </w:t>
      </w:r>
      <w:r w:rsidRPr="00514936">
        <w:rPr>
          <w:rFonts w:ascii="Times New Roman" w:hAnsi="Times New Roman"/>
          <w:i/>
          <w:sz w:val="20"/>
          <w:szCs w:val="20"/>
        </w:rPr>
        <w:t>11 Novembre</w:t>
      </w:r>
      <w:r w:rsidRPr="00514936">
        <w:rPr>
          <w:rFonts w:ascii="Times New Roman" w:hAnsi="Times New Roman"/>
          <w:sz w:val="20"/>
          <w:szCs w:val="20"/>
        </w:rPr>
        <w:t> !</w:t>
      </w:r>
    </w:p>
    <w:p w14:paraId="1C05C4F3" w14:textId="77777777" w:rsidR="00800138" w:rsidRPr="00514936" w:rsidRDefault="00800138" w:rsidP="00800138">
      <w:pPr>
        <w:spacing w:line="240" w:lineRule="auto"/>
        <w:rPr>
          <w:rFonts w:ascii="Times New Roman" w:hAnsi="Times New Roman"/>
          <w:i/>
          <w:sz w:val="20"/>
          <w:szCs w:val="20"/>
        </w:rPr>
      </w:pPr>
      <w:r w:rsidRPr="00514936">
        <w:rPr>
          <w:rFonts w:ascii="Times New Roman" w:hAnsi="Times New Roman"/>
          <w:sz w:val="20"/>
          <w:szCs w:val="20"/>
        </w:rPr>
        <w:t>Notre dignité</w:t>
      </w:r>
      <w:r>
        <w:rPr>
          <w:rFonts w:ascii="Times New Roman" w:hAnsi="Times New Roman"/>
          <w:sz w:val="20"/>
          <w:szCs w:val="20"/>
        </w:rPr>
        <w:t xml:space="preserve"> nous impose de rendre hommage à nos chers morts au </w:t>
      </w:r>
      <w:r w:rsidRPr="00514936">
        <w:rPr>
          <w:rFonts w:ascii="Times New Roman" w:hAnsi="Times New Roman"/>
          <w:i/>
          <w:sz w:val="20"/>
          <w:szCs w:val="20"/>
        </w:rPr>
        <w:t>jour anniversaire</w:t>
      </w:r>
      <w:r>
        <w:rPr>
          <w:rFonts w:ascii="Times New Roman" w:hAnsi="Times New Roman"/>
          <w:sz w:val="20"/>
          <w:szCs w:val="20"/>
        </w:rPr>
        <w:t xml:space="preserve"> où l’infâme tuerie cessa !</w:t>
      </w:r>
    </w:p>
    <w:p w14:paraId="24616815" w14:textId="77777777" w:rsidR="00800138" w:rsidRDefault="00800138" w:rsidP="00800138">
      <w:pPr>
        <w:spacing w:line="240" w:lineRule="auto"/>
        <w:rPr>
          <w:rFonts w:ascii="Times New Roman" w:hAnsi="Times New Roman"/>
          <w:sz w:val="20"/>
          <w:szCs w:val="20"/>
        </w:rPr>
      </w:pPr>
      <w:r w:rsidRPr="00514936">
        <w:rPr>
          <w:rFonts w:ascii="Times New Roman" w:hAnsi="Times New Roman"/>
          <w:i/>
          <w:sz w:val="20"/>
          <w:szCs w:val="20"/>
        </w:rPr>
        <w:t>Vendredi 11 Novembre 1921, vous serez tous réunis</w:t>
      </w:r>
      <w:r>
        <w:rPr>
          <w:rFonts w:ascii="Times New Roman" w:hAnsi="Times New Roman"/>
          <w:sz w:val="20"/>
          <w:szCs w:val="20"/>
        </w:rPr>
        <w:t xml:space="preserve"> à onze heures au pied du Monument aux Morts, Place de Verdun.</w:t>
      </w:r>
    </w:p>
    <w:p w14:paraId="47E2C43F"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Un cortège se formera et se rendra au Cimetière de la </w:t>
      </w:r>
      <w:proofErr w:type="spellStart"/>
      <w:r>
        <w:rPr>
          <w:rFonts w:ascii="Times New Roman" w:hAnsi="Times New Roman"/>
          <w:sz w:val="20"/>
          <w:szCs w:val="20"/>
        </w:rPr>
        <w:t>Sède</w:t>
      </w:r>
      <w:proofErr w:type="spellEnd"/>
      <w:r>
        <w:rPr>
          <w:rStyle w:val="Appelnotedebasdep"/>
          <w:rFonts w:ascii="Times New Roman" w:hAnsi="Times New Roman"/>
          <w:sz w:val="20"/>
          <w:szCs w:val="20"/>
        </w:rPr>
        <w:footnoteReference w:id="1"/>
      </w:r>
      <w:r>
        <w:rPr>
          <w:rFonts w:ascii="Times New Roman" w:hAnsi="Times New Roman"/>
          <w:sz w:val="20"/>
          <w:szCs w:val="20"/>
        </w:rPr>
        <w:t xml:space="preserve">, portera la Gerbe du </w:t>
      </w:r>
      <w:r w:rsidRPr="00514936">
        <w:rPr>
          <w:rFonts w:ascii="Times New Roman" w:hAnsi="Times New Roman"/>
          <w:i/>
          <w:sz w:val="20"/>
          <w:szCs w:val="20"/>
        </w:rPr>
        <w:t>Souvenir</w:t>
      </w:r>
      <w:r>
        <w:rPr>
          <w:rFonts w:ascii="Times New Roman" w:hAnsi="Times New Roman"/>
          <w:sz w:val="20"/>
          <w:szCs w:val="20"/>
        </w:rPr>
        <w:t xml:space="preserve"> « aux victimes du plus grand </w:t>
      </w:r>
      <w:r w:rsidRPr="00514936">
        <w:rPr>
          <w:rFonts w:ascii="Times New Roman" w:hAnsi="Times New Roman"/>
          <w:i/>
          <w:sz w:val="20"/>
          <w:szCs w:val="20"/>
        </w:rPr>
        <w:t>Sacrifice</w:t>
      </w:r>
      <w:r>
        <w:rPr>
          <w:rFonts w:ascii="Times New Roman" w:hAnsi="Times New Roman"/>
          <w:sz w:val="20"/>
          <w:szCs w:val="20"/>
        </w:rPr>
        <w:t> ».</w:t>
      </w:r>
    </w:p>
    <w:p w14:paraId="618F7DD3" w14:textId="77777777" w:rsidR="00800138" w:rsidRDefault="00800138" w:rsidP="00800138">
      <w:pPr>
        <w:spacing w:line="240" w:lineRule="auto"/>
        <w:rPr>
          <w:rFonts w:ascii="Times New Roman" w:hAnsi="Times New Roman"/>
          <w:sz w:val="20"/>
          <w:szCs w:val="20"/>
        </w:rPr>
      </w:pPr>
      <w:r w:rsidRPr="00514936">
        <w:rPr>
          <w:rFonts w:ascii="Times New Roman" w:hAnsi="Times New Roman"/>
          <w:i/>
          <w:sz w:val="20"/>
          <w:szCs w:val="20"/>
        </w:rPr>
        <w:t>Dimanche 13 Novembre</w:t>
      </w:r>
      <w:r>
        <w:rPr>
          <w:rFonts w:ascii="Times New Roman" w:hAnsi="Times New Roman"/>
          <w:sz w:val="20"/>
          <w:szCs w:val="20"/>
        </w:rPr>
        <w:t xml:space="preserve">, la Fédération des Anciens Combattants </w:t>
      </w:r>
      <w:r w:rsidRPr="00514936">
        <w:rPr>
          <w:rFonts w:ascii="Times New Roman" w:hAnsi="Times New Roman"/>
          <w:i/>
          <w:sz w:val="20"/>
          <w:szCs w:val="20"/>
        </w:rPr>
        <w:t>s’abstiendra</w:t>
      </w:r>
      <w:r>
        <w:rPr>
          <w:rFonts w:ascii="Times New Roman" w:hAnsi="Times New Roman"/>
          <w:sz w:val="20"/>
          <w:szCs w:val="20"/>
        </w:rPr>
        <w:t xml:space="preserve"> de toute manifestation.</w:t>
      </w:r>
    </w:p>
    <w:p w14:paraId="58DAF8CB" w14:textId="77777777" w:rsidR="00800138" w:rsidRDefault="00800138" w:rsidP="00800138">
      <w:pPr>
        <w:spacing w:line="240" w:lineRule="auto"/>
        <w:rPr>
          <w:rFonts w:ascii="Times New Roman" w:hAnsi="Times New Roman"/>
          <w:sz w:val="20"/>
          <w:szCs w:val="20"/>
        </w:rPr>
      </w:pPr>
    </w:p>
    <w:p w14:paraId="63876839"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Le bureau fédéral</w:t>
      </w:r>
    </w:p>
    <w:p w14:paraId="5CB642CC" w14:textId="77777777" w:rsidR="00800138" w:rsidRDefault="00800138" w:rsidP="00800138">
      <w:pPr>
        <w:spacing w:line="240" w:lineRule="auto"/>
        <w:rPr>
          <w:rFonts w:ascii="Times New Roman" w:hAnsi="Times New Roman"/>
          <w:sz w:val="20"/>
          <w:szCs w:val="20"/>
        </w:rPr>
      </w:pPr>
    </w:p>
    <w:p w14:paraId="572D821F"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NOTA. – La manifestation ayant lieu à la sortie des bureaux et des ateliers, nos Camarades sont priés d’y assister en COSTUME DE TRAVAIL. »</w:t>
      </w:r>
    </w:p>
    <w:p w14:paraId="07E5BC54" w14:textId="77777777" w:rsidR="00800138" w:rsidRDefault="00800138" w:rsidP="00800138">
      <w:pPr>
        <w:spacing w:line="240" w:lineRule="auto"/>
        <w:rPr>
          <w:rFonts w:ascii="Times New Roman" w:hAnsi="Times New Roman"/>
          <w:sz w:val="20"/>
          <w:szCs w:val="20"/>
        </w:rPr>
      </w:pPr>
    </w:p>
    <w:p w14:paraId="1376868F" w14:textId="77777777" w:rsidR="00800138" w:rsidRDefault="00800138" w:rsidP="00800138">
      <w:pPr>
        <w:spacing w:line="240" w:lineRule="auto"/>
        <w:rPr>
          <w:rFonts w:ascii="Times New Roman" w:hAnsi="Times New Roman"/>
          <w:sz w:val="20"/>
          <w:szCs w:val="20"/>
        </w:rPr>
      </w:pPr>
      <w:r w:rsidRPr="0047393C">
        <w:rPr>
          <w:rFonts w:ascii="Times New Roman" w:hAnsi="Times New Roman"/>
          <w:i/>
          <w:sz w:val="20"/>
          <w:szCs w:val="20"/>
        </w:rPr>
        <w:t>Le Combattant</w:t>
      </w:r>
      <w:r>
        <w:rPr>
          <w:rFonts w:ascii="Times New Roman" w:hAnsi="Times New Roman"/>
          <w:sz w:val="20"/>
          <w:szCs w:val="20"/>
        </w:rPr>
        <w:t xml:space="preserve"> (Tarbes), 10 novembre 1921.</w:t>
      </w:r>
    </w:p>
    <w:p w14:paraId="4514DD96" w14:textId="77777777" w:rsidR="00800138" w:rsidRDefault="00800138" w:rsidP="00800138">
      <w:pPr>
        <w:spacing w:line="240" w:lineRule="auto"/>
        <w:rPr>
          <w:rFonts w:ascii="Times New Roman" w:hAnsi="Times New Roman"/>
          <w:sz w:val="20"/>
          <w:szCs w:val="20"/>
        </w:rPr>
      </w:pPr>
    </w:p>
    <w:p w14:paraId="4C85A1D4"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2.</w:t>
      </w:r>
    </w:p>
    <w:p w14:paraId="3D9E0FCB"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CAMARADES, MUTILÉS ET COMBATTANTS !</w:t>
      </w:r>
    </w:p>
    <w:p w14:paraId="73D0A70D"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Pour la première fois, </w:t>
      </w:r>
      <w:r w:rsidRPr="0047393C">
        <w:rPr>
          <w:rFonts w:ascii="Times New Roman" w:hAnsi="Times New Roman"/>
          <w:b/>
          <w:sz w:val="20"/>
          <w:szCs w:val="20"/>
        </w:rPr>
        <w:t>nous obtenons</w:t>
      </w:r>
      <w:r>
        <w:rPr>
          <w:rFonts w:ascii="Times New Roman" w:hAnsi="Times New Roman"/>
          <w:sz w:val="20"/>
          <w:szCs w:val="20"/>
        </w:rPr>
        <w:t xml:space="preserve"> de fêter à son jour et à son heure l’anniversaire du 11 novembre 1918.</w:t>
      </w:r>
    </w:p>
    <w:p w14:paraId="26A5826E"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S’il est vrai que ce matin du 11 novembre 1918 </w:t>
      </w:r>
      <w:r w:rsidRPr="0047393C">
        <w:rPr>
          <w:rFonts w:ascii="Times New Roman" w:hAnsi="Times New Roman"/>
          <w:b/>
          <w:sz w:val="20"/>
          <w:szCs w:val="20"/>
        </w:rPr>
        <w:t>fut notre seul jour de bonheur</w:t>
      </w:r>
      <w:r>
        <w:rPr>
          <w:rFonts w:ascii="Times New Roman" w:hAnsi="Times New Roman"/>
          <w:sz w:val="20"/>
          <w:szCs w:val="20"/>
        </w:rPr>
        <w:t xml:space="preserve">, s’il est vrai qu’à l’heure où se taisait le canon une aube de prospérité paraissait se lever sur la Patrie, s’il est vrai que nous sentions sourdre en nous une humanité meilleure, attachons-nous chaque année à en perpétuer le souvenir et à inspirer aux générations qui montent à la vie </w:t>
      </w:r>
      <w:r w:rsidRPr="0047393C">
        <w:rPr>
          <w:rFonts w:ascii="Times New Roman" w:hAnsi="Times New Roman"/>
          <w:b/>
          <w:sz w:val="20"/>
          <w:szCs w:val="20"/>
        </w:rPr>
        <w:t>le souffle ardent</w:t>
      </w:r>
      <w:r>
        <w:rPr>
          <w:rFonts w:ascii="Times New Roman" w:hAnsi="Times New Roman"/>
          <w:sz w:val="20"/>
          <w:szCs w:val="20"/>
        </w:rPr>
        <w:t xml:space="preserve"> qui nous animait alors.</w:t>
      </w:r>
    </w:p>
    <w:p w14:paraId="36896E3C"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CAMARADES FÉDÉRÉS OU NON FÉDÉRÉS !</w:t>
      </w:r>
    </w:p>
    <w:p w14:paraId="5156B715"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Il s’agit d’affirmer publiquement ce jour-là dans toute la France, à ceux qui seraient tentés de l’oublier, que </w:t>
      </w:r>
      <w:r w:rsidRPr="0047393C">
        <w:rPr>
          <w:rFonts w:ascii="Times New Roman" w:hAnsi="Times New Roman"/>
          <w:b/>
          <w:sz w:val="20"/>
          <w:szCs w:val="20"/>
        </w:rPr>
        <w:t>nous entendons compter</w:t>
      </w:r>
      <w:r>
        <w:rPr>
          <w:rFonts w:ascii="Times New Roman" w:hAnsi="Times New Roman"/>
          <w:sz w:val="20"/>
          <w:szCs w:val="20"/>
        </w:rPr>
        <w:t xml:space="preserve"> dans ce pays que nous avons sauvé et que les victimes de la guerre savent dans la Paix rester unies comme au front.</w:t>
      </w:r>
    </w:p>
    <w:p w14:paraId="06BA7ED1"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FRANÇAIS !</w:t>
      </w:r>
    </w:p>
    <w:p w14:paraId="3B9FD7C4"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Vous qui avez connu l’angoisse des jours sans nouvelles, vous qui avez tremblé pour l’être chéri, vous qui pleurez ceux qui ne sont pas revenus, </w:t>
      </w:r>
      <w:r w:rsidRPr="00BF03AF">
        <w:rPr>
          <w:rFonts w:ascii="Times New Roman" w:hAnsi="Times New Roman"/>
          <w:b/>
          <w:sz w:val="20"/>
          <w:szCs w:val="20"/>
        </w:rPr>
        <w:t>vous serez avec nous</w:t>
      </w:r>
      <w:r>
        <w:rPr>
          <w:rFonts w:ascii="Times New Roman" w:hAnsi="Times New Roman"/>
          <w:sz w:val="20"/>
          <w:szCs w:val="20"/>
        </w:rPr>
        <w:t xml:space="preserve">. Cette fête du 11 novembre que </w:t>
      </w:r>
      <w:r w:rsidRPr="00BF03AF">
        <w:rPr>
          <w:rFonts w:ascii="Times New Roman" w:hAnsi="Times New Roman"/>
          <w:b/>
          <w:sz w:val="20"/>
          <w:szCs w:val="20"/>
        </w:rPr>
        <w:t>nous avons voulue</w:t>
      </w:r>
      <w:r>
        <w:rPr>
          <w:rFonts w:ascii="Times New Roman" w:hAnsi="Times New Roman"/>
          <w:sz w:val="20"/>
          <w:szCs w:val="20"/>
        </w:rPr>
        <w:t xml:space="preserve"> fête nationale est avant </w:t>
      </w:r>
      <w:r w:rsidRPr="00BF03AF">
        <w:rPr>
          <w:rFonts w:ascii="Times New Roman" w:hAnsi="Times New Roman"/>
          <w:b/>
          <w:sz w:val="20"/>
          <w:szCs w:val="20"/>
        </w:rPr>
        <w:t>tout la vôtre</w:t>
      </w:r>
      <w:r>
        <w:rPr>
          <w:rFonts w:ascii="Times New Roman" w:hAnsi="Times New Roman"/>
          <w:sz w:val="20"/>
          <w:szCs w:val="20"/>
        </w:rPr>
        <w:t>.</w:t>
      </w:r>
    </w:p>
    <w:p w14:paraId="7E254ABF"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PEUPLE DE FRANCE, VEUVES, ASCENDANTS, COMBATTANTS</w:t>
      </w:r>
    </w:p>
    <w:p w14:paraId="77B18BB4"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À onze heures précises, devant le monument de nos morts, nous nous inclinerons pieusement, nous nous recueillerons une minute en souvenir de ce </w:t>
      </w:r>
      <w:r w:rsidR="00016457">
        <w:rPr>
          <w:rFonts w:ascii="Times New Roman" w:hAnsi="Times New Roman"/>
          <w:sz w:val="20"/>
          <w:szCs w:val="20"/>
        </w:rPr>
        <w:t xml:space="preserve">jour </w:t>
      </w:r>
      <w:r>
        <w:rPr>
          <w:rFonts w:ascii="Times New Roman" w:hAnsi="Times New Roman"/>
          <w:sz w:val="20"/>
          <w:szCs w:val="20"/>
        </w:rPr>
        <w:t>à jamais mémorable. »</w:t>
      </w:r>
    </w:p>
    <w:p w14:paraId="71495E37" w14:textId="77777777" w:rsidR="00800138" w:rsidRDefault="00800138" w:rsidP="00800138">
      <w:pPr>
        <w:spacing w:line="240" w:lineRule="auto"/>
        <w:rPr>
          <w:rFonts w:ascii="Times New Roman" w:hAnsi="Times New Roman"/>
          <w:sz w:val="20"/>
          <w:szCs w:val="20"/>
        </w:rPr>
      </w:pPr>
    </w:p>
    <w:p w14:paraId="26B05E7D" w14:textId="77777777" w:rsidR="00800138" w:rsidRDefault="00800138" w:rsidP="00800138">
      <w:pPr>
        <w:spacing w:line="240" w:lineRule="auto"/>
        <w:rPr>
          <w:rFonts w:ascii="Times New Roman" w:hAnsi="Times New Roman"/>
          <w:sz w:val="20"/>
          <w:szCs w:val="20"/>
        </w:rPr>
      </w:pPr>
      <w:r w:rsidRPr="0047393C">
        <w:rPr>
          <w:rFonts w:ascii="Times New Roman" w:hAnsi="Times New Roman"/>
          <w:i/>
          <w:sz w:val="20"/>
          <w:szCs w:val="20"/>
        </w:rPr>
        <w:t>Le Combattant</w:t>
      </w:r>
      <w:r>
        <w:rPr>
          <w:rFonts w:ascii="Times New Roman" w:hAnsi="Times New Roman"/>
          <w:sz w:val="20"/>
          <w:szCs w:val="20"/>
        </w:rPr>
        <w:t xml:space="preserve"> (Tarbes), 1</w:t>
      </w:r>
      <w:r w:rsidRPr="00BF03AF">
        <w:rPr>
          <w:rFonts w:ascii="Times New Roman" w:hAnsi="Times New Roman"/>
          <w:sz w:val="20"/>
          <w:szCs w:val="20"/>
          <w:vertAlign w:val="superscript"/>
        </w:rPr>
        <w:t>er</w:t>
      </w:r>
      <w:r>
        <w:rPr>
          <w:rFonts w:ascii="Times New Roman" w:hAnsi="Times New Roman"/>
          <w:sz w:val="20"/>
          <w:szCs w:val="20"/>
        </w:rPr>
        <w:t xml:space="preserve"> novembre 1922.</w:t>
      </w:r>
    </w:p>
    <w:p w14:paraId="5725BAA6" w14:textId="77777777" w:rsidR="00800138" w:rsidRDefault="00800138" w:rsidP="00800138">
      <w:pPr>
        <w:spacing w:line="240" w:lineRule="auto"/>
        <w:rPr>
          <w:rFonts w:ascii="Times New Roman" w:hAnsi="Times New Roman"/>
          <w:sz w:val="20"/>
          <w:szCs w:val="20"/>
        </w:rPr>
      </w:pPr>
    </w:p>
    <w:p w14:paraId="5D7658F4"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3.</w:t>
      </w:r>
    </w:p>
    <w:p w14:paraId="203F8300"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Appel des Mutilés et des Combattants du Loiret</w:t>
      </w:r>
    </w:p>
    <w:p w14:paraId="3F91623A"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Camarades, le jour anniversaire de la Victoire, les Hommes de la Guerre ont le devoir de parler.</w:t>
      </w:r>
    </w:p>
    <w:p w14:paraId="477232FF"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Nous vous demandons de faire afficher sur les murs de vos villes et de vos bourgs la proclamation ci-dessous :</w:t>
      </w:r>
    </w:p>
    <w:p w14:paraId="031B3802"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Pour le Comité d’entente de l’Union des Combattants du Loiret et des Mutilés du Loiret.</w:t>
      </w:r>
    </w:p>
    <w:p w14:paraId="46405043"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Henri PICHOT</w:t>
      </w:r>
    </w:p>
    <w:p w14:paraId="2C53E246" w14:textId="77777777" w:rsidR="00800138" w:rsidRDefault="00800138" w:rsidP="00800138">
      <w:pPr>
        <w:spacing w:line="240" w:lineRule="auto"/>
        <w:rPr>
          <w:rFonts w:ascii="Times New Roman" w:hAnsi="Times New Roman"/>
          <w:sz w:val="20"/>
          <w:szCs w:val="20"/>
        </w:rPr>
      </w:pPr>
    </w:p>
    <w:p w14:paraId="291C704C"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Fête nationale du 11 Novembre</w:t>
      </w:r>
    </w:p>
    <w:p w14:paraId="430CD76B"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Appel au Peuple</w:t>
      </w:r>
    </w:p>
    <w:p w14:paraId="5EB10C78" w14:textId="77777777" w:rsidR="00800138" w:rsidRDefault="00800138" w:rsidP="00800138">
      <w:pPr>
        <w:spacing w:line="240" w:lineRule="auto"/>
        <w:rPr>
          <w:rFonts w:ascii="Times New Roman" w:hAnsi="Times New Roman"/>
          <w:sz w:val="20"/>
          <w:szCs w:val="20"/>
        </w:rPr>
      </w:pPr>
      <w:r w:rsidRPr="00D21179">
        <w:rPr>
          <w:rFonts w:ascii="Times New Roman" w:hAnsi="Times New Roman"/>
          <w:b/>
          <w:sz w:val="20"/>
          <w:szCs w:val="20"/>
        </w:rPr>
        <w:t>Le 11 Novembre 1918</w:t>
      </w:r>
      <w:r>
        <w:rPr>
          <w:rFonts w:ascii="Times New Roman" w:hAnsi="Times New Roman"/>
          <w:sz w:val="20"/>
          <w:szCs w:val="20"/>
        </w:rPr>
        <w:t xml:space="preserve"> marque la fin de la plus épouvantable tuerie qui ait désolé le monde moderne. Pendant cinquante-deux mois, des peuples entiers se sont affrontés sur d’immenses champs de bataille. </w:t>
      </w:r>
      <w:r w:rsidRPr="00D21179">
        <w:rPr>
          <w:rFonts w:ascii="Times New Roman" w:hAnsi="Times New Roman"/>
          <w:b/>
          <w:sz w:val="20"/>
          <w:szCs w:val="20"/>
        </w:rPr>
        <w:t>Quarante millions d’hommes se sont battus. Six millions ont été tués. Quinze millions ont été blessés</w:t>
      </w:r>
      <w:r>
        <w:rPr>
          <w:rFonts w:ascii="Times New Roman" w:hAnsi="Times New Roman"/>
          <w:sz w:val="20"/>
          <w:szCs w:val="20"/>
        </w:rPr>
        <w:t>. Des régions populeuses et riches ont été ravagées ; il faudra un quart de siècle pour les ramener à la vie.</w:t>
      </w:r>
    </w:p>
    <w:p w14:paraId="49384750"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C’est l’</w:t>
      </w:r>
      <w:r w:rsidRPr="00D21179">
        <w:rPr>
          <w:rFonts w:ascii="Times New Roman" w:hAnsi="Times New Roman"/>
          <w:b/>
          <w:sz w:val="20"/>
          <w:szCs w:val="20"/>
        </w:rPr>
        <w:t>Allemagne</w:t>
      </w:r>
      <w:r>
        <w:rPr>
          <w:rFonts w:ascii="Times New Roman" w:hAnsi="Times New Roman"/>
          <w:sz w:val="20"/>
          <w:szCs w:val="20"/>
        </w:rPr>
        <w:t xml:space="preserve"> qui portera devant l’histoire la responsabilité du sang versé et des ruines accumulées. C’est l’</w:t>
      </w:r>
      <w:r>
        <w:rPr>
          <w:rFonts w:ascii="Times New Roman" w:hAnsi="Times New Roman"/>
          <w:b/>
          <w:sz w:val="20"/>
          <w:szCs w:val="20"/>
        </w:rPr>
        <w:t>Allemagne impérialiste, pangermaniste et militariste qui a voulu cette guerre</w:t>
      </w:r>
      <w:r w:rsidRPr="00D21179">
        <w:rPr>
          <w:rFonts w:ascii="Times New Roman" w:hAnsi="Times New Roman"/>
          <w:sz w:val="20"/>
          <w:szCs w:val="20"/>
        </w:rPr>
        <w:t>, qui l’a déclarée</w:t>
      </w:r>
      <w:r>
        <w:rPr>
          <w:rFonts w:ascii="Times New Roman" w:hAnsi="Times New Roman"/>
          <w:sz w:val="20"/>
          <w:szCs w:val="20"/>
        </w:rPr>
        <w:t xml:space="preserve"> et qui l’a poursuivie par les moyens les plus criminels.</w:t>
      </w:r>
    </w:p>
    <w:p w14:paraId="0F149B3C" w14:textId="77777777" w:rsidR="00800138" w:rsidRDefault="00800138" w:rsidP="00800138">
      <w:pPr>
        <w:spacing w:line="240" w:lineRule="auto"/>
        <w:rPr>
          <w:rFonts w:ascii="Times New Roman" w:hAnsi="Times New Roman"/>
          <w:sz w:val="20"/>
          <w:szCs w:val="20"/>
        </w:rPr>
      </w:pPr>
      <w:r w:rsidRPr="00D21179">
        <w:rPr>
          <w:rFonts w:ascii="Times New Roman" w:hAnsi="Times New Roman"/>
          <w:b/>
          <w:sz w:val="20"/>
          <w:szCs w:val="20"/>
        </w:rPr>
        <w:t>La France républicaine et pacifique</w:t>
      </w:r>
      <w:r>
        <w:rPr>
          <w:rFonts w:ascii="Times New Roman" w:hAnsi="Times New Roman"/>
          <w:sz w:val="20"/>
          <w:szCs w:val="20"/>
        </w:rPr>
        <w:t xml:space="preserve"> s’est battue pour la justice, pour la liberté, pour le droit. </w:t>
      </w:r>
      <w:r>
        <w:rPr>
          <w:rFonts w:ascii="Times New Roman" w:hAnsi="Times New Roman"/>
          <w:b/>
          <w:sz w:val="20"/>
          <w:szCs w:val="20"/>
        </w:rPr>
        <w:t xml:space="preserve">Les Hommes de la Guerre </w:t>
      </w:r>
      <w:r>
        <w:rPr>
          <w:rFonts w:ascii="Times New Roman" w:hAnsi="Times New Roman"/>
          <w:sz w:val="20"/>
          <w:szCs w:val="20"/>
        </w:rPr>
        <w:t xml:space="preserve">se sont battus contre l’impérialisme, contre le militarisme : ILS ONT FAIT LA GUERRE À LA GUERRE. </w:t>
      </w:r>
      <w:r w:rsidRPr="00D21179">
        <w:rPr>
          <w:rFonts w:ascii="Times New Roman" w:hAnsi="Times New Roman"/>
          <w:b/>
          <w:sz w:val="20"/>
          <w:szCs w:val="20"/>
        </w:rPr>
        <w:t>Sept millions et demi</w:t>
      </w:r>
      <w:r>
        <w:rPr>
          <w:rFonts w:ascii="Times New Roman" w:hAnsi="Times New Roman"/>
          <w:sz w:val="20"/>
          <w:szCs w:val="20"/>
        </w:rPr>
        <w:t xml:space="preserve"> de Français ont porté leur vie sur les champs de bataille ! UN MILLION CINQ </w:t>
      </w:r>
      <w:r>
        <w:rPr>
          <w:rFonts w:ascii="Times New Roman" w:hAnsi="Times New Roman"/>
          <w:sz w:val="20"/>
          <w:szCs w:val="20"/>
        </w:rPr>
        <w:lastRenderedPageBreak/>
        <w:t xml:space="preserve">CENT MILLE SONT MORTS ! </w:t>
      </w:r>
      <w:r w:rsidRPr="00D21179">
        <w:rPr>
          <w:rFonts w:ascii="Times New Roman" w:hAnsi="Times New Roman"/>
          <w:b/>
          <w:sz w:val="20"/>
          <w:szCs w:val="20"/>
        </w:rPr>
        <w:t>Un million</w:t>
      </w:r>
      <w:r>
        <w:rPr>
          <w:rFonts w:ascii="Times New Roman" w:hAnsi="Times New Roman"/>
          <w:sz w:val="20"/>
          <w:szCs w:val="20"/>
        </w:rPr>
        <w:t xml:space="preserve"> sont incurablement </w:t>
      </w:r>
      <w:r w:rsidRPr="00F41B4C">
        <w:rPr>
          <w:rFonts w:ascii="Times New Roman" w:hAnsi="Times New Roman"/>
          <w:b/>
          <w:sz w:val="20"/>
          <w:szCs w:val="20"/>
        </w:rPr>
        <w:t>mutilés !</w:t>
      </w:r>
      <w:r>
        <w:rPr>
          <w:rFonts w:ascii="Times New Roman" w:hAnsi="Times New Roman"/>
          <w:b/>
          <w:sz w:val="20"/>
          <w:szCs w:val="20"/>
        </w:rPr>
        <w:t xml:space="preserve"> Huit cent mille enfants</w:t>
      </w:r>
      <w:r>
        <w:rPr>
          <w:rFonts w:ascii="Times New Roman" w:hAnsi="Times New Roman"/>
          <w:sz w:val="20"/>
          <w:szCs w:val="20"/>
        </w:rPr>
        <w:t xml:space="preserve"> n’ont plus de père ! </w:t>
      </w:r>
      <w:r w:rsidRPr="00F41B4C">
        <w:rPr>
          <w:rFonts w:ascii="Times New Roman" w:hAnsi="Times New Roman"/>
          <w:b/>
          <w:sz w:val="20"/>
          <w:szCs w:val="20"/>
        </w:rPr>
        <w:t>Sept cent mille femmes</w:t>
      </w:r>
      <w:r>
        <w:rPr>
          <w:rFonts w:ascii="Times New Roman" w:hAnsi="Times New Roman"/>
          <w:sz w:val="20"/>
          <w:szCs w:val="20"/>
        </w:rPr>
        <w:t xml:space="preserve"> n’ont plus de mari !</w:t>
      </w:r>
    </w:p>
    <w:p w14:paraId="2494181A"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Citoyens !</w:t>
      </w:r>
    </w:p>
    <w:p w14:paraId="606D65F9" w14:textId="77777777" w:rsidR="00800138" w:rsidRDefault="00800138" w:rsidP="00800138">
      <w:pPr>
        <w:spacing w:line="240" w:lineRule="auto"/>
        <w:rPr>
          <w:rFonts w:ascii="Times New Roman" w:hAnsi="Times New Roman"/>
          <w:sz w:val="20"/>
          <w:szCs w:val="20"/>
        </w:rPr>
      </w:pPr>
      <w:r w:rsidRPr="00F41B4C">
        <w:rPr>
          <w:rFonts w:ascii="Times New Roman" w:hAnsi="Times New Roman"/>
          <w:b/>
          <w:sz w:val="20"/>
          <w:szCs w:val="20"/>
        </w:rPr>
        <w:t>Les Hommes de la Guerre</w:t>
      </w:r>
      <w:r>
        <w:rPr>
          <w:rFonts w:ascii="Times New Roman" w:hAnsi="Times New Roman"/>
          <w:sz w:val="20"/>
          <w:szCs w:val="20"/>
        </w:rPr>
        <w:t xml:space="preserve"> veulent que LEUR VICTOIRE consacre l’ÉCRASEMENT DE LA GUERRE !</w:t>
      </w:r>
    </w:p>
    <w:p w14:paraId="5FEDFB10"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Ils veulent que l’</w:t>
      </w:r>
      <w:r>
        <w:rPr>
          <w:rFonts w:ascii="Times New Roman" w:hAnsi="Times New Roman"/>
          <w:b/>
          <w:sz w:val="20"/>
          <w:szCs w:val="20"/>
        </w:rPr>
        <w:t xml:space="preserve">Allemagne coupable paye la guerre </w:t>
      </w:r>
      <w:r w:rsidRPr="00F41B4C">
        <w:rPr>
          <w:rFonts w:ascii="Times New Roman" w:hAnsi="Times New Roman"/>
          <w:sz w:val="20"/>
          <w:szCs w:val="20"/>
        </w:rPr>
        <w:t>qu’elle a déchaînée !</w:t>
      </w:r>
    </w:p>
    <w:p w14:paraId="47C58D72"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Ils veulent que la </w:t>
      </w:r>
      <w:r w:rsidRPr="00F41B4C">
        <w:rPr>
          <w:rFonts w:ascii="Times New Roman" w:hAnsi="Times New Roman"/>
          <w:b/>
          <w:sz w:val="20"/>
          <w:szCs w:val="20"/>
        </w:rPr>
        <w:t>France victorieuse demeure la Patrie du Droit et le Soldat de la Paix</w:t>
      </w:r>
      <w:r>
        <w:rPr>
          <w:rFonts w:ascii="Times New Roman" w:hAnsi="Times New Roman"/>
          <w:sz w:val="20"/>
          <w:szCs w:val="20"/>
        </w:rPr>
        <w:t>.</w:t>
      </w:r>
    </w:p>
    <w:p w14:paraId="00D03931"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Ils veulent qu’à l’anarchie entre les peuples soit substitué le règne du droit entre les nations.</w:t>
      </w:r>
    </w:p>
    <w:p w14:paraId="4F2EBA0F" w14:textId="77777777" w:rsidR="00800138" w:rsidRDefault="00800138" w:rsidP="00800138">
      <w:pPr>
        <w:spacing w:line="240" w:lineRule="auto"/>
        <w:rPr>
          <w:rFonts w:ascii="Times New Roman" w:hAnsi="Times New Roman"/>
          <w:b/>
          <w:sz w:val="20"/>
          <w:szCs w:val="20"/>
        </w:rPr>
      </w:pPr>
      <w:r w:rsidRPr="00F41B4C">
        <w:rPr>
          <w:rFonts w:ascii="Times New Roman" w:hAnsi="Times New Roman"/>
          <w:b/>
          <w:sz w:val="20"/>
          <w:szCs w:val="20"/>
        </w:rPr>
        <w:t>Hommes de la Guerre</w:t>
      </w:r>
      <w:r>
        <w:rPr>
          <w:rFonts w:ascii="Times New Roman" w:hAnsi="Times New Roman"/>
          <w:sz w:val="20"/>
          <w:szCs w:val="20"/>
        </w:rPr>
        <w:t xml:space="preserve">, en mémoire des luttes géantes que nous avons soutenues ; au nom de </w:t>
      </w:r>
      <w:r w:rsidRPr="00F41B4C">
        <w:rPr>
          <w:rFonts w:ascii="Times New Roman" w:hAnsi="Times New Roman"/>
          <w:b/>
          <w:sz w:val="20"/>
          <w:szCs w:val="20"/>
        </w:rPr>
        <w:t>nos frères morts,</w:t>
      </w:r>
      <w:r>
        <w:rPr>
          <w:rFonts w:ascii="Times New Roman" w:hAnsi="Times New Roman"/>
          <w:b/>
          <w:sz w:val="20"/>
          <w:szCs w:val="20"/>
        </w:rPr>
        <w:t xml:space="preserve"> nous sommes les serviteurs pacifiques de la SOCIÉTÉS DES NATIONS.</w:t>
      </w:r>
    </w:p>
    <w:p w14:paraId="4EA4A033" w14:textId="77777777" w:rsidR="00800138" w:rsidRDefault="00800138" w:rsidP="00800138">
      <w:pPr>
        <w:spacing w:line="240" w:lineRule="auto"/>
        <w:rPr>
          <w:rFonts w:ascii="Times New Roman" w:hAnsi="Times New Roman"/>
          <w:sz w:val="20"/>
          <w:szCs w:val="20"/>
        </w:rPr>
      </w:pPr>
      <w:r w:rsidRPr="00F41B4C">
        <w:rPr>
          <w:rFonts w:ascii="Times New Roman" w:hAnsi="Times New Roman"/>
          <w:sz w:val="20"/>
          <w:szCs w:val="20"/>
        </w:rPr>
        <w:t>Citoyens !</w:t>
      </w:r>
    </w:p>
    <w:p w14:paraId="1CA2A629" w14:textId="77777777" w:rsidR="00800138" w:rsidRDefault="00800138" w:rsidP="00800138">
      <w:pPr>
        <w:spacing w:line="240" w:lineRule="auto"/>
        <w:rPr>
          <w:rFonts w:ascii="Times New Roman" w:hAnsi="Times New Roman"/>
          <w:b/>
          <w:sz w:val="20"/>
          <w:szCs w:val="20"/>
        </w:rPr>
      </w:pPr>
      <w:r>
        <w:rPr>
          <w:rFonts w:ascii="Times New Roman" w:hAnsi="Times New Roman"/>
          <w:sz w:val="20"/>
          <w:szCs w:val="20"/>
        </w:rPr>
        <w:t xml:space="preserve">Avec les </w:t>
      </w:r>
      <w:r w:rsidRPr="00F41B4C">
        <w:rPr>
          <w:rFonts w:ascii="Times New Roman" w:hAnsi="Times New Roman"/>
          <w:b/>
          <w:sz w:val="20"/>
          <w:szCs w:val="20"/>
        </w:rPr>
        <w:t>Hommes de la Guerre</w:t>
      </w:r>
      <w:r>
        <w:rPr>
          <w:rFonts w:ascii="Times New Roman" w:hAnsi="Times New Roman"/>
          <w:sz w:val="20"/>
          <w:szCs w:val="20"/>
        </w:rPr>
        <w:t xml:space="preserve">, soyez les </w:t>
      </w:r>
      <w:r>
        <w:rPr>
          <w:rFonts w:ascii="Times New Roman" w:hAnsi="Times New Roman"/>
          <w:b/>
          <w:sz w:val="20"/>
          <w:szCs w:val="20"/>
        </w:rPr>
        <w:t>Hommes de la Paix.</w:t>
      </w:r>
    </w:p>
    <w:p w14:paraId="26CD405F" w14:textId="77777777" w:rsidR="00800138" w:rsidRDefault="00800138" w:rsidP="00800138">
      <w:pPr>
        <w:spacing w:line="240" w:lineRule="auto"/>
        <w:rPr>
          <w:rFonts w:ascii="Times New Roman" w:hAnsi="Times New Roman"/>
          <w:sz w:val="20"/>
          <w:szCs w:val="20"/>
        </w:rPr>
      </w:pPr>
      <w:r>
        <w:rPr>
          <w:rFonts w:ascii="Times New Roman" w:hAnsi="Times New Roman"/>
          <w:b/>
          <w:sz w:val="20"/>
          <w:szCs w:val="20"/>
        </w:rPr>
        <w:t>Le 11 Novembre</w:t>
      </w:r>
      <w:r>
        <w:rPr>
          <w:rFonts w:ascii="Times New Roman" w:hAnsi="Times New Roman"/>
          <w:sz w:val="20"/>
          <w:szCs w:val="20"/>
        </w:rPr>
        <w:t xml:space="preserve">, jour de la </w:t>
      </w:r>
      <w:r w:rsidRPr="00F41B4C">
        <w:rPr>
          <w:rFonts w:ascii="Times New Roman" w:hAnsi="Times New Roman"/>
          <w:b/>
          <w:sz w:val="20"/>
          <w:szCs w:val="20"/>
        </w:rPr>
        <w:t>Victoire</w:t>
      </w:r>
      <w:r>
        <w:rPr>
          <w:rFonts w:ascii="Times New Roman" w:hAnsi="Times New Roman"/>
          <w:sz w:val="20"/>
          <w:szCs w:val="20"/>
        </w:rPr>
        <w:t xml:space="preserve">, jour de nos </w:t>
      </w:r>
      <w:r w:rsidRPr="00F41B4C">
        <w:rPr>
          <w:rFonts w:ascii="Times New Roman" w:hAnsi="Times New Roman"/>
          <w:b/>
          <w:sz w:val="20"/>
          <w:szCs w:val="20"/>
        </w:rPr>
        <w:t>souvenirs</w:t>
      </w:r>
      <w:r>
        <w:rPr>
          <w:rFonts w:ascii="Times New Roman" w:hAnsi="Times New Roman"/>
          <w:sz w:val="20"/>
          <w:szCs w:val="20"/>
        </w:rPr>
        <w:t xml:space="preserve">, jour de nos </w:t>
      </w:r>
      <w:r w:rsidRPr="00F41B4C">
        <w:rPr>
          <w:rFonts w:ascii="Times New Roman" w:hAnsi="Times New Roman"/>
          <w:b/>
          <w:sz w:val="20"/>
          <w:szCs w:val="20"/>
        </w:rPr>
        <w:t>deuils</w:t>
      </w:r>
      <w:r>
        <w:rPr>
          <w:rFonts w:ascii="Times New Roman" w:hAnsi="Times New Roman"/>
          <w:sz w:val="20"/>
          <w:szCs w:val="20"/>
        </w:rPr>
        <w:t xml:space="preserve">, jour de nos </w:t>
      </w:r>
      <w:r w:rsidRPr="00F41B4C">
        <w:rPr>
          <w:rFonts w:ascii="Times New Roman" w:hAnsi="Times New Roman"/>
          <w:b/>
          <w:sz w:val="20"/>
          <w:szCs w:val="20"/>
        </w:rPr>
        <w:t>espoirs</w:t>
      </w:r>
      <w:r>
        <w:rPr>
          <w:rFonts w:ascii="Times New Roman" w:hAnsi="Times New Roman"/>
          <w:sz w:val="20"/>
          <w:szCs w:val="20"/>
        </w:rPr>
        <w:t>, avec nous sachez vouloir d’un seul cœur :</w:t>
      </w:r>
    </w:p>
    <w:p w14:paraId="2B2B4F4F"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Liberté, Justice, Paix entre les citoyens !</w:t>
      </w:r>
    </w:p>
    <w:p w14:paraId="378E5886"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Justice pour la France !</w:t>
      </w:r>
    </w:p>
    <w:p w14:paraId="6AE6E9D0"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Paix dans le Monde ! »</w:t>
      </w:r>
    </w:p>
    <w:p w14:paraId="37A4C84C" w14:textId="77777777" w:rsidR="00800138" w:rsidRDefault="00800138" w:rsidP="00800138">
      <w:pPr>
        <w:spacing w:line="240" w:lineRule="auto"/>
        <w:rPr>
          <w:rFonts w:ascii="Times New Roman" w:hAnsi="Times New Roman"/>
          <w:sz w:val="20"/>
          <w:szCs w:val="20"/>
        </w:rPr>
      </w:pPr>
    </w:p>
    <w:p w14:paraId="47A4EFA3" w14:textId="77777777" w:rsidR="00800138" w:rsidRPr="00F41B4C" w:rsidRDefault="00800138" w:rsidP="00800138">
      <w:pPr>
        <w:spacing w:line="240" w:lineRule="auto"/>
        <w:rPr>
          <w:rFonts w:ascii="Times New Roman" w:hAnsi="Times New Roman"/>
          <w:sz w:val="20"/>
          <w:szCs w:val="20"/>
        </w:rPr>
      </w:pPr>
      <w:r w:rsidRPr="00982CEB">
        <w:rPr>
          <w:rFonts w:ascii="Times New Roman" w:hAnsi="Times New Roman"/>
          <w:i/>
          <w:sz w:val="20"/>
          <w:szCs w:val="20"/>
        </w:rPr>
        <w:t>La France mutilée</w:t>
      </w:r>
      <w:r>
        <w:rPr>
          <w:rFonts w:ascii="Times New Roman" w:hAnsi="Times New Roman"/>
          <w:sz w:val="20"/>
          <w:szCs w:val="20"/>
        </w:rPr>
        <w:t xml:space="preserve"> (hebdomadaire national de l’Union fédérale [la plus puissante organisation du mouvement combattant]), 29 octobre 1922.</w:t>
      </w:r>
    </w:p>
    <w:p w14:paraId="1D8A2CDD" w14:textId="77777777" w:rsidR="00800138" w:rsidRDefault="00800138" w:rsidP="00800138">
      <w:pPr>
        <w:spacing w:line="240" w:lineRule="auto"/>
        <w:rPr>
          <w:rFonts w:ascii="Times New Roman" w:hAnsi="Times New Roman"/>
          <w:sz w:val="20"/>
          <w:szCs w:val="20"/>
        </w:rPr>
      </w:pPr>
    </w:p>
    <w:p w14:paraId="58E7DC4C"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4.</w:t>
      </w:r>
    </w:p>
    <w:p w14:paraId="51FB2A6C" w14:textId="77777777" w:rsidR="00800138" w:rsidRDefault="00800138" w:rsidP="00800138">
      <w:pPr>
        <w:spacing w:line="240" w:lineRule="auto"/>
        <w:rPr>
          <w:rFonts w:ascii="Times New Roman" w:hAnsi="Times New Roman"/>
          <w:sz w:val="20"/>
          <w:szCs w:val="20"/>
        </w:rPr>
      </w:pPr>
    </w:p>
    <w:p w14:paraId="2B9750C5"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Lisez les programmes des fêtes du 11 novembre […].</w:t>
      </w:r>
    </w:p>
    <w:p w14:paraId="67025FBE"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Qu’y trouve-t-on huit fois sur dix ? Rien autre chose que des visites au cimetière, des défilés devant les monuments du souvenir, des dépôts de palmes sur les tombes…</w:t>
      </w:r>
    </w:p>
    <w:p w14:paraId="611FF57B"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Non, messieurs, non ! La fête du 11 novembre, ce n’est pas cela !</w:t>
      </w:r>
    </w:p>
    <w:p w14:paraId="22195A62"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La fête du 11 novembre, c’est un jour de liesse, d’orgueil national, de fête républicaine, l’anniversaire d’une heure fameuse où la France tint sous son genou, en 1918, le boche qui demandait grâce !...</w:t>
      </w:r>
    </w:p>
    <w:p w14:paraId="41AD2E41"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Vous nous faites du 11 novembre une fête des morts. Ce n’est pas cela.</w:t>
      </w:r>
    </w:p>
    <w:p w14:paraId="2BD4467C"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La fête des morts, c’est le 1</w:t>
      </w:r>
      <w:r w:rsidRPr="00982CEB">
        <w:rPr>
          <w:rFonts w:ascii="Times New Roman" w:hAnsi="Times New Roman"/>
          <w:sz w:val="20"/>
          <w:szCs w:val="20"/>
          <w:vertAlign w:val="superscript"/>
        </w:rPr>
        <w:t>er</w:t>
      </w:r>
      <w:r>
        <w:rPr>
          <w:rFonts w:ascii="Times New Roman" w:hAnsi="Times New Roman"/>
          <w:sz w:val="20"/>
          <w:szCs w:val="20"/>
        </w:rPr>
        <w:t xml:space="preserve"> novembre et, le 11 novembre, c’est la fête des vivants, des vainqueurs, c’est la fête de l’énergie et de l’héroïsme des enfants de notre sang. […]</w:t>
      </w:r>
    </w:p>
    <w:p w14:paraId="09A0D8D8"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Le 11 novembre, je voudrais voir éclater </w:t>
      </w:r>
      <w:r w:rsidRPr="00982CEB">
        <w:rPr>
          <w:rFonts w:ascii="Times New Roman" w:hAnsi="Times New Roman"/>
          <w:i/>
          <w:sz w:val="20"/>
          <w:szCs w:val="20"/>
        </w:rPr>
        <w:t>La Marseillaise</w:t>
      </w:r>
      <w:r>
        <w:rPr>
          <w:rFonts w:ascii="Times New Roman" w:hAnsi="Times New Roman"/>
          <w:sz w:val="20"/>
          <w:szCs w:val="20"/>
        </w:rPr>
        <w:t xml:space="preserve"> à tous nos carrefours ; je voudrais voir tous nos gosses sauter, exulter, acclamer Foch et Pétain ; je voudrais voir nos sociétés de gymnastique, de football et rugby en tenue de travail et nous montrant leur biceps ; je voudrais voir nos salles de théâtre ou de concerts crouler sous les vivats en l’honneur du Poilu.</w:t>
      </w:r>
    </w:p>
    <w:p w14:paraId="7AAB891E"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Le 11 novembre, c’est la fête de la Victoire, c’est la fête du cœur au ventre et du Poil (u) !</w:t>
      </w:r>
    </w:p>
    <w:p w14:paraId="21B83C03"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On chauffe une race, messieurs, on ne lui donne pas à respirer du chrysanthème pendant quinze jours. C’est dangereux et c’est trop. »</w:t>
      </w:r>
    </w:p>
    <w:p w14:paraId="33E2F929" w14:textId="77777777" w:rsidR="00800138" w:rsidRDefault="00800138" w:rsidP="00800138">
      <w:pPr>
        <w:spacing w:line="240" w:lineRule="auto"/>
        <w:rPr>
          <w:rFonts w:ascii="Times New Roman" w:hAnsi="Times New Roman"/>
          <w:sz w:val="20"/>
          <w:szCs w:val="20"/>
        </w:rPr>
      </w:pPr>
    </w:p>
    <w:p w14:paraId="257D6AF8" w14:textId="77777777" w:rsidR="00800138" w:rsidRDefault="00800138" w:rsidP="00800138">
      <w:pPr>
        <w:spacing w:line="240" w:lineRule="auto"/>
        <w:rPr>
          <w:rFonts w:ascii="Times New Roman" w:hAnsi="Times New Roman"/>
          <w:sz w:val="20"/>
          <w:szCs w:val="20"/>
        </w:rPr>
      </w:pPr>
      <w:r>
        <w:rPr>
          <w:rFonts w:ascii="Times New Roman" w:hAnsi="Times New Roman"/>
          <w:sz w:val="20"/>
          <w:szCs w:val="20"/>
        </w:rPr>
        <w:t xml:space="preserve">Sergent Tapin, </w:t>
      </w:r>
      <w:r w:rsidRPr="009A2519">
        <w:rPr>
          <w:rFonts w:ascii="Times New Roman" w:hAnsi="Times New Roman"/>
          <w:i/>
          <w:sz w:val="20"/>
          <w:szCs w:val="20"/>
        </w:rPr>
        <w:t xml:space="preserve">Congrès U.F. </w:t>
      </w:r>
      <w:r w:rsidRPr="009A2519">
        <w:rPr>
          <w:rFonts w:ascii="Times New Roman" w:hAnsi="Times New Roman"/>
          <w:sz w:val="20"/>
          <w:szCs w:val="20"/>
        </w:rPr>
        <w:t>[Union fédérale]</w:t>
      </w:r>
      <w:r w:rsidRPr="009A2519">
        <w:rPr>
          <w:rFonts w:ascii="Times New Roman" w:hAnsi="Times New Roman"/>
          <w:i/>
          <w:sz w:val="20"/>
          <w:szCs w:val="20"/>
        </w:rPr>
        <w:t xml:space="preserve"> 1922</w:t>
      </w:r>
      <w:r>
        <w:rPr>
          <w:rFonts w:ascii="Times New Roman" w:hAnsi="Times New Roman"/>
          <w:sz w:val="20"/>
          <w:szCs w:val="20"/>
        </w:rPr>
        <w:t>. Ancien instituteur, secrétaire de l’Office des mutilés de la Meuse, président de la Fédération meusienne.</w:t>
      </w:r>
    </w:p>
    <w:p w14:paraId="577D7419" w14:textId="77777777" w:rsidR="00800138" w:rsidRDefault="00800138" w:rsidP="00800138">
      <w:pPr>
        <w:spacing w:line="240" w:lineRule="auto"/>
        <w:rPr>
          <w:rFonts w:ascii="Times New Roman" w:hAnsi="Times New Roman"/>
          <w:sz w:val="20"/>
          <w:szCs w:val="20"/>
        </w:rPr>
      </w:pPr>
    </w:p>
    <w:p w14:paraId="02DBD248" w14:textId="77777777" w:rsidR="00826813" w:rsidRPr="00F05438" w:rsidRDefault="00800138" w:rsidP="00800138">
      <w:pPr>
        <w:spacing w:line="240" w:lineRule="auto"/>
        <w:rPr>
          <w:rFonts w:ascii="Times New Roman" w:hAnsi="Times New Roman"/>
          <w:sz w:val="20"/>
          <w:szCs w:val="20"/>
        </w:rPr>
      </w:pPr>
      <w:r>
        <w:rPr>
          <w:rFonts w:ascii="Times New Roman" w:hAnsi="Times New Roman"/>
          <w:sz w:val="20"/>
          <w:szCs w:val="20"/>
        </w:rPr>
        <w:t xml:space="preserve">Source : Antoine Prost, </w:t>
      </w:r>
      <w:r w:rsidRPr="009A2519">
        <w:rPr>
          <w:rFonts w:ascii="Times New Roman" w:hAnsi="Times New Roman"/>
          <w:i/>
          <w:sz w:val="20"/>
          <w:szCs w:val="20"/>
        </w:rPr>
        <w:t>Les anciens combattants, 1914-1940</w:t>
      </w:r>
      <w:r>
        <w:rPr>
          <w:rFonts w:ascii="Times New Roman" w:hAnsi="Times New Roman"/>
          <w:sz w:val="20"/>
          <w:szCs w:val="20"/>
        </w:rPr>
        <w:t>, Paris, Gallimard/Julliard, coll. « Archives », 1977, p. 98-107.</w:t>
      </w:r>
    </w:p>
    <w:p w14:paraId="461EB68C" w14:textId="77777777" w:rsidR="00D1640D" w:rsidRPr="001E77CA" w:rsidRDefault="00D1640D" w:rsidP="001E77CA">
      <w:pPr>
        <w:spacing w:line="240" w:lineRule="auto"/>
        <w:rPr>
          <w:rFonts w:ascii="Times New Roman" w:hAnsi="Times New Roman"/>
          <w:sz w:val="24"/>
        </w:rPr>
      </w:pPr>
    </w:p>
    <w:p w14:paraId="234E0104" w14:textId="77777777" w:rsidR="00D1640D" w:rsidRPr="001E77CA" w:rsidRDefault="00D1640D" w:rsidP="001E77CA">
      <w:pPr>
        <w:spacing w:line="360" w:lineRule="auto"/>
        <w:jc w:val="left"/>
        <w:rPr>
          <w:rFonts w:ascii="Times New Roman" w:hAnsi="Times New Roman"/>
          <w:sz w:val="24"/>
        </w:rPr>
      </w:pPr>
      <w:r w:rsidRPr="001E77CA">
        <w:rPr>
          <w:rFonts w:ascii="Times New Roman" w:hAnsi="Times New Roman"/>
          <w:sz w:val="24"/>
        </w:rPr>
        <w:br w:type="page"/>
      </w:r>
    </w:p>
    <w:p w14:paraId="0289AD01" w14:textId="77777777" w:rsidR="006D0F6C" w:rsidRPr="009A5695" w:rsidRDefault="006D0F6C" w:rsidP="006D0F6C">
      <w:pPr>
        <w:spacing w:line="240" w:lineRule="auto"/>
        <w:jc w:val="center"/>
        <w:rPr>
          <w:rFonts w:ascii="Times New Roman" w:hAnsi="Times New Roman"/>
          <w:b/>
          <w:sz w:val="20"/>
          <w:szCs w:val="20"/>
        </w:rPr>
      </w:pPr>
      <w:r w:rsidRPr="009A5695">
        <w:rPr>
          <w:rFonts w:ascii="Times New Roman" w:hAnsi="Times New Roman"/>
          <w:b/>
          <w:sz w:val="20"/>
          <w:szCs w:val="20"/>
        </w:rPr>
        <w:lastRenderedPageBreak/>
        <w:t xml:space="preserve">Un pupille de la Nation, </w:t>
      </w:r>
      <w:r w:rsidR="00496875">
        <w:rPr>
          <w:rFonts w:ascii="Times New Roman" w:hAnsi="Times New Roman"/>
          <w:b/>
          <w:sz w:val="20"/>
          <w:szCs w:val="20"/>
        </w:rPr>
        <w:t xml:space="preserve">le philosophe </w:t>
      </w:r>
      <w:r w:rsidRPr="009A5695">
        <w:rPr>
          <w:rFonts w:ascii="Times New Roman" w:hAnsi="Times New Roman"/>
          <w:b/>
          <w:sz w:val="20"/>
          <w:szCs w:val="20"/>
        </w:rPr>
        <w:t>Paul Ricœur (1913-2005)</w:t>
      </w:r>
    </w:p>
    <w:p w14:paraId="76BEBBD4" w14:textId="77777777" w:rsidR="006D0F6C" w:rsidRPr="009A5695" w:rsidRDefault="006D0F6C" w:rsidP="006D0F6C">
      <w:pPr>
        <w:spacing w:line="240" w:lineRule="auto"/>
        <w:rPr>
          <w:rFonts w:ascii="Times New Roman" w:hAnsi="Times New Roman"/>
          <w:sz w:val="20"/>
          <w:szCs w:val="20"/>
        </w:rPr>
      </w:pPr>
    </w:p>
    <w:p w14:paraId="0E38A444"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 Je suis né en 1913, à Valence, où mon père était professeur d’anglais. Le fait décisif de mon enfance est d’avoir été un pupille de la nation, c’est-à-dire le fils d’une victime de la Première Guerre mondiale, d’un père qui était déjà lui-même veuf de quelques mois quand il a été tué en septembre 1915, à la bataille de la Marne (</w:t>
      </w:r>
      <w:r w:rsidRPr="009A5695">
        <w:rPr>
          <w:rFonts w:ascii="Times New Roman" w:hAnsi="Times New Roman"/>
          <w:i/>
          <w:sz w:val="20"/>
          <w:szCs w:val="20"/>
        </w:rPr>
        <w:t>sic</w:t>
      </w:r>
      <w:r w:rsidRPr="009A5695">
        <w:rPr>
          <w:rFonts w:ascii="Times New Roman" w:hAnsi="Times New Roman"/>
          <w:sz w:val="20"/>
          <w:szCs w:val="20"/>
        </w:rPr>
        <w:t>).</w:t>
      </w:r>
    </w:p>
    <w:p w14:paraId="2E026CA4"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J’ai un souvenir dont je ne sais pas s’il est vraiment un souvenir ou s’il est reconstruit à partir de ce qu’on m’a raconté : le 11 novembre 1918 n’a pas été chez nous un jour de victoire et de joie. Je crois me rappeler avoir vu arriver des trains de soldats braillards et joyeux, alors que, à la maison, le deuil régnait. Parce que nous ne savions pas si mon père était effectivement mort : nous n’avions reçu qu’un avis de disparition. Ce n’est que beaucoup plus tard, en 1932, qu’on a retrouvé son corps en retournant un champ ; il a été reconnu par sa plaque. La guerre s’est ainsi achevée dans le deuil de mon père ; je n’ai donc pas le souvenir d’un armistice joyeux, encore moins celui d’une victoire.</w:t>
      </w:r>
    </w:p>
    <w:p w14:paraId="2E0EA24D"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 xml:space="preserve">J’ai une photographie de lui, prise durant son unique permission, au début de l’année 1915 ; ma sœur et moi sommes sur ses genoux. Depuis, cette image n’a plus bougé ; mais moi, j’ai vieilli et, peu à peu, j’ai dû me faire à l’idée d’un père plus jeune que moi, alors qu’au début j’avais celle d’un homme sans âge, situé au-dessus de moi. Il m’a fallu l’intégrer comme la figure d’un jeune homme que je dépasse dans la vie. Aujourd’hui encore, je n’arrive pas à négocier le rapport avec cette image, éternellement arrêtée à celle d’un jeune homme. C’est aussi ce que j’éprouve devant les monuments aux morts, devant les « À nos enfants », en me demandant : mais qui sont les enfants ? Bizarrement, le monument parle d’un enfant qui est mon père, à un autre enfant qui, lui, ne va pas cesser de vieillir. Je viens d’ailleurs de lire une réflexion semblable dans </w:t>
      </w:r>
      <w:r w:rsidRPr="009A5695">
        <w:rPr>
          <w:rFonts w:ascii="Times New Roman" w:hAnsi="Times New Roman"/>
          <w:i/>
          <w:sz w:val="20"/>
          <w:szCs w:val="20"/>
        </w:rPr>
        <w:t>Le Premier Homme</w:t>
      </w:r>
      <w:r w:rsidRPr="009A5695">
        <w:rPr>
          <w:rFonts w:ascii="Times New Roman" w:hAnsi="Times New Roman"/>
          <w:sz w:val="20"/>
          <w:szCs w:val="20"/>
        </w:rPr>
        <w:t xml:space="preserve"> de Camus.</w:t>
      </w:r>
    </w:p>
    <w:p w14:paraId="02752BD5"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Ce rapport à la figure de mon père a été très important à cause du renversement qu’il a subi dans les circonstances suivantes. Son image avait servi de moyen d’éducation d’une façon que je réprouve maintenant : on me répétait sans cesse : « Si ton père te voyait ! » Il fallait satisfaire à un regard absent, qui de plus, était celui d’un héros. Or j’ai subi, vers onze, douze ans, l’influence d’un homme – notre propriétaire, un catholique pacifiste de la tendance Marc Sangnier – qui m’a complètement retourné en m</w:t>
      </w:r>
      <w:r w:rsidR="002427D0">
        <w:rPr>
          <w:rFonts w:ascii="Times New Roman" w:hAnsi="Times New Roman"/>
          <w:sz w:val="20"/>
          <w:szCs w:val="20"/>
        </w:rPr>
        <w:t>e</w:t>
      </w:r>
      <w:r w:rsidRPr="009A5695">
        <w:rPr>
          <w:rFonts w:ascii="Times New Roman" w:hAnsi="Times New Roman"/>
          <w:sz w:val="20"/>
          <w:szCs w:val="20"/>
        </w:rPr>
        <w:t xml:space="preserve"> « démontrant » que, dans la « Grande Guerre », la France avait été l’agresseur, que la continuation des hostilités après Verdun avait été une ignominie, que le traité de Versailles était une honte dont l’Europe entière faisait les frais. Et c’est bien dans cette perspective que j’ai perçu la montée de l’hitlérisme. Cette image est restée très forte, et je n’ai pas entièrement abandonné l’idée que la France porte une responsabilité considérable à cet égard. À mes yeux, mon père était donc mort pour rien ; et, quand il a cessé d’être une figure de contrôle moral, il m’a fallu me débattre avec cette vision nouvelle de la guerre et de lui.</w:t>
      </w:r>
    </w:p>
    <w:p w14:paraId="641F4545"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[À la mort de mon père], nous avons été, ma sœur et moi, recueillis par nos grands-parents paternels et nous avons habité Rennes, où mon grand-père était fondé de pouvoir du trésorier général. J’ai ainsi été coupé d’une large partie de ma famille, principalement du côté maternel, savoyard et genevois. À cette situation d’orphelin et de pupille de la nation s’ajoutait donc celle d’une famille partiellement occultée. J’ai été très vite confronté presque uniquement à mes grands-parents paternels : j’avais, certes, une tante non mariée qui s’est consacrée à notre éducation, mais elle était elle-même sous la coupe de mes grands-parents jusqu’au décès de ma grand-mère, survenu quand j’ai atteint quatorze ans.</w:t>
      </w:r>
    </w:p>
    <w:p w14:paraId="1EB15F6F"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w:t>
      </w:r>
    </w:p>
    <w:p w14:paraId="15A6D701"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C’était la sœur de mon père, plus jeune que lui de onze ans : c’était une jeune fille lorsqu’elle nous a pris en charge, ma sœur et moi. Elle est morte en 1968 ; elle a vécu avec nous les dix dernières années de sa vie.</w:t>
      </w:r>
    </w:p>
    <w:p w14:paraId="3C930540"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J’ai donc passé mon enfance et ma prime adolescence dans un milieu familial âgé, où la lecture occupait une place dominante : peu de jeux, beaucoup de lectures, au point que l’école fut pour moi une récréation plus qu’une discipline. […]</w:t>
      </w:r>
    </w:p>
    <w:p w14:paraId="6F3D3174" w14:textId="77777777" w:rsidR="006D0F6C" w:rsidRPr="009A5695" w:rsidRDefault="006D0F6C" w:rsidP="006D0F6C">
      <w:pPr>
        <w:spacing w:line="240" w:lineRule="auto"/>
        <w:rPr>
          <w:rFonts w:ascii="Times New Roman" w:hAnsi="Times New Roman"/>
          <w:sz w:val="20"/>
          <w:szCs w:val="20"/>
        </w:rPr>
      </w:pPr>
      <w:r w:rsidRPr="009A5695">
        <w:rPr>
          <w:rFonts w:ascii="Times New Roman" w:hAnsi="Times New Roman"/>
          <w:sz w:val="20"/>
          <w:szCs w:val="20"/>
        </w:rPr>
        <w:t>L’erreur de gens comme moi a d’abord été de ne pas percevoir l’arrivée de la guerre puis, dès que nous avons su qu’elle se produirait, de la penser dans les catégories de la Première. On avait déjà condamné, à cause du traité de Versailles, les raisons d’adhérer patriotiquement à la Première Guerre ; le fait de présenter la Seconde comme un conflit entre nations sur un fond patriotique suscitait exactement le même rejet. Je pense, aujourd’hui, que cette extrapolation était fallacieuse dans la mesure où le second conflit résultait d’une conjonction tout à fait différente. […] Nous n’avons pas compris que la Seconde relevait d’une tout autre problématique, qu’elle résultait d’une montée en puissance des totalitarismes. »</w:t>
      </w:r>
    </w:p>
    <w:p w14:paraId="199F1ABE" w14:textId="77777777" w:rsidR="006D0F6C" w:rsidRPr="009A5695" w:rsidRDefault="006D0F6C" w:rsidP="006D0F6C">
      <w:pPr>
        <w:spacing w:line="240" w:lineRule="auto"/>
        <w:rPr>
          <w:rFonts w:ascii="Times New Roman" w:hAnsi="Times New Roman"/>
          <w:sz w:val="20"/>
          <w:szCs w:val="20"/>
        </w:rPr>
      </w:pPr>
    </w:p>
    <w:p w14:paraId="07D19835" w14:textId="77777777" w:rsidR="006D0F6C" w:rsidRDefault="006D0F6C" w:rsidP="006D0F6C">
      <w:pPr>
        <w:spacing w:line="240" w:lineRule="auto"/>
        <w:rPr>
          <w:rFonts w:ascii="Times New Roman" w:hAnsi="Times New Roman"/>
          <w:sz w:val="24"/>
        </w:rPr>
      </w:pPr>
      <w:r w:rsidRPr="009A5695">
        <w:rPr>
          <w:rFonts w:ascii="Times New Roman" w:hAnsi="Times New Roman"/>
          <w:sz w:val="20"/>
          <w:szCs w:val="20"/>
        </w:rPr>
        <w:t xml:space="preserve">Paul Ricœur, </w:t>
      </w:r>
      <w:r w:rsidRPr="009A5695">
        <w:rPr>
          <w:rFonts w:ascii="Times New Roman" w:hAnsi="Times New Roman"/>
          <w:i/>
          <w:sz w:val="20"/>
          <w:szCs w:val="20"/>
        </w:rPr>
        <w:t xml:space="preserve">La critique et la conviction. Entretien avec François </w:t>
      </w:r>
      <w:proofErr w:type="spellStart"/>
      <w:r w:rsidRPr="009A5695">
        <w:rPr>
          <w:rFonts w:ascii="Times New Roman" w:hAnsi="Times New Roman"/>
          <w:i/>
          <w:sz w:val="20"/>
          <w:szCs w:val="20"/>
        </w:rPr>
        <w:t>Azouvi</w:t>
      </w:r>
      <w:proofErr w:type="spellEnd"/>
      <w:r w:rsidRPr="009A5695">
        <w:rPr>
          <w:rFonts w:ascii="Times New Roman" w:hAnsi="Times New Roman"/>
          <w:i/>
          <w:sz w:val="20"/>
          <w:szCs w:val="20"/>
        </w:rPr>
        <w:t xml:space="preserve"> et Marc de Launay</w:t>
      </w:r>
      <w:r w:rsidRPr="009A5695">
        <w:rPr>
          <w:rFonts w:ascii="Times New Roman" w:hAnsi="Times New Roman"/>
          <w:sz w:val="20"/>
          <w:szCs w:val="20"/>
        </w:rPr>
        <w:t>, Paris, Calmann-Lévy, 1995.</w:t>
      </w:r>
    </w:p>
    <w:p w14:paraId="0EC8F10A" w14:textId="77777777" w:rsidR="00347144" w:rsidRDefault="00347144" w:rsidP="001E77CA">
      <w:pPr>
        <w:spacing w:line="240" w:lineRule="auto"/>
        <w:rPr>
          <w:rFonts w:ascii="Times New Roman" w:hAnsi="Times New Roman"/>
          <w:sz w:val="20"/>
          <w:szCs w:val="20"/>
        </w:rPr>
      </w:pPr>
    </w:p>
    <w:p w14:paraId="4DD3C08F" w14:textId="77777777" w:rsidR="00347144" w:rsidRDefault="00347144">
      <w:pPr>
        <w:spacing w:line="240" w:lineRule="auto"/>
        <w:jc w:val="left"/>
        <w:rPr>
          <w:rFonts w:ascii="Times New Roman" w:hAnsi="Times New Roman"/>
          <w:sz w:val="20"/>
          <w:szCs w:val="20"/>
        </w:rPr>
      </w:pPr>
      <w:r>
        <w:rPr>
          <w:rFonts w:ascii="Times New Roman" w:hAnsi="Times New Roman"/>
          <w:sz w:val="20"/>
          <w:szCs w:val="20"/>
        </w:rPr>
        <w:br w:type="page"/>
      </w:r>
    </w:p>
    <w:p w14:paraId="4F8F0311" w14:textId="77777777" w:rsidR="00347144" w:rsidRPr="00347144" w:rsidRDefault="00347144" w:rsidP="00347144">
      <w:pPr>
        <w:spacing w:line="240" w:lineRule="auto"/>
        <w:jc w:val="center"/>
        <w:rPr>
          <w:rFonts w:ascii="Times New Roman" w:hAnsi="Times New Roman"/>
          <w:b/>
          <w:sz w:val="20"/>
          <w:szCs w:val="20"/>
        </w:rPr>
      </w:pPr>
      <w:r w:rsidRPr="00347144">
        <w:rPr>
          <w:rFonts w:ascii="Times New Roman" w:hAnsi="Times New Roman"/>
          <w:b/>
          <w:sz w:val="20"/>
          <w:szCs w:val="20"/>
        </w:rPr>
        <w:lastRenderedPageBreak/>
        <w:t>Les attitudes devant la mort dans les paroisses françaises en 1944</w:t>
      </w:r>
    </w:p>
    <w:p w14:paraId="3C758A34" w14:textId="77777777" w:rsidR="00347144" w:rsidRPr="00347144" w:rsidRDefault="00347144" w:rsidP="00347144">
      <w:pPr>
        <w:spacing w:line="240" w:lineRule="auto"/>
        <w:rPr>
          <w:rFonts w:ascii="Times New Roman" w:hAnsi="Times New Roman"/>
          <w:sz w:val="20"/>
          <w:szCs w:val="20"/>
        </w:rPr>
      </w:pPr>
    </w:p>
    <w:p w14:paraId="0443BD5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Paroisse des </w:t>
      </w:r>
      <w:proofErr w:type="spellStart"/>
      <w:r w:rsidRPr="00347144">
        <w:rPr>
          <w:rFonts w:ascii="Times New Roman" w:hAnsi="Times New Roman"/>
          <w:sz w:val="20"/>
          <w:szCs w:val="20"/>
        </w:rPr>
        <w:t>Fourgs</w:t>
      </w:r>
      <w:proofErr w:type="spellEnd"/>
      <w:r w:rsidRPr="00347144">
        <w:rPr>
          <w:rFonts w:ascii="Times New Roman" w:hAnsi="Times New Roman"/>
          <w:sz w:val="20"/>
          <w:szCs w:val="20"/>
        </w:rPr>
        <w:t xml:space="preserve"> (Doubs, diocèse de Besançon), près de la frontière suisse.</w:t>
      </w:r>
    </w:p>
    <w:p w14:paraId="35C475C6"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Devant la mort, en général on se prépare bien, même chez les indifférents. Une vieille femme n’a pas pratiqué depuis plus de 20 ans, elle a une maladie qui l’inquiète, elle envoie chercher Mr le curé auquel elle recommande avec insistance de revenir et de ne pas la laisser partir sans sacrements. »</w:t>
      </w:r>
    </w:p>
    <w:p w14:paraId="4CE6F05D" w14:textId="77777777" w:rsidR="00347144" w:rsidRPr="00347144" w:rsidRDefault="00347144" w:rsidP="00347144">
      <w:pPr>
        <w:spacing w:line="240" w:lineRule="auto"/>
        <w:rPr>
          <w:rFonts w:ascii="Times New Roman" w:hAnsi="Times New Roman"/>
          <w:sz w:val="20"/>
          <w:szCs w:val="20"/>
        </w:rPr>
      </w:pPr>
    </w:p>
    <w:p w14:paraId="52A00BE8"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des Gets (diocèse d’Annecy) en avril 1944.</w:t>
      </w:r>
    </w:p>
    <w:p w14:paraId="60F5A13D"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En général, la manifestation extérieure de la peine causée par la disparition d’un être aimé ne dure guère et sans aucun doute est-ce ainsi au fond des cœurs. Il y a à la fois résignation chrétienne calme et indifférence. On fait dire beaucoup de messes pour les défunts. On en fait dire pour environ 30 000 francs par an. Les tombes des défunts ne sont guère entretenues mais on prie sur les tombes le dimanche. »</w:t>
      </w:r>
    </w:p>
    <w:p w14:paraId="4A3798D2" w14:textId="77777777" w:rsidR="00347144" w:rsidRPr="00347144" w:rsidRDefault="00347144" w:rsidP="00347144">
      <w:pPr>
        <w:spacing w:line="240" w:lineRule="auto"/>
        <w:rPr>
          <w:rFonts w:ascii="Times New Roman" w:hAnsi="Times New Roman"/>
          <w:sz w:val="20"/>
          <w:szCs w:val="20"/>
        </w:rPr>
      </w:pPr>
    </w:p>
    <w:p w14:paraId="51EE8D3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Rognonas (diocèse d’Aix-en-Provence) en mai 1944.</w:t>
      </w:r>
    </w:p>
    <w:p w14:paraId="47ABC05C"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L’attitude devant la mort est très chrétienne : j’ai souvent assisté à des scènes émouvantes ou l’aïeul réunit autour de son lit de mort toute sa famille pour lui recommander d’être fidèle aux traditions chrétiennes. Les vieux parents sont généralement bien traités. Culte des morts : pour chaque mort, on fait célébrer la messe à l’enterrement, un service de huitaine, de 3 mois, de 6 mois, de 9 mois, d’un an, de 18 mois, de 2 ans et de 3 ans. »</w:t>
      </w:r>
    </w:p>
    <w:p w14:paraId="22FF534E" w14:textId="77777777" w:rsidR="00347144" w:rsidRPr="00347144" w:rsidRDefault="00347144" w:rsidP="00347144">
      <w:pPr>
        <w:spacing w:line="240" w:lineRule="auto"/>
        <w:rPr>
          <w:rFonts w:ascii="Times New Roman" w:hAnsi="Times New Roman"/>
          <w:sz w:val="20"/>
          <w:szCs w:val="20"/>
        </w:rPr>
      </w:pPr>
    </w:p>
    <w:p w14:paraId="382B8E8F"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Sornac (diocèse de Tulle) en 1943.</w:t>
      </w:r>
    </w:p>
    <w:p w14:paraId="7A08D8C4"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Baptêmes, communion, mariage, sépulture, sont bien, pour le grand nombre, les seuls actes religieux. A noter que les amis et voisins des défunts assistent en grand nombre à la cérémonie, encore que les hommes, à quelques exceptions près, n’entrent pas à l’église. Partout, dans les villages comme au bourg, la maison mortuaire se remplit le soir pour la prière auprès du défunt. On ne manque jamais de faire célébrer les services de 8</w:t>
      </w:r>
      <w:r w:rsidRPr="00347144">
        <w:rPr>
          <w:rFonts w:ascii="Times New Roman" w:hAnsi="Times New Roman"/>
          <w:sz w:val="20"/>
          <w:szCs w:val="20"/>
          <w:vertAlign w:val="superscript"/>
        </w:rPr>
        <w:t>e</w:t>
      </w:r>
      <w:r w:rsidRPr="00347144">
        <w:rPr>
          <w:rFonts w:ascii="Times New Roman" w:hAnsi="Times New Roman"/>
          <w:sz w:val="20"/>
          <w:szCs w:val="20"/>
        </w:rPr>
        <w:t>, 15</w:t>
      </w:r>
      <w:r w:rsidRPr="00347144">
        <w:rPr>
          <w:rFonts w:ascii="Times New Roman" w:hAnsi="Times New Roman"/>
          <w:sz w:val="20"/>
          <w:szCs w:val="20"/>
          <w:vertAlign w:val="superscript"/>
        </w:rPr>
        <w:t>e</w:t>
      </w:r>
      <w:r w:rsidRPr="00347144">
        <w:rPr>
          <w:rFonts w:ascii="Times New Roman" w:hAnsi="Times New Roman"/>
          <w:sz w:val="20"/>
          <w:szCs w:val="20"/>
        </w:rPr>
        <w:t xml:space="preserve"> et 40</w:t>
      </w:r>
      <w:r w:rsidRPr="00347144">
        <w:rPr>
          <w:rFonts w:ascii="Times New Roman" w:hAnsi="Times New Roman"/>
          <w:sz w:val="20"/>
          <w:szCs w:val="20"/>
          <w:vertAlign w:val="superscript"/>
        </w:rPr>
        <w:t>e</w:t>
      </w:r>
      <w:r w:rsidRPr="00347144">
        <w:rPr>
          <w:rFonts w:ascii="Times New Roman" w:hAnsi="Times New Roman"/>
          <w:sz w:val="20"/>
          <w:szCs w:val="20"/>
        </w:rPr>
        <w:t xml:space="preserve"> ainsi que le service anniversaire : mais ce sont ordinairement les seuls. Une trentaine de familles font dire quelques messes ou quelques services au cours de l’année. Depuis 15 ans, j’ai dit 7 annuaires. »</w:t>
      </w:r>
    </w:p>
    <w:p w14:paraId="4070C8B8"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 Une bonne personne indifférente, mais point hostile, ne me permet pas de me présenter au chevet de son père gravement malade, parce que “ça le frapperait”. Et elle ajoute : “je vous préviendrai quand il aura perdu connaissance”. Un brave homme, qui avait “gagné la mission” en 1939 est mort sans sacrement parce que sa fille, pourtant </w:t>
      </w:r>
      <w:proofErr w:type="spellStart"/>
      <w:r w:rsidRPr="00347144">
        <w:rPr>
          <w:rFonts w:ascii="Times New Roman" w:hAnsi="Times New Roman"/>
          <w:sz w:val="20"/>
          <w:szCs w:val="20"/>
        </w:rPr>
        <w:t>dizainière</w:t>
      </w:r>
      <w:proofErr w:type="spellEnd"/>
      <w:r w:rsidRPr="00347144">
        <w:rPr>
          <w:rFonts w:ascii="Times New Roman" w:hAnsi="Times New Roman"/>
          <w:sz w:val="20"/>
          <w:szCs w:val="20"/>
        </w:rPr>
        <w:t>, ne m’a pas prévenu de crainte que ma visite impressionnât son père. […]La résistance à la grâce conduit à l’impénitence finale. »</w:t>
      </w:r>
    </w:p>
    <w:p w14:paraId="41D11BE0" w14:textId="77777777" w:rsidR="00347144" w:rsidRPr="00347144" w:rsidRDefault="00347144" w:rsidP="00347144">
      <w:pPr>
        <w:spacing w:line="240" w:lineRule="auto"/>
        <w:rPr>
          <w:rFonts w:ascii="Times New Roman" w:hAnsi="Times New Roman"/>
          <w:sz w:val="20"/>
          <w:szCs w:val="20"/>
        </w:rPr>
      </w:pPr>
    </w:p>
    <w:p w14:paraId="0E2742D6"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Cerisiers (diocèse de Sens), de la Mission de France, 23 mai 1944.</w:t>
      </w:r>
    </w:p>
    <w:p w14:paraId="133BB2C8"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Je crois que l’ensemble du pays est totalement fermé à l’idée d’une autre vie. Tous les jugements entendus jusqu’ici à l’occasion des décès le confirment. Après la mort on relègue le défunt dans une pièce et la vie de la ferme continue normalement jusqu’à l’heure de l’enterrement. Nulle part on ne veille les morts. L’enterrement est une occasion de rendre hommage à la mémoire du défunt ou pour la famille d’étaler “ce qu’elle a” et de mesurer la sympathie, l’estime dont elle jouit dans le pays. […] Attitude devant la mort : sérénité imperturbable. Aucune question ne se pose. »</w:t>
      </w:r>
    </w:p>
    <w:p w14:paraId="74466E7B" w14:textId="77777777" w:rsidR="00347144" w:rsidRPr="00347144" w:rsidRDefault="00347144" w:rsidP="00347144">
      <w:pPr>
        <w:spacing w:line="240" w:lineRule="auto"/>
        <w:rPr>
          <w:rFonts w:ascii="Times New Roman" w:hAnsi="Times New Roman"/>
          <w:sz w:val="20"/>
          <w:szCs w:val="20"/>
        </w:rPr>
      </w:pPr>
    </w:p>
    <w:p w14:paraId="4D095DF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d’Essé (diocèse de Rennes) en mars 1944.</w:t>
      </w:r>
    </w:p>
    <w:p w14:paraId="7B67B61B"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Attitude devant la mort : en général très chrétienne. J’ai rarement vu spectacle plus édifiant que celui de chaque soirée du 1</w:t>
      </w:r>
      <w:r w:rsidRPr="00347144">
        <w:rPr>
          <w:rFonts w:ascii="Times New Roman" w:hAnsi="Times New Roman"/>
          <w:sz w:val="20"/>
          <w:szCs w:val="20"/>
          <w:vertAlign w:val="superscript"/>
        </w:rPr>
        <w:t>er</w:t>
      </w:r>
      <w:r w:rsidRPr="00347144">
        <w:rPr>
          <w:rFonts w:ascii="Times New Roman" w:hAnsi="Times New Roman"/>
          <w:sz w:val="20"/>
          <w:szCs w:val="20"/>
        </w:rPr>
        <w:t xml:space="preserve"> Novembre : chaque famille, à peu près au complet, priant devant la tombe familiale pendant la cérémonie au cimetière. »</w:t>
      </w:r>
    </w:p>
    <w:p w14:paraId="54C22C08" w14:textId="77777777" w:rsidR="00347144" w:rsidRPr="00347144" w:rsidRDefault="00347144" w:rsidP="00347144">
      <w:pPr>
        <w:spacing w:line="240" w:lineRule="auto"/>
        <w:rPr>
          <w:rFonts w:ascii="Times New Roman" w:hAnsi="Times New Roman"/>
          <w:sz w:val="20"/>
          <w:szCs w:val="20"/>
        </w:rPr>
      </w:pPr>
    </w:p>
    <w:p w14:paraId="3820236C"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Brie (diocèse de Rennes) en avril 1944.</w:t>
      </w:r>
    </w:p>
    <w:p w14:paraId="43FBAB05"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L’attitude du mourant devant la mort est presque toujours chrétienne, quand le prêtre a le temps de le visiter plusieurs fois. Même chez ceux qui ont négligé la pratique religieuse, la foi de leur enfance se réveille ; ils acceptent assez facilement les derniers sacrements, les reçoivent avec piété. Il y a cependant des exceptions et l’adage “on meurt comme on a vécu” se réalise au moins de temps en temps. »</w:t>
      </w:r>
    </w:p>
    <w:p w14:paraId="28DCAEEB"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 L’attitude devant la mort n’est pas toujours chrétienne. Les visites au domicile mortuaire se font encore, mais souvent sans prière. Certains hommes donnent une poigné de main et se contentent de trinquer en buvant une bolée de cidre offerte par la famille du défunt. Le jour de l’enterrement on bavarde facilement durant le trajet de la maison à l’église. Les porteurs sortent de l’église, s’en vont à l’auberge et restent soit jusqu’au </w:t>
      </w:r>
      <w:r w:rsidRPr="00347144">
        <w:rPr>
          <w:rFonts w:ascii="Times New Roman" w:hAnsi="Times New Roman"/>
          <w:i/>
          <w:sz w:val="20"/>
          <w:szCs w:val="20"/>
        </w:rPr>
        <w:t>Dies irae</w:t>
      </w:r>
      <w:r w:rsidRPr="00347144">
        <w:rPr>
          <w:rFonts w:ascii="Times New Roman" w:hAnsi="Times New Roman"/>
          <w:sz w:val="20"/>
          <w:szCs w:val="20"/>
        </w:rPr>
        <w:t>, soit même jusqu’à la fin de la messe. Un repas copieux les réunit après la cérémonie. En un mot le respect de la mort diminue peu à peu. »</w:t>
      </w:r>
    </w:p>
    <w:p w14:paraId="352F2784" w14:textId="77777777" w:rsidR="00347144" w:rsidRPr="00347144" w:rsidRDefault="00347144" w:rsidP="00347144">
      <w:pPr>
        <w:spacing w:line="240" w:lineRule="auto"/>
        <w:rPr>
          <w:rFonts w:ascii="Times New Roman" w:hAnsi="Times New Roman"/>
          <w:sz w:val="20"/>
          <w:szCs w:val="20"/>
        </w:rPr>
      </w:pPr>
    </w:p>
    <w:p w14:paraId="6D0BCAF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Montauban-de-Bretagne (diocèse de Rennes), chef-lieu de canton, 1944.</w:t>
      </w:r>
    </w:p>
    <w:p w14:paraId="78775C85"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lastRenderedPageBreak/>
        <w:t>« Attitude devant la mort : peur générale. Souci d’“avoir ses sacrements” et de les assurer aux siens. Cependant une certaine baisse commençante par peur d’effrayer le malade. “Surtout dites que vous êtes en train de passer pour le denier du culte.” »</w:t>
      </w:r>
    </w:p>
    <w:p w14:paraId="16254A0A" w14:textId="77777777" w:rsidR="00347144" w:rsidRPr="00347144" w:rsidRDefault="00347144" w:rsidP="00347144">
      <w:pPr>
        <w:spacing w:line="240" w:lineRule="auto"/>
        <w:rPr>
          <w:rFonts w:ascii="Times New Roman" w:hAnsi="Times New Roman"/>
          <w:sz w:val="20"/>
          <w:szCs w:val="20"/>
        </w:rPr>
      </w:pPr>
    </w:p>
    <w:p w14:paraId="2F960E84"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Sorcy-Bauthémont dans les Ardennes (diocèse de Reims), 1944.</w:t>
      </w:r>
    </w:p>
    <w:p w14:paraId="2AB7B03A"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Aujourd’hui l’anticléricalisme paraît avoir bien perdu de sa force. Il y a toujours des enterrements civils […] mais ils ne revêtent plus la forme d’une démonstration anticléricale. »</w:t>
      </w:r>
    </w:p>
    <w:p w14:paraId="63F0657A" w14:textId="77777777" w:rsidR="00347144" w:rsidRPr="00347144" w:rsidRDefault="00347144" w:rsidP="00347144">
      <w:pPr>
        <w:spacing w:line="240" w:lineRule="auto"/>
        <w:rPr>
          <w:rFonts w:ascii="Times New Roman" w:hAnsi="Times New Roman"/>
          <w:sz w:val="20"/>
          <w:szCs w:val="20"/>
        </w:rPr>
      </w:pPr>
    </w:p>
    <w:p w14:paraId="1871F34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Givry-sur-Aisne dans les Ardennes (diocèse de Reims), août 1944.</w:t>
      </w:r>
    </w:p>
    <w:p w14:paraId="668FC615"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que demeure-t-il ?</w:t>
      </w:r>
    </w:p>
    <w:p w14:paraId="34AF1029"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a) Une </w:t>
      </w:r>
      <w:r w:rsidRPr="00347144">
        <w:rPr>
          <w:rFonts w:ascii="Times New Roman" w:hAnsi="Times New Roman"/>
          <w:sz w:val="20"/>
          <w:szCs w:val="20"/>
          <w:u w:val="single"/>
        </w:rPr>
        <w:t>foi endormie</w:t>
      </w:r>
      <w:r w:rsidRPr="00347144">
        <w:rPr>
          <w:rFonts w:ascii="Times New Roman" w:hAnsi="Times New Roman"/>
          <w:sz w:val="20"/>
          <w:szCs w:val="20"/>
        </w:rPr>
        <w:t xml:space="preserve"> qui […] se réveille à la mort et se traduit par les actes religieux traditionnels : baptêmes, mariages, etc.</w:t>
      </w:r>
    </w:p>
    <w:p w14:paraId="3B0BCA6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b) Le </w:t>
      </w:r>
      <w:r w:rsidRPr="00347144">
        <w:rPr>
          <w:rFonts w:ascii="Times New Roman" w:hAnsi="Times New Roman"/>
          <w:sz w:val="20"/>
          <w:szCs w:val="20"/>
          <w:u w:val="single"/>
        </w:rPr>
        <w:t>culte des morts</w:t>
      </w:r>
      <w:r w:rsidRPr="00347144">
        <w:rPr>
          <w:rFonts w:ascii="Times New Roman" w:hAnsi="Times New Roman"/>
          <w:sz w:val="20"/>
          <w:szCs w:val="20"/>
        </w:rPr>
        <w:t>, général chez les femmes, plus ou moins étendu chez les hommes, selon les paroisses.</w:t>
      </w:r>
    </w:p>
    <w:p w14:paraId="4E601B78"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c) Le sens de « </w:t>
      </w:r>
      <w:r w:rsidRPr="00347144">
        <w:rPr>
          <w:rFonts w:ascii="Times New Roman" w:hAnsi="Times New Roman"/>
          <w:sz w:val="20"/>
          <w:szCs w:val="20"/>
          <w:u w:val="single"/>
        </w:rPr>
        <w:t>l’honneur</w:t>
      </w:r>
      <w:r w:rsidRPr="00347144">
        <w:rPr>
          <w:rFonts w:ascii="Times New Roman" w:hAnsi="Times New Roman"/>
          <w:sz w:val="20"/>
          <w:szCs w:val="20"/>
        </w:rPr>
        <w:t xml:space="preserve"> », forme de la </w:t>
      </w:r>
      <w:r w:rsidRPr="00347144">
        <w:rPr>
          <w:rFonts w:ascii="Times New Roman" w:hAnsi="Times New Roman"/>
          <w:sz w:val="20"/>
          <w:szCs w:val="20"/>
          <w:u w:val="single"/>
        </w:rPr>
        <w:t>civilité</w:t>
      </w:r>
      <w:r w:rsidRPr="00347144">
        <w:rPr>
          <w:rFonts w:ascii="Times New Roman" w:hAnsi="Times New Roman"/>
          <w:sz w:val="20"/>
          <w:szCs w:val="20"/>
        </w:rPr>
        <w:t xml:space="preserve"> : on va à l’offrande aux messes des défunts, de mariage. On y retourne le dimanche suivant. Si le curé supprime l’offrande volontairement ou non, on y est sensible. On va à la messe (même aux enterrements chez certains) jusqu’à l’offrande, ou pour l’offrande seulement. Le reste du temps, on retourne chez soi, ou on reste devant l’église. Forme aussi de la </w:t>
      </w:r>
      <w:r w:rsidRPr="00347144">
        <w:rPr>
          <w:rFonts w:ascii="Times New Roman" w:hAnsi="Times New Roman"/>
          <w:sz w:val="20"/>
          <w:szCs w:val="20"/>
          <w:u w:val="single"/>
        </w:rPr>
        <w:t>reconnaissance</w:t>
      </w:r>
      <w:r w:rsidRPr="00347144">
        <w:rPr>
          <w:rFonts w:ascii="Times New Roman" w:hAnsi="Times New Roman"/>
          <w:sz w:val="20"/>
          <w:szCs w:val="20"/>
        </w:rPr>
        <w:t> : « Un tel est venu à l’enterrement de ma mère, je dois aller aux obsèques de la sienne » (même aux obsèques civiles). Forme enfin de l’</w:t>
      </w:r>
      <w:r w:rsidRPr="00347144">
        <w:rPr>
          <w:rFonts w:ascii="Times New Roman" w:hAnsi="Times New Roman"/>
          <w:sz w:val="20"/>
          <w:szCs w:val="20"/>
          <w:u w:val="single"/>
        </w:rPr>
        <w:t>intérêt</w:t>
      </w:r>
      <w:r w:rsidRPr="00347144">
        <w:rPr>
          <w:rFonts w:ascii="Times New Roman" w:hAnsi="Times New Roman"/>
          <w:sz w:val="20"/>
          <w:szCs w:val="20"/>
        </w:rPr>
        <w:t> : on va faire honneur pour être sûr d’avoir du monde à son propre enterrement (chez certains).</w:t>
      </w:r>
    </w:p>
    <w:p w14:paraId="580AACD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d) Le sens de la </w:t>
      </w:r>
      <w:r w:rsidRPr="00347144">
        <w:rPr>
          <w:rFonts w:ascii="Times New Roman" w:hAnsi="Times New Roman"/>
          <w:sz w:val="20"/>
          <w:szCs w:val="20"/>
          <w:u w:val="single"/>
        </w:rPr>
        <w:t>tradition</w:t>
      </w:r>
      <w:r w:rsidRPr="00347144">
        <w:rPr>
          <w:rFonts w:ascii="Times New Roman" w:hAnsi="Times New Roman"/>
          <w:sz w:val="20"/>
          <w:szCs w:val="20"/>
        </w:rPr>
        <w:t xml:space="preserve"> : tel cet homme droit qui sur son lit de mort fit promettre à son curé qu’il relèverait le dernier Calvaire de la commune non encore relevé par les </w:t>
      </w:r>
      <w:proofErr w:type="spellStart"/>
      <w:r w:rsidRPr="00347144">
        <w:rPr>
          <w:rFonts w:ascii="Times New Roman" w:hAnsi="Times New Roman"/>
          <w:sz w:val="20"/>
          <w:szCs w:val="20"/>
        </w:rPr>
        <w:t>préjacistes</w:t>
      </w:r>
      <w:proofErr w:type="spellEnd"/>
      <w:r w:rsidRPr="00347144">
        <w:rPr>
          <w:rFonts w:ascii="Times New Roman" w:hAnsi="Times New Roman"/>
          <w:sz w:val="20"/>
          <w:szCs w:val="20"/>
        </w:rPr>
        <w:t>.</w:t>
      </w:r>
    </w:p>
    <w:p w14:paraId="2C94F98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e) Une pratique de la </w:t>
      </w:r>
      <w:r w:rsidRPr="00347144">
        <w:rPr>
          <w:rFonts w:ascii="Times New Roman" w:hAnsi="Times New Roman"/>
          <w:sz w:val="20"/>
          <w:szCs w:val="20"/>
          <w:u w:val="single"/>
        </w:rPr>
        <w:t>morale</w:t>
      </w:r>
      <w:r w:rsidRPr="00347144">
        <w:rPr>
          <w:rFonts w:ascii="Times New Roman" w:hAnsi="Times New Roman"/>
          <w:sz w:val="20"/>
          <w:szCs w:val="20"/>
        </w:rPr>
        <w:t xml:space="preserve"> aussi diverse que celle de la foi agissante. »</w:t>
      </w:r>
    </w:p>
    <w:p w14:paraId="6A34EEC7" w14:textId="77777777" w:rsidR="00347144" w:rsidRPr="00347144" w:rsidRDefault="00347144" w:rsidP="00347144">
      <w:pPr>
        <w:spacing w:line="240" w:lineRule="auto"/>
        <w:rPr>
          <w:rFonts w:ascii="Times New Roman" w:hAnsi="Times New Roman"/>
          <w:sz w:val="20"/>
          <w:szCs w:val="20"/>
        </w:rPr>
      </w:pPr>
    </w:p>
    <w:p w14:paraId="0BB9407B"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Paroisse de Le </w:t>
      </w:r>
      <w:proofErr w:type="spellStart"/>
      <w:r w:rsidRPr="00347144">
        <w:rPr>
          <w:rFonts w:ascii="Times New Roman" w:hAnsi="Times New Roman"/>
          <w:sz w:val="20"/>
          <w:szCs w:val="20"/>
        </w:rPr>
        <w:t>Tallud</w:t>
      </w:r>
      <w:proofErr w:type="spellEnd"/>
      <w:r w:rsidRPr="00347144">
        <w:rPr>
          <w:rFonts w:ascii="Times New Roman" w:hAnsi="Times New Roman"/>
          <w:sz w:val="20"/>
          <w:szCs w:val="20"/>
        </w:rPr>
        <w:t xml:space="preserve"> (Deux-Sèvres, diocèse de Poitiers), 1944.</w:t>
      </w:r>
    </w:p>
    <w:p w14:paraId="5CEB6FA5"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Ils ont le culte de leurs défunts, entretiennent bien leurs tombes et font célébrer des messes. Ils assistent bien aux enterrements. La plupart viennent à l’église mais cependant il y a bien des hommes qui n’entrent pas. Lorsqu’il y a un décès dans une famille, les voisins viennent faire le chapelet le soir devant la couche funèbre. Ils passent volontiers la nuit pour veiller auprès du défunt. Ces habitudes se conservent bien ».</w:t>
      </w:r>
    </w:p>
    <w:p w14:paraId="4F26F94A" w14:textId="77777777" w:rsidR="00347144" w:rsidRPr="00347144" w:rsidRDefault="00347144" w:rsidP="00347144">
      <w:pPr>
        <w:spacing w:line="240" w:lineRule="auto"/>
        <w:rPr>
          <w:rFonts w:ascii="Times New Roman" w:hAnsi="Times New Roman"/>
          <w:sz w:val="20"/>
          <w:szCs w:val="20"/>
        </w:rPr>
      </w:pPr>
    </w:p>
    <w:p w14:paraId="2536586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Paroisse de La Chapelle-Basse-Mer (diocèse de Nantes), 1944.</w:t>
      </w:r>
    </w:p>
    <w:p w14:paraId="30E992E6"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 « Lorsqu’il y a un mort dans une famille, tous les voisins et les parents, toutes les femmes et même les hommes viennent faire une visite à la maison du défunt silencieusement et se relaient à réciter tout bas le chapelet, de sorte que le défunt ne reste pas sans quelqu’un pour le veiller et prier pour lui (prier plus ou moins évidemment suivant le degré de foi du visiteur, mais prier tout de même). Les parents et les proches se réservent ordinairement la nuit. Ainsi pendant le temps qui va de la mort aux funérailles, la maison est ouverte à tous ».</w:t>
      </w:r>
    </w:p>
    <w:p w14:paraId="0BB55F98" w14:textId="77777777" w:rsidR="00347144" w:rsidRPr="00347144" w:rsidRDefault="00347144" w:rsidP="00347144">
      <w:pPr>
        <w:spacing w:line="240" w:lineRule="auto"/>
        <w:rPr>
          <w:rFonts w:ascii="Times New Roman" w:hAnsi="Times New Roman"/>
          <w:sz w:val="20"/>
          <w:szCs w:val="20"/>
        </w:rPr>
      </w:pPr>
    </w:p>
    <w:p w14:paraId="4820FC1F"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Paroisse rurale de </w:t>
      </w:r>
      <w:proofErr w:type="spellStart"/>
      <w:r w:rsidRPr="00347144">
        <w:rPr>
          <w:rFonts w:ascii="Times New Roman" w:hAnsi="Times New Roman"/>
          <w:sz w:val="20"/>
          <w:szCs w:val="20"/>
        </w:rPr>
        <w:t>Craintillieux</w:t>
      </w:r>
      <w:proofErr w:type="spellEnd"/>
      <w:r w:rsidRPr="00347144">
        <w:rPr>
          <w:rFonts w:ascii="Times New Roman" w:hAnsi="Times New Roman"/>
          <w:sz w:val="20"/>
          <w:szCs w:val="20"/>
        </w:rPr>
        <w:t xml:space="preserve"> dans la Plaine du Forez (diocèse de Lyon, Loire), une des plus déchristianisées du diocèse. </w:t>
      </w:r>
    </w:p>
    <w:p w14:paraId="34750A0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 remarquer que le culte des morts est resté très vif. Le jour de la Toussaint, à la messe et aux vêpres, l’Eglise est remplie. C’est le seul où l’on puisse parler à toute la paroisse. »</w:t>
      </w:r>
    </w:p>
    <w:p w14:paraId="090F77EE" w14:textId="77777777" w:rsidR="00347144" w:rsidRPr="00347144" w:rsidRDefault="00347144" w:rsidP="00347144">
      <w:pPr>
        <w:spacing w:line="240" w:lineRule="auto"/>
        <w:rPr>
          <w:rFonts w:ascii="Times New Roman" w:hAnsi="Times New Roman"/>
          <w:sz w:val="20"/>
          <w:szCs w:val="20"/>
        </w:rPr>
      </w:pPr>
    </w:p>
    <w:p w14:paraId="3178ABD2"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Paroisse de </w:t>
      </w:r>
      <w:proofErr w:type="spellStart"/>
      <w:r w:rsidRPr="00347144">
        <w:rPr>
          <w:rFonts w:ascii="Times New Roman" w:hAnsi="Times New Roman"/>
          <w:sz w:val="20"/>
          <w:szCs w:val="20"/>
        </w:rPr>
        <w:t>Lourdoueix</w:t>
      </w:r>
      <w:proofErr w:type="spellEnd"/>
      <w:r w:rsidRPr="00347144">
        <w:rPr>
          <w:rFonts w:ascii="Times New Roman" w:hAnsi="Times New Roman"/>
          <w:sz w:val="20"/>
          <w:szCs w:val="20"/>
        </w:rPr>
        <w:t xml:space="preserve">-St-Pierre (diocèse de Limoges). </w:t>
      </w:r>
    </w:p>
    <w:p w14:paraId="7D646044" w14:textId="77777777" w:rsidR="00D1640D" w:rsidRDefault="00347144" w:rsidP="00347144">
      <w:pPr>
        <w:spacing w:line="240" w:lineRule="auto"/>
        <w:rPr>
          <w:rFonts w:ascii="Times New Roman" w:hAnsi="Times New Roman"/>
          <w:sz w:val="20"/>
          <w:szCs w:val="20"/>
        </w:rPr>
      </w:pPr>
      <w:r w:rsidRPr="00347144">
        <w:rPr>
          <w:rFonts w:ascii="Times New Roman" w:hAnsi="Times New Roman"/>
          <w:sz w:val="20"/>
          <w:szCs w:val="20"/>
        </w:rPr>
        <w:t>« Il reste une vague croyance mais un culte profond des morts (sépulture et 4 services ; on vient sur leurs tombes à la Toussaint, aux Rameaux et plus souvent même). » « La masse des hommes refusent d’entrer à la mission mais assiste aux enterrements en entrant dans l’église. “Notion du péché” : aucune. “je n’ai ni tué ni volé” ».</w:t>
      </w:r>
    </w:p>
    <w:p w14:paraId="0ECE0DC3" w14:textId="77777777" w:rsidR="00D326FF" w:rsidRDefault="00D326FF" w:rsidP="00347144">
      <w:pPr>
        <w:spacing w:line="240" w:lineRule="auto"/>
        <w:rPr>
          <w:rFonts w:ascii="Times New Roman" w:hAnsi="Times New Roman"/>
          <w:sz w:val="20"/>
          <w:szCs w:val="20"/>
        </w:rPr>
      </w:pPr>
    </w:p>
    <w:p w14:paraId="11F2AB76" w14:textId="77777777" w:rsidR="00D326FF" w:rsidRPr="00347144" w:rsidRDefault="00D326FF" w:rsidP="00D326FF">
      <w:pPr>
        <w:spacing w:line="240" w:lineRule="auto"/>
        <w:rPr>
          <w:rFonts w:ascii="Times New Roman" w:hAnsi="Times New Roman"/>
          <w:sz w:val="20"/>
          <w:szCs w:val="20"/>
        </w:rPr>
      </w:pPr>
      <w:r w:rsidRPr="00347144">
        <w:rPr>
          <w:rFonts w:ascii="Times New Roman" w:hAnsi="Times New Roman"/>
          <w:sz w:val="20"/>
          <w:szCs w:val="20"/>
        </w:rPr>
        <w:t xml:space="preserve">Extraits de monographies paroissiales qui ont servi à la rédaction des </w:t>
      </w:r>
      <w:r w:rsidRPr="00347144">
        <w:rPr>
          <w:rFonts w:ascii="Times New Roman" w:hAnsi="Times New Roman"/>
          <w:i/>
          <w:sz w:val="20"/>
          <w:szCs w:val="20"/>
        </w:rPr>
        <w:t>Problèmes missionnaires de la France rurale</w:t>
      </w:r>
      <w:r w:rsidRPr="00347144">
        <w:rPr>
          <w:rFonts w:ascii="Times New Roman" w:hAnsi="Times New Roman"/>
          <w:sz w:val="20"/>
          <w:szCs w:val="20"/>
        </w:rPr>
        <w:t xml:space="preserve"> de Fernand Boulard, ouvrage publié en 1945.</w:t>
      </w:r>
    </w:p>
    <w:p w14:paraId="25A89B7F" w14:textId="77777777" w:rsidR="00D326FF" w:rsidRPr="00347144" w:rsidRDefault="00D326FF" w:rsidP="00347144">
      <w:pPr>
        <w:spacing w:line="240" w:lineRule="auto"/>
        <w:rPr>
          <w:rFonts w:ascii="Times New Roman" w:hAnsi="Times New Roman"/>
          <w:sz w:val="20"/>
          <w:szCs w:val="20"/>
        </w:rPr>
      </w:pPr>
    </w:p>
    <w:p w14:paraId="50621181" w14:textId="77777777" w:rsidR="00D1640D" w:rsidRPr="001E77CA" w:rsidRDefault="00D1640D" w:rsidP="001E77CA">
      <w:pPr>
        <w:spacing w:line="360" w:lineRule="auto"/>
        <w:jc w:val="left"/>
        <w:rPr>
          <w:rFonts w:ascii="Times New Roman" w:hAnsi="Times New Roman"/>
          <w:sz w:val="24"/>
        </w:rPr>
      </w:pPr>
      <w:r w:rsidRPr="001E77CA">
        <w:rPr>
          <w:rFonts w:ascii="Times New Roman" w:hAnsi="Times New Roman"/>
          <w:sz w:val="24"/>
        </w:rPr>
        <w:br w:type="page"/>
      </w:r>
    </w:p>
    <w:p w14:paraId="5D466ECF" w14:textId="77777777" w:rsidR="00D1640D" w:rsidRPr="001E77CA" w:rsidRDefault="00D1640D" w:rsidP="001E77CA">
      <w:pPr>
        <w:spacing w:line="240" w:lineRule="auto"/>
        <w:jc w:val="center"/>
        <w:rPr>
          <w:rFonts w:ascii="Times New Roman" w:hAnsi="Times New Roman"/>
          <w:b/>
          <w:sz w:val="20"/>
          <w:szCs w:val="20"/>
        </w:rPr>
      </w:pPr>
      <w:r w:rsidRPr="001E77CA">
        <w:rPr>
          <w:rFonts w:ascii="Times New Roman" w:hAnsi="Times New Roman"/>
          <w:b/>
          <w:sz w:val="20"/>
          <w:szCs w:val="20"/>
        </w:rPr>
        <w:lastRenderedPageBreak/>
        <w:t>Le discours de Pie XII de 1957 sur la réanimation</w:t>
      </w:r>
    </w:p>
    <w:p w14:paraId="7215D915" w14:textId="77777777" w:rsidR="00D1640D" w:rsidRPr="001E77CA" w:rsidRDefault="00D1640D" w:rsidP="001E77CA">
      <w:pPr>
        <w:spacing w:line="240" w:lineRule="auto"/>
        <w:rPr>
          <w:rFonts w:ascii="Times New Roman" w:hAnsi="Times New Roman"/>
          <w:sz w:val="20"/>
          <w:szCs w:val="20"/>
        </w:rPr>
      </w:pPr>
    </w:p>
    <w:p w14:paraId="4B35EB52"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 xml:space="preserve">« […] l’anesthésiologie moderne s’occupe non seulement des problèmes d'analgésie et d'anesthésie proprement dite, mais aussi de la « réanimation ». On désigne ainsi en médecine […] la technique susceptible de remédier à certains incidents menaçant gravement la vie humaine, en particulier les asphyxies qui, auparavant, lorsqu'on ne disposait pas de l'équipement </w:t>
      </w:r>
      <w:proofErr w:type="spellStart"/>
      <w:r w:rsidRPr="001E77CA">
        <w:rPr>
          <w:rFonts w:ascii="Times New Roman" w:hAnsi="Times New Roman"/>
          <w:sz w:val="20"/>
          <w:szCs w:val="20"/>
        </w:rPr>
        <w:t>anesthésiologique</w:t>
      </w:r>
      <w:proofErr w:type="spellEnd"/>
      <w:r w:rsidRPr="001E77CA">
        <w:rPr>
          <w:rFonts w:ascii="Times New Roman" w:hAnsi="Times New Roman"/>
          <w:sz w:val="20"/>
          <w:szCs w:val="20"/>
        </w:rPr>
        <w:t xml:space="preserve"> moderne, conduisaient en quelques minutes à l'arrêt du cœur et à la mort. […]</w:t>
      </w:r>
    </w:p>
    <w:p w14:paraId="6E9189D2"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Lorsqu'on pratique la réanimation […] surgissent des questions, qui intéressent la morale médicale et mettent en jeu les principes de la philosophie de la nature plus encore que celles de l'analgésie. Ainsi il arrive que l'anesthésiologue puisse […] améliorer l'état général de patients souffrant de lésion grave du cerveau et dont le cas, dès le début, apparaissait désespéré : il rétablit la respiration, soit par intervention manuelle, soit à l'aide d'appareils spéciaux, libère les voies respiratoires et pourvoit à l'alimentation artificielle du patient. Grâce à cette thérapeutique, en particulier par l'administration d'oxygène au moyen de la respiration artificielle, la circulation défaillante reprend et l'aspect du patient s'améliore, souvent très vite, au point que l'anesthésiologue lui-même, ou tout autre médecin qui, se fiant à son expérience, aurait abandonné la partie, continue à caresser un léger espoir de voir se rétablir la respiration spontanée. La famille considère d'habitude cette amélioration comme un résultat étonnant, dont elle sait gré au médecin.</w:t>
      </w:r>
    </w:p>
    <w:p w14:paraId="60611FBE"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 xml:space="preserve">Si la lésion du cerveau est tellement grave qu'il est très probable, et même pratiquement certain, que le patient ne survivra pas, l'anesthésiologue en vient à se poser la question angoissante de la valeur et du sens des manœuvres de réanimation. Pour gagner du temps et prendre avec plus de sûreté les décisions ultérieures, il appliquera immédiatement la respiration artificielle avec intubation et nettoyage des voies respiratoires. Mais il peut alors se trouver dans une situation délicate, si la famille considère ces efforts comme inconvenants et vient à s'y opposer. La plupart du temps, cela se produit non au début des tentatives de réanimation, mais lorsque l'état du patient, après une légère amélioration, ne progresse plus, et quand il est clair que seule la respiration artificielle automatique le </w:t>
      </w:r>
      <w:proofErr w:type="spellStart"/>
      <w:r w:rsidRPr="001E77CA">
        <w:rPr>
          <w:rFonts w:ascii="Times New Roman" w:hAnsi="Times New Roman"/>
          <w:sz w:val="20"/>
          <w:szCs w:val="20"/>
        </w:rPr>
        <w:t>maintient</w:t>
      </w:r>
      <w:proofErr w:type="spellEnd"/>
      <w:r w:rsidRPr="001E77CA">
        <w:rPr>
          <w:rFonts w:ascii="Times New Roman" w:hAnsi="Times New Roman"/>
          <w:sz w:val="20"/>
          <w:szCs w:val="20"/>
        </w:rPr>
        <w:t xml:space="preserve"> en vie. On se demande alors, si l'on doit, ou si l'on peut, poursuivre la tentative de réanimation, bien que l'âme ait peut-être déjà quitté le corps.</w:t>
      </w:r>
    </w:p>
    <w:p w14:paraId="090BAFF1"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La solution de ce problème, déjà difficile en soi, le devient encore plus, lorsque la famille — catholique elle-même peut-être — contraint le médecin traitant, et particulièrement l'anesthésiologue, à enlever l'appareil de respiration artificielle, afin de permettre au patient, déjà virtuellement mort, de s'en aller en paix. De là, découle une question fondamentale au point de vue religieux et pour la philosophie de la nature : selon la foi chrétienne, quand la mort est-elle survenue chez les patients, pour lesquels on a utilisé les procédés modernes de réanimation ? L'extrême-onction est-elle valide, du moins aussi longtemps que l'on peut constater une action cardiaque, même si les fonctions vitales proprement dites ont disparu déjà, et si la vie ne dépend plus que du fonctionnement d'un appareil respiratoire ?</w:t>
      </w:r>
    </w:p>
    <w:p w14:paraId="206963F4"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Les problèmes qui se posent dans la pratique moderne de la réanimation peuvent donc se formuler en trois questions : d’abord, a-t-on le droit ou même l’obligation d’utiliser les appareils modernes de respiration artificielle dans tous les cas, même dans ceux qui, au jugement du médecin, sont considérés comme complètement désespérés ? En second lieu, a-t-on le droit ou l’obligation d’enlever l’appareil respiratoire, quand, après plusieurs jours, l’état d’inconscience profonde ne s’améliore pas, tandis que, si on l’enlève, la circulation s’arrêtera en quelques minutes ? Que faut-il faire, dans ce cas, si la famille du patient, qui a reçu les derniers sacrements, pousse le médecin à enlever l’appareil ? L’Extrême-Onction est-elle encore valide à ce moment ? Troisièmement, un patient plongé dans l’inconscience par paralysie centrale, mais dont la vie – c’est-à-dire la circulation sanguine – se maintient grâce à la respiration artificielle et chez lequel aucune amélioration n’intervient après plusieurs jours, doit-il être considéré comme mort </w:t>
      </w:r>
      <w:r w:rsidRPr="001E77CA">
        <w:rPr>
          <w:rFonts w:ascii="Times New Roman" w:hAnsi="Times New Roman"/>
          <w:i/>
          <w:sz w:val="20"/>
          <w:szCs w:val="20"/>
        </w:rPr>
        <w:t>de facto</w:t>
      </w:r>
      <w:r w:rsidRPr="001E77CA">
        <w:rPr>
          <w:rFonts w:ascii="Times New Roman" w:hAnsi="Times New Roman"/>
          <w:sz w:val="20"/>
          <w:szCs w:val="20"/>
        </w:rPr>
        <w:t xml:space="preserve">, ou même </w:t>
      </w:r>
      <w:r w:rsidRPr="001E77CA">
        <w:rPr>
          <w:rFonts w:ascii="Times New Roman" w:hAnsi="Times New Roman"/>
          <w:i/>
          <w:sz w:val="20"/>
          <w:szCs w:val="20"/>
        </w:rPr>
        <w:t>de jure</w:t>
      </w:r>
      <w:r w:rsidRPr="001E77CA">
        <w:rPr>
          <w:rFonts w:ascii="Times New Roman" w:hAnsi="Times New Roman"/>
          <w:sz w:val="20"/>
          <w:szCs w:val="20"/>
        </w:rPr>
        <w:t> ? Ne faut-il pas attendre, pour le considérer comme mort, que la circulation sanguine s’arrête en dépit de la respiration artificielle ?</w:t>
      </w:r>
    </w:p>
    <w:p w14:paraId="062C5259"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 xml:space="preserve">Nous répondrons bien volontiers à ces trois questions, mais avant de les examiner, Nous voudrions exposer les principes, qui permettront de formuler la réponse. La raison naturelle et la morale chrétienne disent que l'homme (et quiconque est chargé de prendre soin de son semblable) a le droit et le devoir, en cas de maladie grave, de prendre les soins nécessaires pour conserver la vie et la santé. Ce devoir […] n'oblige habituellement qu'à l'emploi des moyens ordinaires (suivant les circonstances de personnes, de lieux, d'époques, de culture), c'est-à-dire des moyens qui n'imposent aucune charge extraordinaire pour soi-même ou pour un autre. Une obligation plus sévère serait trop lourde pour la plupart des hommes, et rendrait trop difficile l'acquisition de biens supérieurs plus importants. La vie, la santé, toute l'activité temporelle, sont en effet subordonnées à des fins spirituelles. Par ailleurs, il n'est pas interdit de faire plus que le strict nécessaire pour conserver la vie et la santé, à condition de ne pas manquer à des devoirs plus graves. Quant au fait d'administrer les sacrements à un homme plongé dans l'inconscience, la réponse découle de la doctrine et de la pratique de l'Eglise, qui, pour sa part, suit comme règle d'action la volonté du Seigneur. Les sacrements sont destinés, en vertu de l'institution divine, aux hommes de ce monde, pendant la durée de leur vie terrestre et, à l'exception du baptême lui-même, présupposent le baptême chez celui qui les reçoit. Celui, qui n'est pas un homme, qui ne l'est pas encore, ou ne l'est plus, ne peut recevoir les sacrements. Par ailleurs, si quelqu'un manifeste son refus, on ne peut les lui administrer contre son gré. Dieu ne </w:t>
      </w:r>
      <w:r w:rsidRPr="001E77CA">
        <w:rPr>
          <w:rFonts w:ascii="Times New Roman" w:hAnsi="Times New Roman"/>
          <w:sz w:val="20"/>
          <w:szCs w:val="20"/>
        </w:rPr>
        <w:lastRenderedPageBreak/>
        <w:t xml:space="preserve">force personne à accepter la grâce sacramentelle. Quand on ignore, si quelqu'un remplit les conditions requises pour recevoir validement le sacrement, il faut tâcher de résoudre le doute. En cas d'échec, on conférera le sacrement sous condition, au moins tacite (avec la clause, </w:t>
      </w:r>
      <w:r w:rsidRPr="001E77CA">
        <w:rPr>
          <w:rFonts w:ascii="Times New Roman" w:hAnsi="Times New Roman"/>
          <w:i/>
          <w:sz w:val="20"/>
          <w:szCs w:val="20"/>
        </w:rPr>
        <w:t xml:space="preserve">Si </w:t>
      </w:r>
      <w:proofErr w:type="spellStart"/>
      <w:r w:rsidRPr="001E77CA">
        <w:rPr>
          <w:rFonts w:ascii="Times New Roman" w:hAnsi="Times New Roman"/>
          <w:i/>
          <w:sz w:val="20"/>
          <w:szCs w:val="20"/>
        </w:rPr>
        <w:t>capax</w:t>
      </w:r>
      <w:proofErr w:type="spellEnd"/>
      <w:r w:rsidRPr="001E77CA">
        <w:rPr>
          <w:rFonts w:ascii="Times New Roman" w:hAnsi="Times New Roman"/>
          <w:i/>
          <w:sz w:val="20"/>
          <w:szCs w:val="20"/>
        </w:rPr>
        <w:t xml:space="preserve"> es</w:t>
      </w:r>
      <w:r w:rsidRPr="001E77CA">
        <w:rPr>
          <w:rFonts w:ascii="Times New Roman" w:hAnsi="Times New Roman"/>
          <w:sz w:val="20"/>
          <w:szCs w:val="20"/>
        </w:rPr>
        <w:t>, qui est la plus large). Les sacrements sont institués par le Christ pour les hommes, afin de sauver leur âme; aussi, en cas d'extrême nécessité, l'Eglise tente les solutions extrêmes pour communiquer à un homme la grâce et les secours sacramentels.</w:t>
      </w:r>
    </w:p>
    <w:p w14:paraId="6D5FD77A"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w:t>
      </w:r>
    </w:p>
    <w:p w14:paraId="10DA578A"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Il appartient au médecin, et particulièrement à l'anesthésiologue, de donner une définition claire et précise de la « mort » et du « moment de la mort » d'un patient, qui décède en état d'inconscience. Pour cela, on peut reprendre le concept usuel de séparation complète et définitive de l'âme et du corps; mais en pratique on tiendra compte de l'imprécision des termes de « corps » et de « séparation ». […]</w:t>
      </w:r>
    </w:p>
    <w:p w14:paraId="235CF21F"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Nous passons maintenant à la solution des questions particulières.</w:t>
      </w:r>
    </w:p>
    <w:p w14:paraId="3FC15073" w14:textId="77777777" w:rsidR="00D1640D" w:rsidRPr="001E77CA" w:rsidRDefault="00D1640D" w:rsidP="001E77CA">
      <w:pPr>
        <w:autoSpaceDE w:val="0"/>
        <w:autoSpaceDN w:val="0"/>
        <w:adjustRightInd w:val="0"/>
        <w:spacing w:line="240" w:lineRule="auto"/>
        <w:rPr>
          <w:rFonts w:ascii="Times New Roman" w:hAnsi="Times New Roman"/>
          <w:i/>
          <w:iCs/>
          <w:sz w:val="20"/>
          <w:szCs w:val="20"/>
        </w:rPr>
      </w:pPr>
      <w:r w:rsidRPr="001E77CA">
        <w:rPr>
          <w:rFonts w:ascii="Times New Roman" w:hAnsi="Times New Roman"/>
          <w:i/>
          <w:iCs/>
          <w:sz w:val="20"/>
          <w:szCs w:val="20"/>
        </w:rPr>
        <w:t>L'anesthésiologue a le droit, mais non pas l'obligation de pratiquer la respiration artificielle.</w:t>
      </w:r>
    </w:p>
    <w:p w14:paraId="763826AA"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1. L'anesthésiologue a-t-il le droit, ou même est-il obligé dans tous les cas d'inconscience profonde, même dans ceux qui sont complètement désespérés au jugement d'un médecin compétent, d'utiliser les appareils modernes de respiration artificielle, même contre la volonté de la famille ? Dans les cas ordinaires, on concédera que l'anesthésiologue a le droit d'agir ainsi, mais il n'en a pas l'obligation, à moins que ce ne soit l'unique moyen de satisfaire à un autre devoir moral certain. Les droits et les devoirs du médecin sont corrélatifs à ceux du patient. Le médecin, en effet, n'a pas à l'égard du patient de droit séparé ou indépendant; en général, il ne peut agir, que si le patient l'y autorise explicitement ou implicitement (directement ou indirectement). La technique de réanimation, dont il s'agit ici, ne contient en soi rien d'immoral; aussi le patient — s'il était capable de décision personnelle — pourrait-il l'utiliser licitement et, par conséquent, en donner l'autorisation au médecin. Par ailleurs, comme ces formes de traitement dépassent les moyens ordinaires, auxquels on est obligé de recourir, on ne peut soutenir qu'il soit obligatoire de les employer et, par conséquent, d'y autoriser le médecin.</w:t>
      </w:r>
    </w:p>
    <w:p w14:paraId="63302E42"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 xml:space="preserve">Les droits et les devoirs de la famille, en général, dépendent de la volonté présumée du patient inconscient, s'il est majeur et </w:t>
      </w:r>
      <w:r w:rsidRPr="001E77CA">
        <w:rPr>
          <w:rFonts w:ascii="Times New Roman" w:hAnsi="Times New Roman"/>
          <w:i/>
          <w:sz w:val="20"/>
          <w:szCs w:val="20"/>
        </w:rPr>
        <w:t xml:space="preserve">sui </w:t>
      </w:r>
      <w:proofErr w:type="spellStart"/>
      <w:r w:rsidRPr="001E77CA">
        <w:rPr>
          <w:rFonts w:ascii="Times New Roman" w:hAnsi="Times New Roman"/>
          <w:i/>
          <w:sz w:val="20"/>
          <w:szCs w:val="20"/>
        </w:rPr>
        <w:t>juris</w:t>
      </w:r>
      <w:proofErr w:type="spellEnd"/>
      <w:r w:rsidRPr="001E77CA">
        <w:rPr>
          <w:rFonts w:ascii="Times New Roman" w:hAnsi="Times New Roman"/>
          <w:sz w:val="20"/>
          <w:szCs w:val="20"/>
        </w:rPr>
        <w:t xml:space="preserve">. Quant au devoir propre et indépendant de la famille, il n'oblige habituellement qu'à l'emploi des moyens ordinaires. Par conséquent, s'il apparaît que la tentative de réanimation constitue en réalité pour la famille une telle charge qu'on ne puisse pas en conscience la lui imposer, elle peut licitement insister pour que le médecin interrompe ses tentatives, et le médecin peut licitement lui obtempérer. Il n'y a </w:t>
      </w:r>
      <w:proofErr w:type="spellStart"/>
      <w:r w:rsidRPr="001E77CA">
        <w:rPr>
          <w:rFonts w:ascii="Times New Roman" w:hAnsi="Times New Roman"/>
          <w:sz w:val="20"/>
          <w:szCs w:val="20"/>
        </w:rPr>
        <w:t>en</w:t>
      </w:r>
      <w:proofErr w:type="spellEnd"/>
      <w:r w:rsidRPr="001E77CA">
        <w:rPr>
          <w:rFonts w:ascii="Times New Roman" w:hAnsi="Times New Roman"/>
          <w:sz w:val="20"/>
          <w:szCs w:val="20"/>
        </w:rPr>
        <w:t xml:space="preserve"> ce cas aucune disposition directe de la vie du patient, ni euthanasie, ce qui ne serait jamais licite; même quand elle entraîne la cessation de la circulation sanguine, l'interruption des tentatives de réanimation n'est jamais qu'indirectement cause de la cessation de la vie, et il faut appliquer dans ce cas le principe du double effet et celui du </w:t>
      </w:r>
      <w:proofErr w:type="spellStart"/>
      <w:r w:rsidRPr="001E77CA">
        <w:rPr>
          <w:rFonts w:ascii="Times New Roman" w:hAnsi="Times New Roman"/>
          <w:i/>
          <w:iCs/>
          <w:sz w:val="20"/>
          <w:szCs w:val="20"/>
        </w:rPr>
        <w:t>voluntarium</w:t>
      </w:r>
      <w:proofErr w:type="spellEnd"/>
      <w:r w:rsidRPr="001E77CA">
        <w:rPr>
          <w:rFonts w:ascii="Times New Roman" w:hAnsi="Times New Roman"/>
          <w:i/>
          <w:iCs/>
          <w:sz w:val="20"/>
          <w:szCs w:val="20"/>
        </w:rPr>
        <w:t xml:space="preserve"> in causa.</w:t>
      </w:r>
    </w:p>
    <w:p w14:paraId="4A6B8666" w14:textId="77777777" w:rsidR="00D1640D" w:rsidRPr="001E77CA" w:rsidRDefault="00D1640D" w:rsidP="001E77CA">
      <w:pPr>
        <w:autoSpaceDE w:val="0"/>
        <w:autoSpaceDN w:val="0"/>
        <w:adjustRightInd w:val="0"/>
        <w:spacing w:line="240" w:lineRule="auto"/>
        <w:rPr>
          <w:rFonts w:ascii="Times New Roman" w:hAnsi="Times New Roman"/>
          <w:i/>
          <w:iCs/>
          <w:sz w:val="20"/>
          <w:szCs w:val="20"/>
        </w:rPr>
      </w:pPr>
      <w:r w:rsidRPr="001E77CA">
        <w:rPr>
          <w:rFonts w:ascii="Times New Roman" w:hAnsi="Times New Roman"/>
          <w:i/>
          <w:iCs/>
          <w:sz w:val="20"/>
          <w:szCs w:val="20"/>
        </w:rPr>
        <w:t>Validité de l'extrême-onction en cas d'inconscience profonde.</w:t>
      </w:r>
    </w:p>
    <w:p w14:paraId="1A0FCA87"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2. Ainsi avons-Nous déjà répondu pour l'essentiel à la deuxième question: « Le médecin peut-il enlever l'appareil respiratoire avant que ne se produise l'arrêt définitif de la circulation ? — Le peut-il du moins lorsque le patient a déjà reçu l'extrême-onction ? — Celle-ci est-elle valide, quand on l'administre au moment où la circulation s'arrête, ou même après ? »</w:t>
      </w:r>
    </w:p>
    <w:p w14:paraId="6AD95DDB"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Il faut répondre affirmativement à la première partie de cette question, comme Nous l'avons déjà expliqué. Si l'on n'a pas encore administré l'extrême-onction, que l'on tâche de prolonger encore la respiration jusqu'à ce que ce soit fait. Quant à savoir si l'extrême-onction est valide au moment de l'arrêt définitif de la circulation, ou même après celui-ci, il est impossible de répondre par « oui » ou « non ». Si cet arrêt définitif signifiait, de l'avis des médecins, la séparation certaine de l'âme et du corps, même si certains organes particuliers continuaient à fonctionner, l'extrême-onction serait certainement invalide, car celui qui la reçoit ne serait certainement plus un homme. Or, c'est là une condition indispensable à la réception des sacrements. Si par contre les médecins estiment que la séparation du corps et de l'âme est douteuse et que ce doute est insoluble, la validité de l'extrême-onction est douteuse elle aussi. Mais appliquant ses règles habituelles: « Les sacrements sont pour les hommes » et « en cas d'extrême nécessité, on tente les mesures extrêmes », l'Eglise permet d'administrer le sacrement, sous condition toutefois, par respect pour le signe sacramentel.</w:t>
      </w:r>
    </w:p>
    <w:p w14:paraId="2FF278F8" w14:textId="77777777" w:rsidR="00D1640D" w:rsidRPr="001E77CA" w:rsidRDefault="00D1640D" w:rsidP="001E77CA">
      <w:pPr>
        <w:autoSpaceDE w:val="0"/>
        <w:autoSpaceDN w:val="0"/>
        <w:adjustRightInd w:val="0"/>
        <w:spacing w:line="240" w:lineRule="auto"/>
        <w:rPr>
          <w:rFonts w:ascii="Times New Roman" w:hAnsi="Times New Roman"/>
          <w:i/>
          <w:iCs/>
          <w:sz w:val="20"/>
          <w:szCs w:val="20"/>
        </w:rPr>
      </w:pPr>
      <w:r w:rsidRPr="001E77CA">
        <w:rPr>
          <w:rFonts w:ascii="Times New Roman" w:hAnsi="Times New Roman"/>
          <w:i/>
          <w:iCs/>
          <w:sz w:val="20"/>
          <w:szCs w:val="20"/>
        </w:rPr>
        <w:t>La constatation du fait de la mort d'un patient n'appartient pas à la compétence de l'Eglise.</w:t>
      </w:r>
    </w:p>
    <w:p w14:paraId="041796D7"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 xml:space="preserve">3. « Quand la circulation sanguine et la vie d'un patient profondément inconscient à cause d'une paralysie centrale ne sont maintenues que par la respiration artificielle, sans qu'aucune amélioration se manifeste après quelques jours, à quel moment l'Eglise catholique considère-t-elle ce patient comme « mort » ou doit-on, selon les lois naturelles, le déclarer « mort » (question </w:t>
      </w:r>
      <w:r w:rsidRPr="001E77CA">
        <w:rPr>
          <w:rFonts w:ascii="Times New Roman" w:hAnsi="Times New Roman"/>
          <w:i/>
          <w:sz w:val="20"/>
          <w:szCs w:val="20"/>
        </w:rPr>
        <w:t>de facto</w:t>
      </w:r>
      <w:r w:rsidRPr="001E77CA">
        <w:rPr>
          <w:rFonts w:ascii="Times New Roman" w:hAnsi="Times New Roman"/>
          <w:sz w:val="20"/>
          <w:szCs w:val="20"/>
        </w:rPr>
        <w:t xml:space="preserve"> et </w:t>
      </w:r>
      <w:r w:rsidRPr="001E77CA">
        <w:rPr>
          <w:rFonts w:ascii="Times New Roman" w:hAnsi="Times New Roman"/>
          <w:i/>
          <w:sz w:val="20"/>
          <w:szCs w:val="20"/>
        </w:rPr>
        <w:t>de jure</w:t>
      </w:r>
      <w:r w:rsidRPr="001E77CA">
        <w:rPr>
          <w:rFonts w:ascii="Times New Roman" w:hAnsi="Times New Roman"/>
          <w:sz w:val="20"/>
          <w:szCs w:val="20"/>
        </w:rPr>
        <w:t>) ?» (La mort est-elle déjà intervenue après le traumatisme crânien grave, qui a provoqué l'inconscience profonde et la paralysie respiratoire centrale, dont les conséquences immédiatement mortelles ont pu toutefois être retardées par le moyen de la respiration artificielle ? — ou se produit-elle, selon l'opinion actuelle des médecins, seulement lors de l'arrêt définitif de la circulation, en dépit de la respiration artificielle prolongée ?) En ce qui concerne la constatation du fait dans les cas particuliers, la réponse ne peut se déduire d'aucun principe religieux et moral et, sous cet aspect, n'appartient pas à la compétence de l'Eglise. En attendant, elle restera donc ouverte.</w:t>
      </w:r>
    </w:p>
    <w:p w14:paraId="18027A4B" w14:textId="77777777" w:rsidR="00D1640D" w:rsidRPr="001E77CA" w:rsidRDefault="00D1640D" w:rsidP="001E77CA">
      <w:pPr>
        <w:autoSpaceDE w:val="0"/>
        <w:autoSpaceDN w:val="0"/>
        <w:adjustRightInd w:val="0"/>
        <w:spacing w:line="240" w:lineRule="auto"/>
        <w:rPr>
          <w:rFonts w:ascii="Times New Roman" w:hAnsi="Times New Roman"/>
          <w:sz w:val="20"/>
          <w:szCs w:val="20"/>
        </w:rPr>
      </w:pPr>
      <w:r w:rsidRPr="001E77CA">
        <w:rPr>
          <w:rFonts w:ascii="Times New Roman" w:hAnsi="Times New Roman"/>
          <w:sz w:val="20"/>
          <w:szCs w:val="20"/>
        </w:rPr>
        <w:t xml:space="preserve">Mais des considérations d'ordre général permettent de croire que la vie humaine continue aussi longtemps que ses fonctions vitales — à la différence de la simple vie des organes — se manifestent spontanément ou même à l'aide </w:t>
      </w:r>
      <w:r w:rsidRPr="001E77CA">
        <w:rPr>
          <w:rFonts w:ascii="Times New Roman" w:hAnsi="Times New Roman"/>
          <w:sz w:val="20"/>
          <w:szCs w:val="20"/>
        </w:rPr>
        <w:lastRenderedPageBreak/>
        <w:t xml:space="preserve">de procédés artificiels. Un bon nombre de ces cas font l'objet d'un doute insoluble, et doivent être traités d'après les présomptions de droit et de fait, dont Nous avons parlé. […]. » </w:t>
      </w:r>
    </w:p>
    <w:p w14:paraId="321A4DF6" w14:textId="77777777" w:rsidR="00D1640D" w:rsidRPr="001E77CA" w:rsidRDefault="00D1640D" w:rsidP="001E77CA">
      <w:pPr>
        <w:tabs>
          <w:tab w:val="left" w:pos="7636"/>
        </w:tabs>
        <w:spacing w:line="240" w:lineRule="auto"/>
        <w:rPr>
          <w:rFonts w:ascii="Times New Roman" w:hAnsi="Times New Roman"/>
          <w:sz w:val="20"/>
          <w:szCs w:val="20"/>
        </w:rPr>
      </w:pPr>
    </w:p>
    <w:p w14:paraId="362DB17B" w14:textId="77777777" w:rsidR="009D7219"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Pie XII, « Problèmes médicaux et moraux de la réanimation », </w:t>
      </w:r>
      <w:r w:rsidRPr="001E77CA">
        <w:rPr>
          <w:rFonts w:ascii="Times New Roman" w:hAnsi="Times New Roman"/>
          <w:i/>
          <w:sz w:val="20"/>
          <w:szCs w:val="20"/>
        </w:rPr>
        <w:t>La Documentation Catholique</w:t>
      </w:r>
      <w:r w:rsidRPr="001E77CA">
        <w:rPr>
          <w:rFonts w:ascii="Times New Roman" w:hAnsi="Times New Roman"/>
          <w:sz w:val="20"/>
          <w:szCs w:val="20"/>
        </w:rPr>
        <w:t>, n</w:t>
      </w:r>
      <w:r w:rsidRPr="001E77CA">
        <w:rPr>
          <w:rFonts w:ascii="Times New Roman" w:hAnsi="Times New Roman"/>
          <w:sz w:val="20"/>
          <w:szCs w:val="20"/>
          <w:vertAlign w:val="superscript"/>
        </w:rPr>
        <w:t>o</w:t>
      </w:r>
      <w:r w:rsidRPr="001E77CA">
        <w:rPr>
          <w:rFonts w:ascii="Times New Roman" w:hAnsi="Times New Roman"/>
          <w:sz w:val="20"/>
          <w:szCs w:val="20"/>
        </w:rPr>
        <w:t xml:space="preserve"> 1267, 22 décembre 1957, col. 1605-1610. Au départ, allocution en français du 24 novembre 1957 devant un parterre de médecins.</w:t>
      </w:r>
      <w:r w:rsidR="009D7219">
        <w:rPr>
          <w:rFonts w:ascii="Times New Roman" w:hAnsi="Times New Roman"/>
          <w:sz w:val="20"/>
          <w:szCs w:val="20"/>
        </w:rPr>
        <w:br w:type="page"/>
      </w:r>
    </w:p>
    <w:p w14:paraId="11FE90BB" w14:textId="77777777" w:rsidR="009D7219" w:rsidRPr="009D7219" w:rsidRDefault="009D7219" w:rsidP="009D7219">
      <w:pPr>
        <w:spacing w:line="240" w:lineRule="auto"/>
        <w:jc w:val="center"/>
        <w:rPr>
          <w:rFonts w:ascii="Times New Roman" w:hAnsi="Times New Roman"/>
          <w:b/>
          <w:sz w:val="20"/>
          <w:szCs w:val="20"/>
        </w:rPr>
      </w:pPr>
      <w:r w:rsidRPr="009D7219">
        <w:rPr>
          <w:rFonts w:ascii="Times New Roman" w:hAnsi="Times New Roman"/>
          <w:b/>
          <w:sz w:val="20"/>
          <w:szCs w:val="20"/>
        </w:rPr>
        <w:lastRenderedPageBreak/>
        <w:t>Guerre, patriotisme et refoulement de la mort</w:t>
      </w:r>
    </w:p>
    <w:p w14:paraId="6E030FA0" w14:textId="77777777" w:rsidR="009D7219" w:rsidRPr="009D7219" w:rsidRDefault="009D7219" w:rsidP="009D7219">
      <w:pPr>
        <w:spacing w:line="240" w:lineRule="auto"/>
        <w:rPr>
          <w:rFonts w:ascii="Times New Roman" w:hAnsi="Times New Roman"/>
          <w:sz w:val="20"/>
          <w:szCs w:val="20"/>
        </w:rPr>
      </w:pPr>
    </w:p>
    <w:p w14:paraId="067B6816"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 L’état de guerre est l’exemple universel (et contemporain) de la dissolution de la présence de la mort du fait de la prédominance de l’affirmation de la société sur l’affirmation de l’individualité. L’état de guerre provoque une mutation générale de la conscience de la mort. Peu sensible quand la société est fixée historiquement sur un type militaire, comme la Sparte du V</w:t>
      </w:r>
      <w:r w:rsidRPr="009D7219">
        <w:rPr>
          <w:rFonts w:ascii="Times New Roman" w:hAnsi="Times New Roman"/>
          <w:sz w:val="20"/>
          <w:szCs w:val="20"/>
          <w:vertAlign w:val="superscript"/>
        </w:rPr>
        <w:t>e</w:t>
      </w:r>
      <w:r w:rsidRPr="009D7219">
        <w:rPr>
          <w:rFonts w:ascii="Times New Roman" w:hAnsi="Times New Roman"/>
          <w:sz w:val="20"/>
          <w:szCs w:val="20"/>
        </w:rPr>
        <w:t xml:space="preserve"> et IV</w:t>
      </w:r>
      <w:r w:rsidRPr="009D7219">
        <w:rPr>
          <w:rFonts w:ascii="Times New Roman" w:hAnsi="Times New Roman"/>
          <w:sz w:val="20"/>
          <w:szCs w:val="20"/>
          <w:vertAlign w:val="superscript"/>
        </w:rPr>
        <w:t>e</w:t>
      </w:r>
      <w:r w:rsidRPr="009D7219">
        <w:rPr>
          <w:rFonts w:ascii="Times New Roman" w:hAnsi="Times New Roman"/>
          <w:sz w:val="20"/>
          <w:szCs w:val="20"/>
        </w:rPr>
        <w:t xml:space="preserve"> siècle avant J.-C., le Dahomey avant la conquête, l’empire Inca, ou lorsque le danger la détermine pour une période plus ou moins longue sur un type obsidional, cette mutation est d’autant plus considérable lorsque les structures libérales de paix se transforment en structures de guerre.</w:t>
      </w:r>
    </w:p>
    <w:p w14:paraId="4754CA51"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 xml:space="preserve">Obsidionale, en état de guerre, la société se durcit alors sur elle-même, comme ces unicellulaires qui prennent la forme cristalloïde ; elle se blinde ; sa circulation se raréfie, elle s’asphyxie pour survivre : c’est l’autarcie de guerre, le blocus, le siège, la patrie en danger. Alors elle resserre les bras autour de l’individu. Celui-ci est ressaisi par la participation primitive ; il n’est plus lui-même, il est la patrie en danger. Le caractère fondamental des situations, soit guerrières, soit provisoirement obsidionales, soit durablement militaires, a été remarquablement dégagé par Spencer : « La possession de l’individu par l’Etat est le caractère de l’état social adapté à la guerre. » La société en guerre est redevenue, et le proclame, une sorte d’espèce biologique, ce que l’on a appelé une </w:t>
      </w:r>
      <w:r w:rsidRPr="009D7219">
        <w:rPr>
          <w:rFonts w:ascii="Times New Roman" w:hAnsi="Times New Roman"/>
          <w:i/>
          <w:sz w:val="20"/>
          <w:szCs w:val="20"/>
        </w:rPr>
        <w:t>race</w:t>
      </w:r>
      <w:r w:rsidRPr="009D7219">
        <w:rPr>
          <w:rFonts w:ascii="Times New Roman" w:hAnsi="Times New Roman"/>
          <w:sz w:val="20"/>
          <w:szCs w:val="20"/>
        </w:rPr>
        <w:t>. […] Alors, fondu dans son groupe en danger ou en marche, le martyr, le combattant, l’assiégé, le croisé ne craint plus la mort.</w:t>
      </w:r>
    </w:p>
    <w:p w14:paraId="1AE2535B"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Le courage vient au lâche ; comme l’a dit Malraux, le courage est affaire d’organisation. Et l’organisation vient toute seule ; c’est « organiquement » que la société ressaisit l’individu. La presse, les discours, les bulletins, les poèmes forgent sans relâche la mentalité épique, et recommandent de « traiter la vie comme une ennemie » (Tyrtée). Le titre de héros est le plus banal en temps de guerre puisqu’il s’applique à tout combattant qui, justement, meurt en « héros ». La seule consolation immédiate donnée au héros, c’est le meurtre, la vengeance sur l’ennemi, immonde adversaire, chien maudit, jaune, noir, rouge. Il purge sa mort sur l’ennemi à abattre.</w:t>
      </w:r>
    </w:p>
    <w:p w14:paraId="77A479EF"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Cette attitude magique, sacrificielle, est déterminée par cette régression générale de la conscience que détermine la guerre</w:t>
      </w:r>
      <w:r w:rsidRPr="009D7219">
        <w:rPr>
          <w:rStyle w:val="Appelnotedebasdep"/>
          <w:rFonts w:ascii="Times New Roman" w:hAnsi="Times New Roman"/>
          <w:sz w:val="20"/>
          <w:szCs w:val="20"/>
        </w:rPr>
        <w:footnoteReference w:id="2"/>
      </w:r>
      <w:r w:rsidRPr="009D7219">
        <w:rPr>
          <w:rFonts w:ascii="Times New Roman" w:hAnsi="Times New Roman"/>
          <w:sz w:val="20"/>
          <w:szCs w:val="20"/>
        </w:rPr>
        <w:t> ; au paroxysme de cette régression, il y a la disparition totale de la conscience de la mort. Non seulement la mort n’est plus ressentie traumatiquement, mais elle n’est même plus « vue » ; c’est la mort sur le champ de bataille, sans prêtre et sans sépulture, l’entassement des charniers et ossuaires, véritables dépotoirs, ou, à la rigueur, la croix de bois anonyme. Ainsi au moment de la tension héroïque de la bataille, tout ce qui est l’humanité de la mort (conscience, traumatisme, immortalité) peut être aboli avec l’humain lui-même dans la solidarité animale, la lutte bestiale, l’obsession pure de l’agression et de la défense. La mort horrible revient plus tard, quand la guerre est finie ; la littérature épique soulève alors un immense étonnement ou un dégoût rétrospectif ; le héros est redevenu incapable de risquer sa vie, comme de faire mal à une mouche. Les visiteurs que déchargent les cars se promènent alors dans les galeries obscures du Fort de Vaux, s’émeuvent de voir à travers les lucarnes l’ossuaire de Douaumont l’immense tas d’ossements. Et plus tard encore dans le film d’Abel Gance, vont se lever les morts de Verdun, pour empêcher une nouvelle guerre. Mais ces malheureux morts rentreront sous terre quand la guerre suivante arrivera.</w:t>
      </w:r>
    </w:p>
    <w:p w14:paraId="7BE6C8A5"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 xml:space="preserve">Ainsi c’est dans les périodes de guerre, où les sociétés se coagulent, se durcissent pour tenir et vaincre, c’est dans les périodes de mort, en un mot, que la mort s’efface, que les soucis de mort s’évanouissent. La paix et la vie tranquille, où se distendent les liens sociaux, voient réapparaître la crainte et le tremblement individuel. Alors l’idée de la mort ronge l’individu qui a retrouvé ses contours. </w:t>
      </w:r>
      <w:r w:rsidRPr="009D7219">
        <w:rPr>
          <w:rFonts w:ascii="Times New Roman" w:hAnsi="Times New Roman"/>
          <w:i/>
          <w:sz w:val="20"/>
          <w:szCs w:val="20"/>
        </w:rPr>
        <w:t>La mort est une idée de civil</w:t>
      </w:r>
      <w:r w:rsidRPr="009D7219">
        <w:rPr>
          <w:rFonts w:ascii="Times New Roman" w:hAnsi="Times New Roman"/>
          <w:sz w:val="20"/>
          <w:szCs w:val="20"/>
        </w:rPr>
        <w:t>.</w:t>
      </w:r>
    </w:p>
    <w:p w14:paraId="5FAC67D6"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w:t>
      </w:r>
    </w:p>
    <w:p w14:paraId="74186D5B"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Nous avons ci-dessus opposé l’état de guerre à l’état de paix, selon une typologie idéale. En fait et même dans les sociétés non militaires, l’institution guerrière déborde sur le temps de paix, et le patriotisme de guerre, y couve, entretenu par l’Etat. En fait également il reste des secteurs qui, même en temps de guerre, peuvent demeurer à l’écart de l’exaltation belliqueuse. Par ailleurs, à certaines époques comme au XVIII</w:t>
      </w:r>
      <w:r w:rsidRPr="009D7219">
        <w:rPr>
          <w:rFonts w:ascii="Times New Roman" w:hAnsi="Times New Roman"/>
          <w:sz w:val="20"/>
          <w:szCs w:val="20"/>
          <w:vertAlign w:val="superscript"/>
        </w:rPr>
        <w:t>e</w:t>
      </w:r>
      <w:r w:rsidRPr="009D7219">
        <w:rPr>
          <w:rFonts w:ascii="Times New Roman" w:hAnsi="Times New Roman"/>
          <w:sz w:val="20"/>
          <w:szCs w:val="20"/>
        </w:rPr>
        <w:t xml:space="preserve"> siècle, la guerre a pu apparaître comme une activité spécialisée, ne mettant en cause que les armées en présence, pendant que les relations continuaient entre citoyens des Etats ennemis. Il faut noter qu’à partir de la guerre de 14 les rapports entre la guerre et la mort se font faits plus complexes qu’auparavant. D’une part la guerre est devenue plus régressive que dans les siècles précédents, du fait qu’elle s’est faite totale, intégrant non seulement les guerriers, non plus seulement les peuples en armes, mais aussi mobilisant et détruisant pêle-mêle tout ce qui est vie, travail, culture. Mais en même temps cette régression s’effectue dans des conditions d’évolution de lutte des classes et d’individualisation telles que le passage de la paix à la guerre ne se fait pas sans heurts ; il nécessite de plus en plus une longue période de tension internationale, de guerre froide où se préparent, c’est-à-dire s’abêtissent les esprits. Même alors, et même compte tenu de la lutte des classes, l’emprise guerrière n’est ni totale ni fatale ; chez les uns c’est la crainte de la mort qui ne peut se dissoudre ; ils préfèrent alors devenir déserteurs […]. Chez d’autres c’est le refus d’oublier que l’ennemi est un homme. Au cœur même de la guerre, brusquement deux individus peuvent se trouver face à face dans le même trou d’obus, l’un revêtu de bleu horizon, l’autre de feldgrau. C’est le passage inoubliable de « A l’Ouest rien de nouveau ». […]</w:t>
      </w:r>
    </w:p>
    <w:p w14:paraId="68283C7C"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lastRenderedPageBreak/>
        <w:t>Certes, des consciences existent, capables de ne pas haïr, de résister à la bêtise belliqueuse, annonçant déjà un autre homme possible…</w:t>
      </w:r>
    </w:p>
    <w:p w14:paraId="6AA547C5" w14:textId="77777777" w:rsidR="009D7219" w:rsidRPr="009D7219" w:rsidRDefault="009D7219" w:rsidP="009D7219">
      <w:pPr>
        <w:spacing w:line="240" w:lineRule="auto"/>
        <w:rPr>
          <w:rFonts w:ascii="Times New Roman" w:hAnsi="Times New Roman"/>
          <w:sz w:val="20"/>
          <w:szCs w:val="20"/>
        </w:rPr>
      </w:pPr>
      <w:r w:rsidRPr="009D7219">
        <w:rPr>
          <w:rFonts w:ascii="Times New Roman" w:hAnsi="Times New Roman"/>
          <w:sz w:val="20"/>
          <w:szCs w:val="20"/>
        </w:rPr>
        <w:t xml:space="preserve">Mais en revanche quand on songe que la guerre, depuis les origines de l’humanité, a régné à l’état endémique […], quand on songe également que des civilisations entières ont eu leur paix déterminée par l’état de guerre, ont vécu </w:t>
      </w:r>
      <w:proofErr w:type="spellStart"/>
      <w:r w:rsidRPr="009D7219">
        <w:rPr>
          <w:rFonts w:ascii="Times New Roman" w:hAnsi="Times New Roman"/>
          <w:sz w:val="20"/>
          <w:szCs w:val="20"/>
        </w:rPr>
        <w:t>obsidionalement</w:t>
      </w:r>
      <w:proofErr w:type="spellEnd"/>
      <w:r w:rsidRPr="009D7219">
        <w:rPr>
          <w:rFonts w:ascii="Times New Roman" w:hAnsi="Times New Roman"/>
          <w:sz w:val="20"/>
          <w:szCs w:val="20"/>
        </w:rPr>
        <w:t xml:space="preserve">, quand on songe à l’importance des structures de la guerre au cœur de la paix (armée permanente, budget de guerre, orientation militaire de l’appareil de production, littérature patriotique, etc.), on ne peut sous-estimer la puissance de refoulement de l’idée de la mort, que suscite continuellement à dose plus ou moins fortes la « patrie ». » </w:t>
      </w:r>
    </w:p>
    <w:p w14:paraId="61BF51E4" w14:textId="77777777" w:rsidR="009D7219" w:rsidRPr="009D7219" w:rsidRDefault="009D7219" w:rsidP="009D7219">
      <w:pPr>
        <w:spacing w:line="240" w:lineRule="auto"/>
        <w:rPr>
          <w:rFonts w:ascii="Times New Roman" w:hAnsi="Times New Roman"/>
          <w:sz w:val="20"/>
          <w:szCs w:val="20"/>
        </w:rPr>
      </w:pPr>
    </w:p>
    <w:p w14:paraId="03B5854D" w14:textId="77777777" w:rsidR="003F7D3A" w:rsidRDefault="009D7219" w:rsidP="009D7219">
      <w:pPr>
        <w:spacing w:line="240" w:lineRule="auto"/>
        <w:rPr>
          <w:rFonts w:ascii="Times New Roman" w:hAnsi="Times New Roman"/>
          <w:sz w:val="20"/>
          <w:szCs w:val="20"/>
        </w:rPr>
      </w:pPr>
      <w:r w:rsidRPr="009D7219">
        <w:rPr>
          <w:rFonts w:ascii="Times New Roman" w:hAnsi="Times New Roman"/>
          <w:sz w:val="20"/>
          <w:szCs w:val="20"/>
        </w:rPr>
        <w:t xml:space="preserve">Edgar Morin, </w:t>
      </w:r>
      <w:r w:rsidRPr="009D7219">
        <w:rPr>
          <w:rFonts w:ascii="Times New Roman" w:hAnsi="Times New Roman"/>
          <w:i/>
          <w:sz w:val="20"/>
          <w:szCs w:val="20"/>
        </w:rPr>
        <w:t>L’homme et la mort</w:t>
      </w:r>
      <w:r w:rsidRPr="009D7219">
        <w:rPr>
          <w:rFonts w:ascii="Times New Roman" w:hAnsi="Times New Roman"/>
          <w:sz w:val="20"/>
          <w:szCs w:val="20"/>
        </w:rPr>
        <w:t>, Paris, Le Seuil, 1976 (1</w:t>
      </w:r>
      <w:r w:rsidRPr="009D7219">
        <w:rPr>
          <w:rFonts w:ascii="Times New Roman" w:hAnsi="Times New Roman"/>
          <w:sz w:val="20"/>
          <w:szCs w:val="20"/>
          <w:vertAlign w:val="superscript"/>
        </w:rPr>
        <w:t>re</w:t>
      </w:r>
      <w:r w:rsidRPr="009D7219">
        <w:rPr>
          <w:rFonts w:ascii="Times New Roman" w:hAnsi="Times New Roman"/>
          <w:sz w:val="20"/>
          <w:szCs w:val="20"/>
        </w:rPr>
        <w:t xml:space="preserve"> édition en 1951), p.55-60.</w:t>
      </w:r>
      <w:r w:rsidR="003F7D3A">
        <w:rPr>
          <w:rFonts w:ascii="Times New Roman" w:hAnsi="Times New Roman"/>
          <w:sz w:val="20"/>
          <w:szCs w:val="20"/>
        </w:rPr>
        <w:br w:type="page"/>
      </w:r>
    </w:p>
    <w:p w14:paraId="65C79CE8" w14:textId="77777777" w:rsidR="003F7D3A" w:rsidRPr="00081C1E" w:rsidRDefault="003F7D3A" w:rsidP="003F7D3A">
      <w:pPr>
        <w:spacing w:line="240" w:lineRule="auto"/>
        <w:jc w:val="center"/>
        <w:rPr>
          <w:rFonts w:ascii="Times New Roman" w:hAnsi="Times New Roman"/>
          <w:b/>
          <w:bCs/>
          <w:sz w:val="20"/>
          <w:szCs w:val="20"/>
        </w:rPr>
      </w:pPr>
      <w:bookmarkStart w:id="2" w:name="_Hlk130309551"/>
      <w:r w:rsidRPr="00081C1E">
        <w:rPr>
          <w:rFonts w:ascii="Times New Roman" w:hAnsi="Times New Roman"/>
          <w:b/>
          <w:bCs/>
          <w:sz w:val="20"/>
          <w:szCs w:val="20"/>
        </w:rPr>
        <w:lastRenderedPageBreak/>
        <w:t>« Les funérailles d’antan » (Georges Brassens, 1960)</w:t>
      </w:r>
    </w:p>
    <w:p w14:paraId="35DB6A7E" w14:textId="77777777" w:rsidR="003F7D3A" w:rsidRPr="00081C1E" w:rsidRDefault="003F7D3A" w:rsidP="003F7D3A">
      <w:pPr>
        <w:spacing w:line="240" w:lineRule="auto"/>
        <w:jc w:val="center"/>
        <w:rPr>
          <w:rFonts w:ascii="Times New Roman" w:hAnsi="Times New Roman"/>
          <w:b/>
          <w:bCs/>
          <w:sz w:val="20"/>
          <w:szCs w:val="20"/>
        </w:rPr>
      </w:pPr>
    </w:p>
    <w:p w14:paraId="3D91211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Jadis, les parents des morts vous mettaient dans le bain</w:t>
      </w:r>
    </w:p>
    <w:p w14:paraId="03AE52FC"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De bonne grâce ils en </w:t>
      </w:r>
      <w:proofErr w:type="spellStart"/>
      <w:r w:rsidRPr="00081C1E">
        <w:rPr>
          <w:rFonts w:ascii="Times New Roman" w:hAnsi="Times New Roman"/>
          <w:sz w:val="20"/>
          <w:szCs w:val="20"/>
        </w:rPr>
        <w:t>f’saient</w:t>
      </w:r>
      <w:proofErr w:type="spellEnd"/>
      <w:r w:rsidRPr="00081C1E">
        <w:rPr>
          <w:rFonts w:ascii="Times New Roman" w:hAnsi="Times New Roman"/>
          <w:sz w:val="20"/>
          <w:szCs w:val="20"/>
        </w:rPr>
        <w:t xml:space="preserve"> profiter les copains</w:t>
      </w:r>
    </w:p>
    <w:p w14:paraId="51B23DCD"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Y a un mort à la maison, si le cœur vous en dit</w:t>
      </w:r>
    </w:p>
    <w:p w14:paraId="3DF9BA6A"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Venez l’pleurer avec nous sur le coup de midi »</w:t>
      </w:r>
    </w:p>
    <w:p w14:paraId="30713F4A"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Mais les vivants aujourd’hui n’sont plus si généreux</w:t>
      </w:r>
    </w:p>
    <w:p w14:paraId="0395B80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Quand ils possèdent un mort il le garde pour eux</w:t>
      </w:r>
    </w:p>
    <w:p w14:paraId="21C0A1BB"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C’est la raison pour </w:t>
      </w:r>
      <w:proofErr w:type="spellStart"/>
      <w:r w:rsidRPr="00081C1E">
        <w:rPr>
          <w:rFonts w:ascii="Times New Roman" w:hAnsi="Times New Roman"/>
          <w:sz w:val="20"/>
          <w:szCs w:val="20"/>
        </w:rPr>
        <w:t>laquell</w:t>
      </w:r>
      <w:proofErr w:type="spellEnd"/>
      <w:r w:rsidRPr="00081C1E">
        <w:rPr>
          <w:rFonts w:ascii="Times New Roman" w:hAnsi="Times New Roman"/>
          <w:sz w:val="20"/>
          <w:szCs w:val="20"/>
        </w:rPr>
        <w:t>’, depuis quelques années</w:t>
      </w:r>
    </w:p>
    <w:p w14:paraId="76095294"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Des tas d’enterrements vous passent sous le nez.</w:t>
      </w:r>
    </w:p>
    <w:p w14:paraId="5EB1FB30" w14:textId="77777777" w:rsidR="003F7D3A" w:rsidRPr="00081C1E" w:rsidRDefault="003F7D3A" w:rsidP="003F7D3A">
      <w:pPr>
        <w:spacing w:line="240" w:lineRule="auto"/>
        <w:rPr>
          <w:rFonts w:ascii="Times New Roman" w:hAnsi="Times New Roman"/>
          <w:sz w:val="20"/>
          <w:szCs w:val="20"/>
        </w:rPr>
      </w:pPr>
    </w:p>
    <w:p w14:paraId="6CFE515A"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i/>
          <w:iCs/>
          <w:sz w:val="20"/>
          <w:szCs w:val="20"/>
        </w:rPr>
        <w:t>Refrain</w:t>
      </w:r>
      <w:r w:rsidRPr="00081C1E">
        <w:rPr>
          <w:rFonts w:ascii="Times New Roman" w:hAnsi="Times New Roman"/>
          <w:sz w:val="20"/>
          <w:szCs w:val="20"/>
        </w:rPr>
        <w:t xml:space="preserve">. Mais où sont les </w:t>
      </w:r>
      <w:proofErr w:type="spellStart"/>
      <w:r w:rsidRPr="00081C1E">
        <w:rPr>
          <w:rFonts w:ascii="Times New Roman" w:hAnsi="Times New Roman"/>
          <w:sz w:val="20"/>
          <w:szCs w:val="20"/>
        </w:rPr>
        <w:t>funéraill’s</w:t>
      </w:r>
      <w:proofErr w:type="spellEnd"/>
      <w:r w:rsidRPr="00081C1E">
        <w:rPr>
          <w:rFonts w:ascii="Times New Roman" w:hAnsi="Times New Roman"/>
          <w:sz w:val="20"/>
          <w:szCs w:val="20"/>
        </w:rPr>
        <w:t xml:space="preserve"> d’antan ?</w:t>
      </w:r>
    </w:p>
    <w:p w14:paraId="7383DFA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Les petits corbillards, corbillards, corbillards</w:t>
      </w:r>
    </w:p>
    <w:p w14:paraId="25272019"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De nos grands-pères</w:t>
      </w:r>
    </w:p>
    <w:p w14:paraId="6907154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Qui suivaient la route en cahotant</w:t>
      </w:r>
    </w:p>
    <w:p w14:paraId="4FC744F7"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Les petits macchabées, macchabées, macchabées, macchabées</w:t>
      </w:r>
    </w:p>
    <w:p w14:paraId="2AAD9637"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Ronds et prospères</w:t>
      </w:r>
    </w:p>
    <w:p w14:paraId="606897B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Quand les héritiers étaient contents</w:t>
      </w:r>
    </w:p>
    <w:p w14:paraId="279047BB"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Aux fossoyeurs, au </w:t>
      </w:r>
      <w:proofErr w:type="spellStart"/>
      <w:r w:rsidRPr="00081C1E">
        <w:rPr>
          <w:rFonts w:ascii="Times New Roman" w:hAnsi="Times New Roman"/>
          <w:sz w:val="20"/>
          <w:szCs w:val="20"/>
        </w:rPr>
        <w:t>croqu</w:t>
      </w:r>
      <w:proofErr w:type="spellEnd"/>
      <w:r w:rsidRPr="00081C1E">
        <w:rPr>
          <w:rFonts w:ascii="Times New Roman" w:hAnsi="Times New Roman"/>
          <w:sz w:val="20"/>
          <w:szCs w:val="20"/>
        </w:rPr>
        <w:t>’-mort, au curé, aux chevaux même</w:t>
      </w:r>
    </w:p>
    <w:p w14:paraId="651C9005"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Ils payaient un verre</w:t>
      </w:r>
    </w:p>
    <w:p w14:paraId="13CE0DC6"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Elles sont révolues</w:t>
      </w:r>
    </w:p>
    <w:p w14:paraId="62F3255E"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Elles ont fait leur temps</w:t>
      </w:r>
    </w:p>
    <w:p w14:paraId="24ED6915"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Les belles </w:t>
      </w:r>
      <w:proofErr w:type="spellStart"/>
      <w:r w:rsidRPr="00081C1E">
        <w:rPr>
          <w:rFonts w:ascii="Times New Roman" w:hAnsi="Times New Roman"/>
          <w:sz w:val="20"/>
          <w:szCs w:val="20"/>
        </w:rPr>
        <w:t>pom</w:t>
      </w:r>
      <w:proofErr w:type="spellEnd"/>
      <w:r w:rsidRPr="00081C1E">
        <w:rPr>
          <w:rFonts w:ascii="Times New Roman" w:hAnsi="Times New Roman"/>
          <w:sz w:val="20"/>
          <w:szCs w:val="20"/>
        </w:rPr>
        <w:t xml:space="preserve">, </w:t>
      </w:r>
      <w:proofErr w:type="spellStart"/>
      <w:r w:rsidRPr="00081C1E">
        <w:rPr>
          <w:rFonts w:ascii="Times New Roman" w:hAnsi="Times New Roman"/>
          <w:sz w:val="20"/>
          <w:szCs w:val="20"/>
        </w:rPr>
        <w:t>pom</w:t>
      </w:r>
      <w:proofErr w:type="spellEnd"/>
      <w:r w:rsidRPr="00081C1E">
        <w:rPr>
          <w:rFonts w:ascii="Times New Roman" w:hAnsi="Times New Roman"/>
          <w:sz w:val="20"/>
          <w:szCs w:val="20"/>
        </w:rPr>
        <w:t xml:space="preserve">, </w:t>
      </w:r>
      <w:proofErr w:type="spellStart"/>
      <w:r w:rsidRPr="00081C1E">
        <w:rPr>
          <w:rFonts w:ascii="Times New Roman" w:hAnsi="Times New Roman"/>
          <w:sz w:val="20"/>
          <w:szCs w:val="20"/>
        </w:rPr>
        <w:t>pom</w:t>
      </w:r>
      <w:proofErr w:type="spellEnd"/>
      <w:r w:rsidRPr="00081C1E">
        <w:rPr>
          <w:rFonts w:ascii="Times New Roman" w:hAnsi="Times New Roman"/>
          <w:sz w:val="20"/>
          <w:szCs w:val="20"/>
        </w:rPr>
        <w:t xml:space="preserve">, </w:t>
      </w:r>
      <w:proofErr w:type="spellStart"/>
      <w:r w:rsidRPr="00081C1E">
        <w:rPr>
          <w:rFonts w:ascii="Times New Roman" w:hAnsi="Times New Roman"/>
          <w:sz w:val="20"/>
          <w:szCs w:val="20"/>
        </w:rPr>
        <w:t>pom</w:t>
      </w:r>
      <w:proofErr w:type="spellEnd"/>
      <w:r w:rsidRPr="00081C1E">
        <w:rPr>
          <w:rFonts w:ascii="Times New Roman" w:hAnsi="Times New Roman"/>
          <w:sz w:val="20"/>
          <w:szCs w:val="20"/>
        </w:rPr>
        <w:t xml:space="preserve">, </w:t>
      </w:r>
      <w:proofErr w:type="spellStart"/>
      <w:r w:rsidRPr="00081C1E">
        <w:rPr>
          <w:rFonts w:ascii="Times New Roman" w:hAnsi="Times New Roman"/>
          <w:sz w:val="20"/>
          <w:szCs w:val="20"/>
        </w:rPr>
        <w:t>pom</w:t>
      </w:r>
      <w:proofErr w:type="spellEnd"/>
      <w:r w:rsidRPr="00081C1E">
        <w:rPr>
          <w:rFonts w:ascii="Times New Roman" w:hAnsi="Times New Roman"/>
          <w:sz w:val="20"/>
          <w:szCs w:val="20"/>
        </w:rPr>
        <w:t>, pompes funèbres</w:t>
      </w:r>
    </w:p>
    <w:p w14:paraId="42E50D9D"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On ne les </w:t>
      </w:r>
      <w:proofErr w:type="spellStart"/>
      <w:r w:rsidRPr="00081C1E">
        <w:rPr>
          <w:rFonts w:ascii="Times New Roman" w:hAnsi="Times New Roman"/>
          <w:sz w:val="20"/>
          <w:szCs w:val="20"/>
        </w:rPr>
        <w:t>r’verra</w:t>
      </w:r>
      <w:proofErr w:type="spellEnd"/>
      <w:r w:rsidRPr="00081C1E">
        <w:rPr>
          <w:rFonts w:ascii="Times New Roman" w:hAnsi="Times New Roman"/>
          <w:sz w:val="20"/>
          <w:szCs w:val="20"/>
        </w:rPr>
        <w:t xml:space="preserve"> plus</w:t>
      </w:r>
    </w:p>
    <w:p w14:paraId="684828B5"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Et c’est bien attristant</w:t>
      </w:r>
    </w:p>
    <w:p w14:paraId="334E9E7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Les belles pompes funèbres de nos vingt ans.</w:t>
      </w:r>
    </w:p>
    <w:p w14:paraId="6A212419" w14:textId="77777777" w:rsidR="003F7D3A" w:rsidRPr="00081C1E" w:rsidRDefault="003F7D3A" w:rsidP="003F7D3A">
      <w:pPr>
        <w:spacing w:line="240" w:lineRule="auto"/>
        <w:rPr>
          <w:rFonts w:ascii="Times New Roman" w:hAnsi="Times New Roman"/>
          <w:sz w:val="20"/>
          <w:szCs w:val="20"/>
        </w:rPr>
      </w:pPr>
    </w:p>
    <w:p w14:paraId="1472C520"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Maintenant les corbillards à tombeau grand ouvert</w:t>
      </w:r>
    </w:p>
    <w:p w14:paraId="120121A3"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Emportent les trépassés jusqu’au diable vauvert</w:t>
      </w:r>
    </w:p>
    <w:p w14:paraId="507428DB"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Les malheureux n’ont </w:t>
      </w:r>
      <w:proofErr w:type="spellStart"/>
      <w:r w:rsidRPr="00081C1E">
        <w:rPr>
          <w:rFonts w:ascii="Times New Roman" w:hAnsi="Times New Roman"/>
          <w:sz w:val="20"/>
          <w:szCs w:val="20"/>
        </w:rPr>
        <w:t>mêm</w:t>
      </w:r>
      <w:proofErr w:type="spellEnd"/>
      <w:r w:rsidRPr="00081C1E">
        <w:rPr>
          <w:rFonts w:ascii="Times New Roman" w:hAnsi="Times New Roman"/>
          <w:sz w:val="20"/>
          <w:szCs w:val="20"/>
        </w:rPr>
        <w:t>’ plus le plaisir enfantin</w:t>
      </w:r>
    </w:p>
    <w:p w14:paraId="13502DB5"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D’voir leurs héritiers marrons marcher dans le crottin</w:t>
      </w:r>
    </w:p>
    <w:p w14:paraId="05F62B8F"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L’autre </w:t>
      </w:r>
      <w:proofErr w:type="spellStart"/>
      <w:r w:rsidRPr="00081C1E">
        <w:rPr>
          <w:rFonts w:ascii="Times New Roman" w:hAnsi="Times New Roman"/>
          <w:sz w:val="20"/>
          <w:szCs w:val="20"/>
        </w:rPr>
        <w:t>semain</w:t>
      </w:r>
      <w:proofErr w:type="spellEnd"/>
      <w:r w:rsidRPr="00081C1E">
        <w:rPr>
          <w:rFonts w:ascii="Times New Roman" w:hAnsi="Times New Roman"/>
          <w:sz w:val="20"/>
          <w:szCs w:val="20"/>
        </w:rPr>
        <w:t>’ des salauds, à cent quarante à l’heur’</w:t>
      </w:r>
    </w:p>
    <w:p w14:paraId="4FF1C645"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Vers un </w:t>
      </w:r>
      <w:proofErr w:type="spellStart"/>
      <w:r w:rsidRPr="00081C1E">
        <w:rPr>
          <w:rFonts w:ascii="Times New Roman" w:hAnsi="Times New Roman"/>
          <w:sz w:val="20"/>
          <w:szCs w:val="20"/>
        </w:rPr>
        <w:t>cimetièr</w:t>
      </w:r>
      <w:proofErr w:type="spellEnd"/>
      <w:r w:rsidRPr="00081C1E">
        <w:rPr>
          <w:rFonts w:ascii="Times New Roman" w:hAnsi="Times New Roman"/>
          <w:sz w:val="20"/>
          <w:szCs w:val="20"/>
        </w:rPr>
        <w:t>’ minable emportait un des leurs</w:t>
      </w:r>
    </w:p>
    <w:p w14:paraId="09501D30"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Quand sur un arbre en bois dur ils se sont aplatis</w:t>
      </w:r>
    </w:p>
    <w:p w14:paraId="617C5EED"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On s’aperçut que l’mort avait fait des petits</w:t>
      </w:r>
    </w:p>
    <w:p w14:paraId="7B52958B" w14:textId="77777777" w:rsidR="003F7D3A" w:rsidRPr="00081C1E" w:rsidRDefault="003F7D3A" w:rsidP="003F7D3A">
      <w:pPr>
        <w:spacing w:line="240" w:lineRule="auto"/>
        <w:rPr>
          <w:rFonts w:ascii="Times New Roman" w:hAnsi="Times New Roman"/>
          <w:sz w:val="20"/>
          <w:szCs w:val="20"/>
        </w:rPr>
      </w:pPr>
    </w:p>
    <w:p w14:paraId="2A3FE178"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 xml:space="preserve">Plutôt qu’d’avoir des </w:t>
      </w:r>
      <w:proofErr w:type="spellStart"/>
      <w:r w:rsidRPr="00081C1E">
        <w:rPr>
          <w:rFonts w:ascii="Times New Roman" w:hAnsi="Times New Roman"/>
          <w:sz w:val="20"/>
          <w:szCs w:val="20"/>
        </w:rPr>
        <w:t>obsèqu’s</w:t>
      </w:r>
      <w:proofErr w:type="spellEnd"/>
      <w:r w:rsidRPr="00081C1E">
        <w:rPr>
          <w:rFonts w:ascii="Times New Roman" w:hAnsi="Times New Roman"/>
          <w:sz w:val="20"/>
          <w:szCs w:val="20"/>
        </w:rPr>
        <w:t xml:space="preserve"> manquant de </w:t>
      </w:r>
      <w:proofErr w:type="spellStart"/>
      <w:r w:rsidRPr="00081C1E">
        <w:rPr>
          <w:rFonts w:ascii="Times New Roman" w:hAnsi="Times New Roman"/>
          <w:sz w:val="20"/>
          <w:szCs w:val="20"/>
        </w:rPr>
        <w:t>fioritur’s</w:t>
      </w:r>
      <w:proofErr w:type="spellEnd"/>
    </w:p>
    <w:p w14:paraId="6FB988B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J’</w:t>
      </w:r>
      <w:proofErr w:type="spellStart"/>
      <w:r w:rsidRPr="00081C1E">
        <w:rPr>
          <w:rFonts w:ascii="Times New Roman" w:hAnsi="Times New Roman"/>
          <w:sz w:val="20"/>
          <w:szCs w:val="20"/>
        </w:rPr>
        <w:t>aim’rais</w:t>
      </w:r>
      <w:proofErr w:type="spellEnd"/>
      <w:r w:rsidRPr="00081C1E">
        <w:rPr>
          <w:rFonts w:ascii="Times New Roman" w:hAnsi="Times New Roman"/>
          <w:sz w:val="20"/>
          <w:szCs w:val="20"/>
        </w:rPr>
        <w:t xml:space="preserve"> mieux, tout compte fait, m’passer de </w:t>
      </w:r>
      <w:proofErr w:type="spellStart"/>
      <w:r w:rsidRPr="00081C1E">
        <w:rPr>
          <w:rFonts w:ascii="Times New Roman" w:hAnsi="Times New Roman"/>
          <w:sz w:val="20"/>
          <w:szCs w:val="20"/>
        </w:rPr>
        <w:t>sépultur</w:t>
      </w:r>
      <w:proofErr w:type="spellEnd"/>
      <w:r w:rsidRPr="00081C1E">
        <w:rPr>
          <w:rFonts w:ascii="Times New Roman" w:hAnsi="Times New Roman"/>
          <w:sz w:val="20"/>
          <w:szCs w:val="20"/>
        </w:rPr>
        <w:t>’</w:t>
      </w:r>
    </w:p>
    <w:p w14:paraId="3BBDCECF"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J’</w:t>
      </w:r>
      <w:proofErr w:type="spellStart"/>
      <w:r w:rsidRPr="00081C1E">
        <w:rPr>
          <w:rFonts w:ascii="Times New Roman" w:hAnsi="Times New Roman"/>
          <w:sz w:val="20"/>
          <w:szCs w:val="20"/>
        </w:rPr>
        <w:t>aim’rais</w:t>
      </w:r>
      <w:proofErr w:type="spellEnd"/>
      <w:r w:rsidRPr="00081C1E">
        <w:rPr>
          <w:rFonts w:ascii="Times New Roman" w:hAnsi="Times New Roman"/>
          <w:sz w:val="20"/>
          <w:szCs w:val="20"/>
        </w:rPr>
        <w:t xml:space="preserve"> mieux mourir dans l’eau, dans le feu, n’importe où</w:t>
      </w:r>
    </w:p>
    <w:p w14:paraId="7BB3B33D"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Et même, à la grande rigueur, ne pas mourir du tout</w:t>
      </w:r>
    </w:p>
    <w:p w14:paraId="37F01569"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Ô, renaisse le temps des morts bouffis d’orgueil</w:t>
      </w:r>
    </w:p>
    <w:p w14:paraId="10722681"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L’époque des m’as-tu-vu-dans-mon-joli-cercueil</w:t>
      </w:r>
    </w:p>
    <w:p w14:paraId="063BCFAD"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Où, quitte à tout dépenser jusqu’au dernier écu,</w:t>
      </w:r>
    </w:p>
    <w:p w14:paraId="3F9AC4CA" w14:textId="77777777" w:rsidR="003F7D3A" w:rsidRPr="00081C1E" w:rsidRDefault="003F7D3A" w:rsidP="003F7D3A">
      <w:pPr>
        <w:spacing w:line="240" w:lineRule="auto"/>
        <w:rPr>
          <w:rFonts w:ascii="Times New Roman" w:hAnsi="Times New Roman"/>
          <w:sz w:val="20"/>
          <w:szCs w:val="20"/>
        </w:rPr>
      </w:pPr>
      <w:r w:rsidRPr="00081C1E">
        <w:rPr>
          <w:rFonts w:ascii="Times New Roman" w:hAnsi="Times New Roman"/>
          <w:sz w:val="20"/>
          <w:szCs w:val="20"/>
        </w:rPr>
        <w:t>Les gens avaient à cœur d’mourir plus haut qu’leur cul</w:t>
      </w:r>
    </w:p>
    <w:p w14:paraId="2F7C41EA" w14:textId="77777777" w:rsidR="005A59E9" w:rsidRDefault="003F7D3A" w:rsidP="003F7D3A">
      <w:pPr>
        <w:spacing w:line="240" w:lineRule="auto"/>
        <w:rPr>
          <w:rFonts w:ascii="Times New Roman" w:hAnsi="Times New Roman"/>
          <w:sz w:val="20"/>
          <w:szCs w:val="20"/>
        </w:rPr>
      </w:pPr>
      <w:r w:rsidRPr="00081C1E">
        <w:rPr>
          <w:rFonts w:ascii="Times New Roman" w:hAnsi="Times New Roman"/>
          <w:sz w:val="20"/>
          <w:szCs w:val="20"/>
        </w:rPr>
        <w:t>Les gens avaient à cœur de mourir plus haut que leur cul.</w:t>
      </w:r>
      <w:bookmarkEnd w:id="2"/>
      <w:r w:rsidR="005A59E9">
        <w:rPr>
          <w:rFonts w:ascii="Times New Roman" w:hAnsi="Times New Roman"/>
          <w:sz w:val="20"/>
          <w:szCs w:val="20"/>
        </w:rPr>
        <w:br w:type="page"/>
      </w:r>
    </w:p>
    <w:p w14:paraId="4CF98141" w14:textId="77777777" w:rsidR="005A59E9" w:rsidRPr="005A59E9" w:rsidRDefault="005A59E9" w:rsidP="005A59E9">
      <w:pPr>
        <w:jc w:val="center"/>
        <w:rPr>
          <w:rFonts w:ascii="Times New Roman" w:hAnsi="Times New Roman"/>
          <w:b/>
          <w:sz w:val="20"/>
          <w:szCs w:val="20"/>
        </w:rPr>
      </w:pPr>
      <w:r w:rsidRPr="005A59E9">
        <w:rPr>
          <w:rFonts w:ascii="Times New Roman" w:hAnsi="Times New Roman"/>
          <w:b/>
          <w:sz w:val="20"/>
          <w:szCs w:val="20"/>
        </w:rPr>
        <w:lastRenderedPageBreak/>
        <w:t>La fin des pompes funèbres</w:t>
      </w:r>
      <w:r w:rsidR="00496875">
        <w:rPr>
          <w:rFonts w:ascii="Times New Roman" w:hAnsi="Times New Roman"/>
          <w:b/>
          <w:sz w:val="20"/>
          <w:szCs w:val="20"/>
        </w:rPr>
        <w:t>.</w:t>
      </w:r>
    </w:p>
    <w:p w14:paraId="1AE06CE3" w14:textId="77777777" w:rsidR="005A59E9" w:rsidRPr="005A59E9" w:rsidRDefault="005A59E9" w:rsidP="005A59E9">
      <w:pPr>
        <w:jc w:val="center"/>
        <w:rPr>
          <w:rFonts w:ascii="Times New Roman" w:hAnsi="Times New Roman"/>
          <w:b/>
          <w:sz w:val="20"/>
          <w:szCs w:val="20"/>
        </w:rPr>
      </w:pPr>
      <w:r w:rsidRPr="005A59E9">
        <w:rPr>
          <w:rFonts w:ascii="Times New Roman" w:hAnsi="Times New Roman"/>
          <w:b/>
          <w:sz w:val="20"/>
          <w:szCs w:val="20"/>
        </w:rPr>
        <w:t>L’abolition des classes d’enterrement dans le diocèse de Paris (1962-1968)</w:t>
      </w:r>
    </w:p>
    <w:p w14:paraId="2EBE04E0" w14:textId="77777777" w:rsidR="005A59E9" w:rsidRPr="005A59E9" w:rsidRDefault="005A59E9" w:rsidP="005A59E9">
      <w:pPr>
        <w:rPr>
          <w:rFonts w:ascii="Times New Roman" w:hAnsi="Times New Roman"/>
          <w:sz w:val="20"/>
          <w:szCs w:val="20"/>
        </w:rPr>
      </w:pPr>
    </w:p>
    <w:p w14:paraId="4ACDD8FF" w14:textId="77777777" w:rsidR="005A59E9" w:rsidRPr="005A59E9" w:rsidRDefault="005A59E9" w:rsidP="005A59E9">
      <w:pPr>
        <w:pStyle w:val="Paragraphedeliste"/>
        <w:numPr>
          <w:ilvl w:val="0"/>
          <w:numId w:val="24"/>
        </w:numPr>
        <w:jc w:val="both"/>
        <w:rPr>
          <w:b/>
          <w:sz w:val="20"/>
          <w:szCs w:val="20"/>
        </w:rPr>
      </w:pPr>
      <w:r w:rsidRPr="005A59E9">
        <w:rPr>
          <w:b/>
          <w:sz w:val="20"/>
          <w:szCs w:val="20"/>
        </w:rPr>
        <w:t xml:space="preserve">L’ordonnance du cardinal </w:t>
      </w:r>
      <w:proofErr w:type="spellStart"/>
      <w:r w:rsidRPr="005A59E9">
        <w:rPr>
          <w:b/>
          <w:sz w:val="20"/>
          <w:szCs w:val="20"/>
        </w:rPr>
        <w:t>Feltin</w:t>
      </w:r>
      <w:proofErr w:type="spellEnd"/>
      <w:r w:rsidRPr="005A59E9">
        <w:rPr>
          <w:b/>
          <w:sz w:val="20"/>
          <w:szCs w:val="20"/>
        </w:rPr>
        <w:t xml:space="preserve"> de novembre 1962</w:t>
      </w:r>
    </w:p>
    <w:p w14:paraId="560A7D63" w14:textId="77777777" w:rsidR="005A59E9" w:rsidRPr="005A59E9" w:rsidRDefault="005A59E9" w:rsidP="005A59E9">
      <w:pPr>
        <w:ind w:left="360"/>
        <w:rPr>
          <w:rFonts w:ascii="Times New Roman" w:hAnsi="Times New Roman"/>
          <w:sz w:val="20"/>
          <w:szCs w:val="20"/>
        </w:rPr>
      </w:pPr>
    </w:p>
    <w:p w14:paraId="6B791521"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Nous, Maurice </w:t>
      </w:r>
      <w:proofErr w:type="spellStart"/>
      <w:r w:rsidRPr="005A59E9">
        <w:rPr>
          <w:rFonts w:ascii="Times New Roman" w:hAnsi="Times New Roman"/>
          <w:sz w:val="20"/>
          <w:szCs w:val="20"/>
        </w:rPr>
        <w:t>Feltin</w:t>
      </w:r>
      <w:proofErr w:type="spellEnd"/>
      <w:r w:rsidRPr="005A59E9">
        <w:rPr>
          <w:rFonts w:ascii="Times New Roman" w:hAnsi="Times New Roman"/>
          <w:sz w:val="20"/>
          <w:szCs w:val="20"/>
        </w:rPr>
        <w:t xml:space="preserve">, par la grâce de Dieu et du Saint-Siège Apostolique, Cardinal Prêtre de la Sainte Eglise Romaine du Titre de Sainte-Marie-de-la-Paix, Archevêque de Paris, </w:t>
      </w:r>
    </w:p>
    <w:p w14:paraId="1F2C8ED9"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Considérant qu’un nombre croissant de prêtres et de laïcs de Notre diocèse Nous ont fait part de leur désir de voir plus de simplicité entourer les cérémonies d’obsèques et de mariage, </w:t>
      </w:r>
    </w:p>
    <w:p w14:paraId="0B70D80D"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Considérant que certains usages actuellement en vigueur sont parfois cause d’incompréhension vis-à-vis de l’Eglise et qu’ils peuvent retarder son œuvre d’Evangélisation, </w:t>
      </w:r>
    </w:p>
    <w:p w14:paraId="031D2D90"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Considérant, d’autre part, que diverses paroisses, tant à Paris qu’en banlieue, ont, ces dernières années, pris en ce sens, avec Notre accord, des initiatives qui se sont avérées heureuses, </w:t>
      </w:r>
    </w:p>
    <w:p w14:paraId="1169A1B1"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 </w:t>
      </w:r>
    </w:p>
    <w:p w14:paraId="1C6CB582"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Avons ordonné et ordonnons ce qui suit :</w:t>
      </w:r>
    </w:p>
    <w:p w14:paraId="117BFB2B" w14:textId="77777777" w:rsidR="005A59E9" w:rsidRPr="005A59E9" w:rsidRDefault="005A59E9" w:rsidP="005A59E9">
      <w:pPr>
        <w:rPr>
          <w:rFonts w:ascii="Times New Roman" w:hAnsi="Times New Roman"/>
          <w:sz w:val="20"/>
          <w:szCs w:val="20"/>
        </w:rPr>
      </w:pPr>
      <w:r w:rsidRPr="005A59E9">
        <w:rPr>
          <w:rStyle w:val="petitemajusculeCar"/>
          <w:rFonts w:ascii="Times New Roman" w:hAnsi="Times New Roman"/>
          <w:sz w:val="20"/>
          <w:szCs w:val="20"/>
        </w:rPr>
        <w:t>Article premier</w:t>
      </w:r>
      <w:r w:rsidRPr="005A59E9">
        <w:rPr>
          <w:rFonts w:ascii="Times New Roman" w:hAnsi="Times New Roman"/>
          <w:sz w:val="20"/>
          <w:szCs w:val="20"/>
        </w:rPr>
        <w:t>. – MM. Les curés organiseront à l’occasion des mariages une cérémonie digne et accueillante et ils assureront à tout chrétien la célébration de ses obsèques dans la dignité et la simplicité.</w:t>
      </w:r>
    </w:p>
    <w:p w14:paraId="5C5F6A46"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Ces deux cérémonies, que Nous souhaitons voir le plus habituellement choisies par les familles, porteront le nom de « cérémonies paroissiales ». </w:t>
      </w:r>
    </w:p>
    <w:p w14:paraId="537CEE79" w14:textId="77777777" w:rsidR="005A59E9" w:rsidRPr="005A59E9" w:rsidRDefault="005A59E9" w:rsidP="005A59E9">
      <w:pPr>
        <w:rPr>
          <w:rFonts w:ascii="Times New Roman" w:hAnsi="Times New Roman"/>
          <w:sz w:val="20"/>
          <w:szCs w:val="20"/>
        </w:rPr>
      </w:pPr>
      <w:r w:rsidRPr="005A59E9">
        <w:rPr>
          <w:rStyle w:val="petitemajusculeCar"/>
          <w:rFonts w:ascii="Times New Roman" w:hAnsi="Times New Roman"/>
          <w:sz w:val="20"/>
          <w:szCs w:val="20"/>
        </w:rPr>
        <w:t>Art</w:t>
      </w:r>
      <w:r w:rsidRPr="005A59E9">
        <w:rPr>
          <w:rFonts w:ascii="Times New Roman" w:hAnsi="Times New Roman"/>
          <w:sz w:val="20"/>
          <w:szCs w:val="20"/>
        </w:rPr>
        <w:t xml:space="preserve">. 2. – Pour assurer l’unité de l’effort pastoral entrepris à cet égard, l’une et l’autre de ces cérémonies paroissiales seront, pour l’essentiel, les mêmes dans tout le diocèse. </w:t>
      </w:r>
    </w:p>
    <w:p w14:paraId="7AD57923"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Les paroisses auront soin de s’entendre entre elles dans le cadre du doyenné pour la mise au point des détails. </w:t>
      </w:r>
    </w:p>
    <w:p w14:paraId="6A95241B"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Le cérémonial, une fois fixé dans chaque paroisse pour les mariages et pour les obsèques, y sera appliqué de façon identique à toutes les « cérémonies paroissiales ». </w:t>
      </w:r>
    </w:p>
    <w:p w14:paraId="76970B54" w14:textId="77777777" w:rsidR="005A59E9" w:rsidRPr="005A59E9" w:rsidRDefault="005A59E9" w:rsidP="005A59E9">
      <w:pPr>
        <w:rPr>
          <w:rFonts w:ascii="Times New Roman" w:hAnsi="Times New Roman"/>
          <w:sz w:val="20"/>
          <w:szCs w:val="20"/>
        </w:rPr>
      </w:pPr>
      <w:r w:rsidRPr="005A59E9">
        <w:rPr>
          <w:rStyle w:val="petitemajusculeCar"/>
          <w:rFonts w:ascii="Times New Roman" w:hAnsi="Times New Roman"/>
          <w:sz w:val="20"/>
          <w:szCs w:val="20"/>
        </w:rPr>
        <w:t xml:space="preserve">Art. 3. </w:t>
      </w:r>
      <w:r w:rsidRPr="005A59E9">
        <w:rPr>
          <w:rFonts w:ascii="Times New Roman" w:hAnsi="Times New Roman"/>
          <w:sz w:val="20"/>
          <w:szCs w:val="20"/>
        </w:rPr>
        <w:t xml:space="preserve">– MM. Les curés veilleront notamment aux caractéristiques suivantes des cérémonies paroissiales : </w:t>
      </w:r>
    </w:p>
    <w:p w14:paraId="1B9A8875" w14:textId="77777777" w:rsidR="005A59E9" w:rsidRPr="005A59E9" w:rsidRDefault="005A59E9" w:rsidP="005A59E9">
      <w:pPr>
        <w:rPr>
          <w:rFonts w:ascii="Times New Roman" w:hAnsi="Times New Roman"/>
          <w:sz w:val="20"/>
          <w:szCs w:val="20"/>
        </w:rPr>
      </w:pPr>
      <w:r w:rsidRPr="005A59E9">
        <w:rPr>
          <w:rFonts w:ascii="Times New Roman" w:hAnsi="Times New Roman"/>
          <w:i/>
          <w:iCs/>
          <w:sz w:val="20"/>
          <w:szCs w:val="20"/>
        </w:rPr>
        <w:t>a)</w:t>
      </w:r>
      <w:r w:rsidRPr="005A59E9">
        <w:rPr>
          <w:rFonts w:ascii="Times New Roman" w:hAnsi="Times New Roman"/>
          <w:sz w:val="20"/>
          <w:szCs w:val="20"/>
        </w:rPr>
        <w:t xml:space="preserve"> On assurera, chaque fois que sera célébrée la Sainte Messe, la présence continue d’un prêtre guidant la prière des fidèles ; </w:t>
      </w:r>
    </w:p>
    <w:p w14:paraId="1271BC8F" w14:textId="77777777" w:rsidR="005A59E9" w:rsidRPr="005A59E9" w:rsidRDefault="005A59E9" w:rsidP="005A59E9">
      <w:pPr>
        <w:rPr>
          <w:rFonts w:ascii="Times New Roman" w:hAnsi="Times New Roman"/>
          <w:sz w:val="20"/>
          <w:szCs w:val="20"/>
        </w:rPr>
      </w:pPr>
      <w:r w:rsidRPr="005A59E9">
        <w:rPr>
          <w:rFonts w:ascii="Times New Roman" w:hAnsi="Times New Roman"/>
          <w:i/>
          <w:iCs/>
          <w:sz w:val="20"/>
          <w:szCs w:val="20"/>
        </w:rPr>
        <w:t>b)</w:t>
      </w:r>
      <w:r w:rsidRPr="005A59E9">
        <w:rPr>
          <w:rFonts w:ascii="Times New Roman" w:hAnsi="Times New Roman"/>
          <w:sz w:val="20"/>
          <w:szCs w:val="20"/>
        </w:rPr>
        <w:t xml:space="preserve"> On veillera à ce que les cérémonies paroissiales aient lieu à l’autel qui convient le mieux, sans réserver nécessairement le maître-autel aux cérémonies prévues à l’Article 5 ; </w:t>
      </w:r>
    </w:p>
    <w:p w14:paraId="305B7B70" w14:textId="77777777" w:rsidR="005A59E9" w:rsidRPr="005A59E9" w:rsidRDefault="005A59E9" w:rsidP="005A59E9">
      <w:pPr>
        <w:rPr>
          <w:rFonts w:ascii="Times New Roman" w:hAnsi="Times New Roman"/>
          <w:sz w:val="20"/>
          <w:szCs w:val="20"/>
        </w:rPr>
      </w:pPr>
      <w:r w:rsidRPr="005A59E9">
        <w:rPr>
          <w:rFonts w:ascii="Times New Roman" w:hAnsi="Times New Roman"/>
          <w:i/>
          <w:iCs/>
          <w:sz w:val="20"/>
          <w:szCs w:val="20"/>
        </w:rPr>
        <w:t xml:space="preserve">c) </w:t>
      </w:r>
      <w:r w:rsidRPr="005A59E9">
        <w:rPr>
          <w:rFonts w:ascii="Times New Roman" w:hAnsi="Times New Roman"/>
          <w:sz w:val="20"/>
          <w:szCs w:val="20"/>
        </w:rPr>
        <w:t xml:space="preserve">On aura soin de prévoir, pour chacune des cérémonies, un personnel approprié, un matériel simple et décent, et une participation musicale propre à en assurer la dignité et le caractère religieux. </w:t>
      </w:r>
    </w:p>
    <w:p w14:paraId="409B4816" w14:textId="77777777" w:rsidR="005A59E9" w:rsidRPr="005A59E9" w:rsidRDefault="005A59E9" w:rsidP="005A59E9">
      <w:pPr>
        <w:rPr>
          <w:rFonts w:ascii="Times New Roman" w:hAnsi="Times New Roman"/>
          <w:sz w:val="20"/>
          <w:szCs w:val="20"/>
        </w:rPr>
      </w:pPr>
      <w:r w:rsidRPr="005A59E9">
        <w:rPr>
          <w:rFonts w:ascii="Times New Roman" w:hAnsi="Times New Roman"/>
          <w:i/>
          <w:iCs/>
          <w:sz w:val="20"/>
          <w:szCs w:val="20"/>
        </w:rPr>
        <w:t>d)</w:t>
      </w:r>
      <w:r w:rsidRPr="005A59E9">
        <w:rPr>
          <w:rFonts w:ascii="Times New Roman" w:hAnsi="Times New Roman"/>
          <w:sz w:val="20"/>
          <w:szCs w:val="20"/>
        </w:rPr>
        <w:t xml:space="preserve"> Dans chaque paroisse une même règle présidera à la sonnerie des cloches pour toutes les cérémonies funèbres. Il en sera de même pour les mariages. </w:t>
      </w:r>
    </w:p>
    <w:p w14:paraId="20294A03" w14:textId="77777777" w:rsidR="005A59E9" w:rsidRPr="005A59E9" w:rsidRDefault="005A59E9" w:rsidP="005A59E9">
      <w:pPr>
        <w:rPr>
          <w:rFonts w:ascii="Times New Roman" w:hAnsi="Times New Roman"/>
          <w:sz w:val="20"/>
          <w:szCs w:val="20"/>
        </w:rPr>
      </w:pPr>
      <w:r w:rsidRPr="005A59E9">
        <w:rPr>
          <w:rFonts w:ascii="Times New Roman" w:hAnsi="Times New Roman"/>
          <w:i/>
          <w:iCs/>
          <w:sz w:val="20"/>
          <w:szCs w:val="20"/>
        </w:rPr>
        <w:t>e)</w:t>
      </w:r>
      <w:r w:rsidRPr="005A59E9">
        <w:rPr>
          <w:rFonts w:ascii="Times New Roman" w:hAnsi="Times New Roman"/>
          <w:sz w:val="20"/>
          <w:szCs w:val="20"/>
        </w:rPr>
        <w:t xml:space="preserve"> Les tentures intérieures et extérieures ne sont plus autorisées. </w:t>
      </w:r>
    </w:p>
    <w:p w14:paraId="6B091CA5" w14:textId="77777777" w:rsidR="005A59E9" w:rsidRPr="005A59E9" w:rsidRDefault="005A59E9" w:rsidP="005A59E9">
      <w:pPr>
        <w:rPr>
          <w:rFonts w:ascii="Times New Roman" w:hAnsi="Times New Roman"/>
          <w:sz w:val="20"/>
          <w:szCs w:val="20"/>
        </w:rPr>
      </w:pPr>
      <w:r w:rsidRPr="005A59E9">
        <w:rPr>
          <w:rStyle w:val="petitemajusculeCar"/>
          <w:rFonts w:ascii="Times New Roman" w:hAnsi="Times New Roman"/>
          <w:sz w:val="20"/>
          <w:szCs w:val="20"/>
        </w:rPr>
        <w:t xml:space="preserve">Art. 4. </w:t>
      </w:r>
      <w:r w:rsidRPr="005A59E9">
        <w:rPr>
          <w:rFonts w:ascii="Times New Roman" w:hAnsi="Times New Roman"/>
          <w:sz w:val="20"/>
          <w:szCs w:val="20"/>
        </w:rPr>
        <w:t xml:space="preserve">– Aucune rémunération tarifée ne sera exigée des familles pour les cérémonies paroissiales de mariage et d’enterrement. Les familles seront invitées à faire une offrande proportionnée à leurs possibilités financières, aux dépenses qu’elles auront faites par ailleurs et aux frais engagés par la paroisse. </w:t>
      </w:r>
    </w:p>
    <w:p w14:paraId="579CD1B0" w14:textId="77777777" w:rsidR="005A59E9" w:rsidRPr="005A59E9" w:rsidRDefault="005A59E9" w:rsidP="005A59E9">
      <w:pPr>
        <w:rPr>
          <w:rStyle w:val="petitemajusculeCar"/>
          <w:rFonts w:ascii="Times New Roman" w:hAnsi="Times New Roman"/>
          <w:sz w:val="20"/>
          <w:szCs w:val="20"/>
        </w:rPr>
      </w:pPr>
      <w:r w:rsidRPr="005A59E9">
        <w:rPr>
          <w:rFonts w:ascii="Times New Roman" w:hAnsi="Times New Roman"/>
          <w:sz w:val="20"/>
          <w:szCs w:val="20"/>
        </w:rPr>
        <w:t>Nous demandons à Nos diocésains qui en auraient les moyens de compense</w:t>
      </w:r>
      <w:r w:rsidRPr="005A59E9">
        <w:rPr>
          <w:rFonts w:ascii="Times New Roman" w:hAnsi="Times New Roman"/>
          <w:color w:val="FF0000"/>
          <w:sz w:val="20"/>
          <w:szCs w:val="20"/>
        </w:rPr>
        <w:t>r</w:t>
      </w:r>
      <w:r w:rsidRPr="005A59E9">
        <w:rPr>
          <w:rFonts w:ascii="Times New Roman" w:hAnsi="Times New Roman"/>
          <w:sz w:val="20"/>
          <w:szCs w:val="20"/>
        </w:rPr>
        <w:t xml:space="preserve"> par leur générosité les offrandes des familles moins fortunées. </w:t>
      </w:r>
    </w:p>
    <w:p w14:paraId="36252E92" w14:textId="77777777" w:rsidR="005A59E9" w:rsidRPr="005A59E9" w:rsidRDefault="005A59E9" w:rsidP="005A59E9">
      <w:pPr>
        <w:rPr>
          <w:rFonts w:ascii="Times New Roman" w:hAnsi="Times New Roman"/>
          <w:sz w:val="20"/>
          <w:szCs w:val="20"/>
        </w:rPr>
      </w:pPr>
      <w:r w:rsidRPr="005A59E9">
        <w:rPr>
          <w:rStyle w:val="petitemajusculeCar"/>
          <w:rFonts w:ascii="Times New Roman" w:hAnsi="Times New Roman"/>
          <w:sz w:val="20"/>
          <w:szCs w:val="20"/>
        </w:rPr>
        <w:t xml:space="preserve">Art. 5. </w:t>
      </w:r>
      <w:r w:rsidRPr="005A59E9">
        <w:rPr>
          <w:rFonts w:ascii="Times New Roman" w:hAnsi="Times New Roman"/>
          <w:sz w:val="20"/>
          <w:szCs w:val="20"/>
        </w:rPr>
        <w:t>– A titre transitoire, les paroisses qui l’estimeraient opportun pourront, après entent</w:t>
      </w:r>
      <w:r w:rsidRPr="005A59E9">
        <w:rPr>
          <w:rFonts w:ascii="Times New Roman" w:hAnsi="Times New Roman"/>
          <w:color w:val="FF0000"/>
          <w:sz w:val="20"/>
          <w:szCs w:val="20"/>
        </w:rPr>
        <w:t>e</w:t>
      </w:r>
      <w:r w:rsidRPr="005A59E9">
        <w:rPr>
          <w:rFonts w:ascii="Times New Roman" w:hAnsi="Times New Roman"/>
          <w:sz w:val="20"/>
          <w:szCs w:val="20"/>
        </w:rPr>
        <w:t xml:space="preserve"> au plan du doyenné, demander à l’Ordinaire l’autorisation d’organiser d’autres cérémonies plus solennelles de mariage et d’enterrement. Les conditions de règlement de ces cérémonies seront déterminées par Nous. </w:t>
      </w:r>
    </w:p>
    <w:p w14:paraId="4B786484"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Ces cérémonies ne sont pas autorisées pour les mariages pendant le Saint Temps du Carême. </w:t>
      </w:r>
    </w:p>
    <w:p w14:paraId="64B4EEBF" w14:textId="77777777" w:rsidR="005A59E9" w:rsidRPr="005A59E9" w:rsidRDefault="005A59E9" w:rsidP="005A59E9">
      <w:pPr>
        <w:rPr>
          <w:rFonts w:ascii="Times New Roman" w:hAnsi="Times New Roman"/>
          <w:sz w:val="20"/>
          <w:szCs w:val="20"/>
        </w:rPr>
      </w:pPr>
      <w:r w:rsidRPr="005A59E9">
        <w:rPr>
          <w:rStyle w:val="petitemajusculeCar"/>
          <w:rFonts w:ascii="Times New Roman" w:hAnsi="Times New Roman"/>
          <w:sz w:val="20"/>
          <w:szCs w:val="20"/>
        </w:rPr>
        <w:t xml:space="preserve">Art. 6. </w:t>
      </w:r>
      <w:r w:rsidRPr="005A59E9">
        <w:rPr>
          <w:rFonts w:ascii="Times New Roman" w:hAnsi="Times New Roman"/>
          <w:sz w:val="20"/>
          <w:szCs w:val="20"/>
        </w:rPr>
        <w:t xml:space="preserve">– Pour chacune des cérémonies envisagées à l’article précédent sont prévus un personnel, un matériel et une participation musicale appropriés, dont l’importance variera selon les cas, mais en demeurant conforme aux caractéristiques générales définies à l’Article 3. On évitera toute recherche inutile et toute ostentation. </w:t>
      </w:r>
    </w:p>
    <w:p w14:paraId="0C380A94" w14:textId="77777777" w:rsidR="005A59E9" w:rsidRPr="005A59E9" w:rsidRDefault="005A59E9" w:rsidP="005A59E9">
      <w:pPr>
        <w:rPr>
          <w:rStyle w:val="petitemajusculeCar"/>
          <w:rFonts w:ascii="Times New Roman" w:hAnsi="Times New Roman"/>
          <w:sz w:val="20"/>
          <w:szCs w:val="20"/>
        </w:rPr>
      </w:pPr>
      <w:r w:rsidRPr="005A59E9">
        <w:rPr>
          <w:rFonts w:ascii="Times New Roman" w:hAnsi="Times New Roman"/>
          <w:sz w:val="20"/>
          <w:szCs w:val="20"/>
        </w:rPr>
        <w:t xml:space="preserve">Pour souligner l’égalité de tous devant la mort, l’estrade destinée à recevoir le cercueil demeurera dans tous les cas celle qui est prévue à l’Article 3 (paragraphe c), pour les cérémonies paroissiales. </w:t>
      </w:r>
    </w:p>
    <w:p w14:paraId="5CFA8689" w14:textId="77777777" w:rsidR="005A59E9" w:rsidRPr="005A59E9" w:rsidRDefault="005A59E9" w:rsidP="005A59E9">
      <w:pPr>
        <w:rPr>
          <w:rStyle w:val="petitemajusculeCar"/>
          <w:rFonts w:ascii="Times New Roman" w:hAnsi="Times New Roman"/>
          <w:sz w:val="20"/>
          <w:szCs w:val="20"/>
        </w:rPr>
      </w:pPr>
      <w:r w:rsidRPr="005A59E9">
        <w:rPr>
          <w:rStyle w:val="petitemajusculeCar"/>
          <w:rFonts w:ascii="Times New Roman" w:hAnsi="Times New Roman"/>
          <w:sz w:val="20"/>
          <w:szCs w:val="20"/>
        </w:rPr>
        <w:t>[…]</w:t>
      </w:r>
    </w:p>
    <w:p w14:paraId="12082D82"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La présente Ordonnance entrera en vigueur le 1</w:t>
      </w:r>
      <w:r w:rsidRPr="005A59E9">
        <w:rPr>
          <w:rFonts w:ascii="Times New Roman" w:hAnsi="Times New Roman"/>
          <w:sz w:val="20"/>
          <w:szCs w:val="20"/>
          <w:vertAlign w:val="superscript"/>
        </w:rPr>
        <w:t>er</w:t>
      </w:r>
      <w:r w:rsidRPr="005A59E9">
        <w:rPr>
          <w:rFonts w:ascii="Times New Roman" w:hAnsi="Times New Roman"/>
          <w:sz w:val="20"/>
          <w:szCs w:val="20"/>
        </w:rPr>
        <w:t xml:space="preserve"> janvier 1963.</w:t>
      </w:r>
    </w:p>
    <w:p w14:paraId="5EC691BE"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Donné près de Rome, le 5 novembre 1962, sous Notre seing, le sceau de Nos armes et le contreseing du Chancelier de Notre Archevêché, le 31 octobre 1962. </w:t>
      </w:r>
    </w:p>
    <w:p w14:paraId="02D204BD" w14:textId="77777777" w:rsidR="005A59E9" w:rsidRPr="005A59E9" w:rsidRDefault="005A59E9" w:rsidP="005A59E9">
      <w:pPr>
        <w:rPr>
          <w:rFonts w:ascii="Times New Roman" w:hAnsi="Times New Roman"/>
          <w:sz w:val="20"/>
          <w:szCs w:val="20"/>
        </w:rPr>
      </w:pPr>
    </w:p>
    <w:p w14:paraId="4E0C6A8D"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Maurice, Cardinal </w:t>
      </w:r>
      <w:proofErr w:type="spellStart"/>
      <w:r w:rsidRPr="005A59E9">
        <w:rPr>
          <w:rFonts w:ascii="Times New Roman" w:hAnsi="Times New Roman"/>
          <w:sz w:val="20"/>
          <w:szCs w:val="20"/>
        </w:rPr>
        <w:t>Feltin</w:t>
      </w:r>
      <w:proofErr w:type="spellEnd"/>
      <w:r w:rsidRPr="005A59E9">
        <w:rPr>
          <w:rFonts w:ascii="Times New Roman" w:hAnsi="Times New Roman"/>
          <w:sz w:val="20"/>
          <w:szCs w:val="20"/>
        </w:rPr>
        <w:t xml:space="preserve">, </w:t>
      </w:r>
    </w:p>
    <w:p w14:paraId="4D607D4A" w14:textId="77777777" w:rsidR="005A59E9" w:rsidRPr="005A59E9" w:rsidRDefault="005A59E9" w:rsidP="005A59E9">
      <w:pPr>
        <w:rPr>
          <w:rFonts w:ascii="Times New Roman" w:hAnsi="Times New Roman"/>
          <w:sz w:val="20"/>
          <w:szCs w:val="20"/>
        </w:rPr>
      </w:pPr>
      <w:r w:rsidRPr="005A59E9">
        <w:rPr>
          <w:rFonts w:ascii="Times New Roman" w:hAnsi="Times New Roman"/>
          <w:i/>
          <w:iCs/>
          <w:sz w:val="20"/>
          <w:szCs w:val="20"/>
        </w:rPr>
        <w:t>Archevêque de Paris</w:t>
      </w:r>
      <w:r w:rsidRPr="005A59E9">
        <w:rPr>
          <w:rFonts w:ascii="Times New Roman" w:hAnsi="Times New Roman"/>
          <w:sz w:val="20"/>
          <w:szCs w:val="20"/>
        </w:rPr>
        <w:t xml:space="preserve">. </w:t>
      </w:r>
    </w:p>
    <w:p w14:paraId="09B3571A" w14:textId="77777777" w:rsidR="005A59E9" w:rsidRPr="005A59E9" w:rsidRDefault="005A59E9" w:rsidP="005A59E9">
      <w:pPr>
        <w:rPr>
          <w:rFonts w:ascii="Times New Roman" w:hAnsi="Times New Roman"/>
          <w:sz w:val="20"/>
          <w:szCs w:val="20"/>
        </w:rPr>
      </w:pPr>
    </w:p>
    <w:p w14:paraId="40214468" w14:textId="77777777" w:rsidR="005A59E9" w:rsidRPr="005A59E9" w:rsidRDefault="005A59E9" w:rsidP="005A59E9">
      <w:pPr>
        <w:pStyle w:val="Paragraphedeliste"/>
        <w:numPr>
          <w:ilvl w:val="0"/>
          <w:numId w:val="24"/>
        </w:numPr>
        <w:rPr>
          <w:b/>
          <w:sz w:val="20"/>
          <w:szCs w:val="20"/>
        </w:rPr>
      </w:pPr>
      <w:r w:rsidRPr="005A59E9">
        <w:rPr>
          <w:b/>
          <w:sz w:val="20"/>
          <w:szCs w:val="20"/>
        </w:rPr>
        <w:t>Tarif des cinq classes lors de la réforme de 1951</w:t>
      </w:r>
    </w:p>
    <w:p w14:paraId="574A19F4" w14:textId="77777777" w:rsidR="005A59E9" w:rsidRPr="005A59E9" w:rsidRDefault="005A59E9" w:rsidP="005A59E9">
      <w:pPr>
        <w:jc w:val="left"/>
        <w:rPr>
          <w:rFonts w:ascii="Times New Roman" w:hAnsi="Times New Roman"/>
          <w:sz w:val="20"/>
          <w:szCs w:val="20"/>
        </w:rPr>
      </w:pPr>
    </w:p>
    <w:p w14:paraId="50D28D1E" w14:textId="77777777" w:rsidR="005A59E9" w:rsidRPr="005A59E9" w:rsidRDefault="005A59E9" w:rsidP="005A59E9">
      <w:pPr>
        <w:jc w:val="left"/>
        <w:rPr>
          <w:rFonts w:ascii="Times New Roman" w:hAnsi="Times New Roman"/>
          <w:sz w:val="20"/>
          <w:szCs w:val="20"/>
        </w:rPr>
      </w:pPr>
      <w:r w:rsidRPr="005A59E9">
        <w:rPr>
          <w:rFonts w:ascii="Times New Roman" w:hAnsi="Times New Roman"/>
          <w:sz w:val="20"/>
          <w:szCs w:val="20"/>
        </w:rPr>
        <w:lastRenderedPageBreak/>
        <w:t>Libellés en « anciens francs » (avant la réforme monétaire de 1959).</w:t>
      </w:r>
    </w:p>
    <w:p w14:paraId="387C8BD2" w14:textId="77777777" w:rsidR="005A59E9" w:rsidRPr="005A59E9" w:rsidRDefault="005A59E9" w:rsidP="005A59E9">
      <w:pPr>
        <w:rPr>
          <w:rFonts w:ascii="Times New Roman" w:hAnsi="Times New Roman"/>
          <w:sz w:val="20"/>
          <w:szCs w:val="20"/>
        </w:rPr>
      </w:pPr>
    </w:p>
    <w:tbl>
      <w:tblPr>
        <w:tblStyle w:val="Grilledutableau"/>
        <w:tblpPr w:leftFromText="141" w:rightFromText="141" w:vertAnchor="text" w:horzAnchor="margin" w:tblpXSpec="center" w:tblpY="126"/>
        <w:tblW w:w="9214" w:type="dxa"/>
        <w:tblInd w:w="0" w:type="dxa"/>
        <w:tblLook w:val="04A0" w:firstRow="1" w:lastRow="0" w:firstColumn="1" w:lastColumn="0" w:noHBand="0" w:noVBand="1"/>
      </w:tblPr>
      <w:tblGrid>
        <w:gridCol w:w="1376"/>
        <w:gridCol w:w="887"/>
        <w:gridCol w:w="851"/>
        <w:gridCol w:w="956"/>
        <w:gridCol w:w="930"/>
        <w:gridCol w:w="839"/>
        <w:gridCol w:w="700"/>
        <w:gridCol w:w="703"/>
        <w:gridCol w:w="696"/>
        <w:gridCol w:w="700"/>
        <w:gridCol w:w="576"/>
      </w:tblGrid>
      <w:tr w:rsidR="005A59E9" w:rsidRPr="005A59E9" w14:paraId="6E76F4BF" w14:textId="77777777" w:rsidTr="005A59E9">
        <w:trPr>
          <w:trHeight w:val="280"/>
        </w:trPr>
        <w:tc>
          <w:tcPr>
            <w:tcW w:w="1376" w:type="dxa"/>
            <w:tcBorders>
              <w:top w:val="single" w:sz="4" w:space="0" w:color="auto"/>
              <w:left w:val="single" w:sz="4" w:space="0" w:color="auto"/>
              <w:bottom w:val="single" w:sz="4" w:space="0" w:color="auto"/>
              <w:right w:val="single" w:sz="4" w:space="0" w:color="auto"/>
            </w:tcBorders>
            <w:hideMark/>
          </w:tcPr>
          <w:p w14:paraId="1D0CBB8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Diocèse Paris</w:t>
            </w:r>
          </w:p>
        </w:tc>
        <w:tc>
          <w:tcPr>
            <w:tcW w:w="887" w:type="dxa"/>
            <w:tcBorders>
              <w:top w:val="single" w:sz="4" w:space="0" w:color="auto"/>
              <w:left w:val="single" w:sz="4" w:space="0" w:color="auto"/>
              <w:bottom w:val="single" w:sz="4" w:space="0" w:color="auto"/>
              <w:right w:val="single" w:sz="4" w:space="0" w:color="auto"/>
            </w:tcBorders>
            <w:hideMark/>
          </w:tcPr>
          <w:p w14:paraId="0C83D5E9"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1</w:t>
            </w:r>
            <w:r w:rsidRPr="005A59E9">
              <w:rPr>
                <w:rFonts w:ascii="Times New Roman" w:hAnsi="Times New Roman" w:cs="Times New Roman"/>
                <w:bCs/>
                <w:sz w:val="20"/>
                <w:szCs w:val="20"/>
                <w:vertAlign w:val="superscript"/>
              </w:rPr>
              <w:t>re</w:t>
            </w:r>
            <w:r w:rsidRPr="005A59E9">
              <w:rPr>
                <w:rFonts w:ascii="Times New Roman" w:hAnsi="Times New Roman" w:cs="Times New Roman"/>
                <w:bCs/>
                <w:sz w:val="20"/>
                <w:szCs w:val="20"/>
              </w:rPr>
              <w:t xml:space="preserve"> classe</w:t>
            </w:r>
          </w:p>
        </w:tc>
        <w:tc>
          <w:tcPr>
            <w:tcW w:w="851" w:type="dxa"/>
            <w:tcBorders>
              <w:top w:val="single" w:sz="4" w:space="0" w:color="auto"/>
              <w:left w:val="single" w:sz="4" w:space="0" w:color="auto"/>
              <w:bottom w:val="single" w:sz="4" w:space="0" w:color="auto"/>
              <w:right w:val="single" w:sz="4" w:space="0" w:color="auto"/>
            </w:tcBorders>
            <w:hideMark/>
          </w:tcPr>
          <w:p w14:paraId="38B1FC46"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2.1</w:t>
            </w:r>
          </w:p>
        </w:tc>
        <w:tc>
          <w:tcPr>
            <w:tcW w:w="956" w:type="dxa"/>
            <w:tcBorders>
              <w:top w:val="single" w:sz="4" w:space="0" w:color="auto"/>
              <w:left w:val="single" w:sz="4" w:space="0" w:color="auto"/>
              <w:bottom w:val="single" w:sz="4" w:space="0" w:color="auto"/>
              <w:right w:val="single" w:sz="4" w:space="0" w:color="auto"/>
            </w:tcBorders>
            <w:hideMark/>
          </w:tcPr>
          <w:p w14:paraId="1F27DEDA"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2.2</w:t>
            </w:r>
          </w:p>
        </w:tc>
        <w:tc>
          <w:tcPr>
            <w:tcW w:w="930" w:type="dxa"/>
            <w:tcBorders>
              <w:top w:val="single" w:sz="4" w:space="0" w:color="auto"/>
              <w:left w:val="single" w:sz="4" w:space="0" w:color="auto"/>
              <w:bottom w:val="single" w:sz="4" w:space="0" w:color="auto"/>
              <w:right w:val="single" w:sz="4" w:space="0" w:color="auto"/>
            </w:tcBorders>
            <w:hideMark/>
          </w:tcPr>
          <w:p w14:paraId="579D075E"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2.3</w:t>
            </w:r>
          </w:p>
        </w:tc>
        <w:tc>
          <w:tcPr>
            <w:tcW w:w="839" w:type="dxa"/>
            <w:tcBorders>
              <w:top w:val="single" w:sz="4" w:space="0" w:color="auto"/>
              <w:left w:val="single" w:sz="4" w:space="0" w:color="auto"/>
              <w:bottom w:val="single" w:sz="4" w:space="0" w:color="auto"/>
              <w:right w:val="single" w:sz="4" w:space="0" w:color="auto"/>
            </w:tcBorders>
            <w:hideMark/>
          </w:tcPr>
          <w:p w14:paraId="3E308780"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3.A</w:t>
            </w:r>
          </w:p>
        </w:tc>
        <w:tc>
          <w:tcPr>
            <w:tcW w:w="700" w:type="dxa"/>
            <w:tcBorders>
              <w:top w:val="single" w:sz="4" w:space="0" w:color="auto"/>
              <w:left w:val="single" w:sz="4" w:space="0" w:color="auto"/>
              <w:bottom w:val="single" w:sz="4" w:space="0" w:color="auto"/>
              <w:right w:val="single" w:sz="4" w:space="0" w:color="auto"/>
            </w:tcBorders>
            <w:hideMark/>
          </w:tcPr>
          <w:p w14:paraId="66CB17FC"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3.1</w:t>
            </w:r>
          </w:p>
        </w:tc>
        <w:tc>
          <w:tcPr>
            <w:tcW w:w="703" w:type="dxa"/>
            <w:tcBorders>
              <w:top w:val="single" w:sz="4" w:space="0" w:color="auto"/>
              <w:left w:val="single" w:sz="4" w:space="0" w:color="auto"/>
              <w:bottom w:val="single" w:sz="4" w:space="0" w:color="auto"/>
              <w:right w:val="single" w:sz="4" w:space="0" w:color="auto"/>
            </w:tcBorders>
            <w:hideMark/>
          </w:tcPr>
          <w:p w14:paraId="1863FA43"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3.2</w:t>
            </w:r>
          </w:p>
        </w:tc>
        <w:tc>
          <w:tcPr>
            <w:tcW w:w="696" w:type="dxa"/>
            <w:tcBorders>
              <w:top w:val="single" w:sz="4" w:space="0" w:color="auto"/>
              <w:left w:val="single" w:sz="4" w:space="0" w:color="auto"/>
              <w:bottom w:val="single" w:sz="4" w:space="0" w:color="auto"/>
              <w:right w:val="single" w:sz="4" w:space="0" w:color="auto"/>
            </w:tcBorders>
            <w:hideMark/>
          </w:tcPr>
          <w:p w14:paraId="4E849C67"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4</w:t>
            </w:r>
          </w:p>
        </w:tc>
        <w:tc>
          <w:tcPr>
            <w:tcW w:w="700" w:type="dxa"/>
            <w:tcBorders>
              <w:top w:val="single" w:sz="4" w:space="0" w:color="auto"/>
              <w:left w:val="single" w:sz="4" w:space="0" w:color="auto"/>
              <w:bottom w:val="single" w:sz="4" w:space="0" w:color="auto"/>
              <w:right w:val="single" w:sz="4" w:space="0" w:color="auto"/>
            </w:tcBorders>
            <w:hideMark/>
          </w:tcPr>
          <w:p w14:paraId="507100DF"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5.1</w:t>
            </w:r>
          </w:p>
        </w:tc>
        <w:tc>
          <w:tcPr>
            <w:tcW w:w="576" w:type="dxa"/>
            <w:tcBorders>
              <w:top w:val="single" w:sz="4" w:space="0" w:color="auto"/>
              <w:left w:val="single" w:sz="4" w:space="0" w:color="auto"/>
              <w:bottom w:val="single" w:sz="4" w:space="0" w:color="auto"/>
              <w:right w:val="single" w:sz="4" w:space="0" w:color="auto"/>
            </w:tcBorders>
            <w:hideMark/>
          </w:tcPr>
          <w:p w14:paraId="1A3B429B"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5.2</w:t>
            </w:r>
          </w:p>
        </w:tc>
      </w:tr>
      <w:tr w:rsidR="005A59E9" w:rsidRPr="005A59E9" w14:paraId="5D35A4FC" w14:textId="77777777" w:rsidTr="005A59E9">
        <w:trPr>
          <w:trHeight w:val="291"/>
        </w:trPr>
        <w:tc>
          <w:tcPr>
            <w:tcW w:w="1376" w:type="dxa"/>
            <w:tcBorders>
              <w:top w:val="single" w:sz="4" w:space="0" w:color="auto"/>
              <w:left w:val="single" w:sz="4" w:space="0" w:color="auto"/>
              <w:bottom w:val="single" w:sz="4" w:space="0" w:color="auto"/>
              <w:right w:val="single" w:sz="4" w:space="0" w:color="auto"/>
            </w:tcBorders>
            <w:hideMark/>
          </w:tcPr>
          <w:p w14:paraId="64982551"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M. le curé</w:t>
            </w:r>
          </w:p>
        </w:tc>
        <w:tc>
          <w:tcPr>
            <w:tcW w:w="887" w:type="dxa"/>
            <w:tcBorders>
              <w:top w:val="single" w:sz="4" w:space="0" w:color="auto"/>
              <w:left w:val="single" w:sz="4" w:space="0" w:color="auto"/>
              <w:bottom w:val="single" w:sz="4" w:space="0" w:color="auto"/>
              <w:right w:val="single" w:sz="4" w:space="0" w:color="auto"/>
            </w:tcBorders>
            <w:hideMark/>
          </w:tcPr>
          <w:p w14:paraId="3BDC7DD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3500</w:t>
            </w:r>
          </w:p>
        </w:tc>
        <w:tc>
          <w:tcPr>
            <w:tcW w:w="851" w:type="dxa"/>
            <w:tcBorders>
              <w:top w:val="single" w:sz="4" w:space="0" w:color="auto"/>
              <w:left w:val="single" w:sz="4" w:space="0" w:color="auto"/>
              <w:bottom w:val="single" w:sz="4" w:space="0" w:color="auto"/>
              <w:right w:val="single" w:sz="4" w:space="0" w:color="auto"/>
            </w:tcBorders>
            <w:hideMark/>
          </w:tcPr>
          <w:p w14:paraId="14D4DD7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3000</w:t>
            </w:r>
          </w:p>
        </w:tc>
        <w:tc>
          <w:tcPr>
            <w:tcW w:w="956" w:type="dxa"/>
            <w:tcBorders>
              <w:top w:val="single" w:sz="4" w:space="0" w:color="auto"/>
              <w:left w:val="single" w:sz="4" w:space="0" w:color="auto"/>
              <w:bottom w:val="single" w:sz="4" w:space="0" w:color="auto"/>
              <w:right w:val="single" w:sz="4" w:space="0" w:color="auto"/>
            </w:tcBorders>
            <w:hideMark/>
          </w:tcPr>
          <w:p w14:paraId="45415D86"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2500</w:t>
            </w:r>
          </w:p>
        </w:tc>
        <w:tc>
          <w:tcPr>
            <w:tcW w:w="930" w:type="dxa"/>
            <w:tcBorders>
              <w:top w:val="single" w:sz="4" w:space="0" w:color="auto"/>
              <w:left w:val="single" w:sz="4" w:space="0" w:color="auto"/>
              <w:bottom w:val="single" w:sz="4" w:space="0" w:color="auto"/>
              <w:right w:val="single" w:sz="4" w:space="0" w:color="auto"/>
            </w:tcBorders>
            <w:hideMark/>
          </w:tcPr>
          <w:p w14:paraId="77ADAD1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2000</w:t>
            </w:r>
          </w:p>
        </w:tc>
        <w:tc>
          <w:tcPr>
            <w:tcW w:w="839" w:type="dxa"/>
            <w:tcBorders>
              <w:top w:val="single" w:sz="4" w:space="0" w:color="auto"/>
              <w:left w:val="single" w:sz="4" w:space="0" w:color="auto"/>
              <w:bottom w:val="single" w:sz="4" w:space="0" w:color="auto"/>
              <w:right w:val="single" w:sz="4" w:space="0" w:color="auto"/>
            </w:tcBorders>
            <w:hideMark/>
          </w:tcPr>
          <w:p w14:paraId="5CD6ACF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1500</w:t>
            </w:r>
          </w:p>
        </w:tc>
        <w:tc>
          <w:tcPr>
            <w:tcW w:w="700" w:type="dxa"/>
            <w:tcBorders>
              <w:top w:val="single" w:sz="4" w:space="0" w:color="auto"/>
              <w:left w:val="single" w:sz="4" w:space="0" w:color="auto"/>
              <w:bottom w:val="single" w:sz="4" w:space="0" w:color="auto"/>
              <w:right w:val="single" w:sz="4" w:space="0" w:color="auto"/>
            </w:tcBorders>
            <w:hideMark/>
          </w:tcPr>
          <w:p w14:paraId="32B6569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1000</w:t>
            </w:r>
          </w:p>
        </w:tc>
        <w:tc>
          <w:tcPr>
            <w:tcW w:w="703" w:type="dxa"/>
            <w:tcBorders>
              <w:top w:val="single" w:sz="4" w:space="0" w:color="auto"/>
              <w:left w:val="single" w:sz="4" w:space="0" w:color="auto"/>
              <w:bottom w:val="single" w:sz="4" w:space="0" w:color="auto"/>
              <w:right w:val="single" w:sz="4" w:space="0" w:color="auto"/>
            </w:tcBorders>
            <w:hideMark/>
          </w:tcPr>
          <w:p w14:paraId="18240CE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800</w:t>
            </w:r>
          </w:p>
        </w:tc>
        <w:tc>
          <w:tcPr>
            <w:tcW w:w="696" w:type="dxa"/>
            <w:tcBorders>
              <w:top w:val="single" w:sz="4" w:space="0" w:color="auto"/>
              <w:left w:val="single" w:sz="4" w:space="0" w:color="auto"/>
              <w:bottom w:val="single" w:sz="4" w:space="0" w:color="auto"/>
              <w:right w:val="single" w:sz="4" w:space="0" w:color="auto"/>
            </w:tcBorders>
            <w:hideMark/>
          </w:tcPr>
          <w:p w14:paraId="3A0F1EE1"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500</w:t>
            </w:r>
          </w:p>
        </w:tc>
        <w:tc>
          <w:tcPr>
            <w:tcW w:w="700" w:type="dxa"/>
            <w:tcBorders>
              <w:top w:val="single" w:sz="4" w:space="0" w:color="auto"/>
              <w:left w:val="single" w:sz="4" w:space="0" w:color="auto"/>
              <w:bottom w:val="single" w:sz="4" w:space="0" w:color="auto"/>
              <w:right w:val="single" w:sz="4" w:space="0" w:color="auto"/>
            </w:tcBorders>
            <w:hideMark/>
          </w:tcPr>
          <w:p w14:paraId="7120835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w:t>
            </w:r>
          </w:p>
        </w:tc>
        <w:tc>
          <w:tcPr>
            <w:tcW w:w="576" w:type="dxa"/>
            <w:tcBorders>
              <w:top w:val="single" w:sz="4" w:space="0" w:color="auto"/>
              <w:left w:val="single" w:sz="4" w:space="0" w:color="auto"/>
              <w:bottom w:val="single" w:sz="4" w:space="0" w:color="auto"/>
              <w:right w:val="single" w:sz="4" w:space="0" w:color="auto"/>
            </w:tcBorders>
            <w:hideMark/>
          </w:tcPr>
          <w:p w14:paraId="075B862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w:t>
            </w:r>
          </w:p>
        </w:tc>
      </w:tr>
      <w:tr w:rsidR="005A59E9" w:rsidRPr="005A59E9" w14:paraId="7369B213" w14:textId="77777777" w:rsidTr="005A59E9">
        <w:trPr>
          <w:trHeight w:val="280"/>
        </w:trPr>
        <w:tc>
          <w:tcPr>
            <w:tcW w:w="1376" w:type="dxa"/>
            <w:tcBorders>
              <w:top w:val="single" w:sz="4" w:space="0" w:color="auto"/>
              <w:left w:val="single" w:sz="4" w:space="0" w:color="auto"/>
              <w:bottom w:val="single" w:sz="4" w:space="0" w:color="auto"/>
              <w:right w:val="single" w:sz="4" w:space="0" w:color="auto"/>
            </w:tcBorders>
            <w:hideMark/>
          </w:tcPr>
          <w:p w14:paraId="6E074131"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Honoraires de messe</w:t>
            </w:r>
          </w:p>
        </w:tc>
        <w:tc>
          <w:tcPr>
            <w:tcW w:w="887" w:type="dxa"/>
            <w:tcBorders>
              <w:top w:val="single" w:sz="4" w:space="0" w:color="auto"/>
              <w:left w:val="single" w:sz="4" w:space="0" w:color="auto"/>
              <w:bottom w:val="single" w:sz="4" w:space="0" w:color="auto"/>
              <w:right w:val="single" w:sz="4" w:space="0" w:color="auto"/>
            </w:tcBorders>
            <w:hideMark/>
          </w:tcPr>
          <w:p w14:paraId="275CF95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450</w:t>
            </w:r>
          </w:p>
        </w:tc>
        <w:tc>
          <w:tcPr>
            <w:tcW w:w="851" w:type="dxa"/>
            <w:tcBorders>
              <w:top w:val="single" w:sz="4" w:space="0" w:color="auto"/>
              <w:left w:val="single" w:sz="4" w:space="0" w:color="auto"/>
              <w:bottom w:val="single" w:sz="4" w:space="0" w:color="auto"/>
              <w:right w:val="single" w:sz="4" w:space="0" w:color="auto"/>
            </w:tcBorders>
            <w:hideMark/>
          </w:tcPr>
          <w:p w14:paraId="34D6B19C"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450</w:t>
            </w:r>
          </w:p>
        </w:tc>
        <w:tc>
          <w:tcPr>
            <w:tcW w:w="956" w:type="dxa"/>
            <w:tcBorders>
              <w:top w:val="single" w:sz="4" w:space="0" w:color="auto"/>
              <w:left w:val="single" w:sz="4" w:space="0" w:color="auto"/>
              <w:bottom w:val="single" w:sz="4" w:space="0" w:color="auto"/>
              <w:right w:val="single" w:sz="4" w:space="0" w:color="auto"/>
            </w:tcBorders>
            <w:hideMark/>
          </w:tcPr>
          <w:p w14:paraId="2B688531"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450</w:t>
            </w:r>
          </w:p>
        </w:tc>
        <w:tc>
          <w:tcPr>
            <w:tcW w:w="930" w:type="dxa"/>
            <w:tcBorders>
              <w:top w:val="single" w:sz="4" w:space="0" w:color="auto"/>
              <w:left w:val="single" w:sz="4" w:space="0" w:color="auto"/>
              <w:bottom w:val="single" w:sz="4" w:space="0" w:color="auto"/>
              <w:right w:val="single" w:sz="4" w:space="0" w:color="auto"/>
            </w:tcBorders>
            <w:hideMark/>
          </w:tcPr>
          <w:p w14:paraId="63CA6245"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450</w:t>
            </w:r>
          </w:p>
        </w:tc>
        <w:tc>
          <w:tcPr>
            <w:tcW w:w="839" w:type="dxa"/>
            <w:tcBorders>
              <w:top w:val="single" w:sz="4" w:space="0" w:color="auto"/>
              <w:left w:val="single" w:sz="4" w:space="0" w:color="auto"/>
              <w:bottom w:val="single" w:sz="4" w:space="0" w:color="auto"/>
              <w:right w:val="single" w:sz="4" w:space="0" w:color="auto"/>
            </w:tcBorders>
            <w:hideMark/>
          </w:tcPr>
          <w:p w14:paraId="6628D71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350</w:t>
            </w:r>
          </w:p>
        </w:tc>
        <w:tc>
          <w:tcPr>
            <w:tcW w:w="700" w:type="dxa"/>
            <w:tcBorders>
              <w:top w:val="single" w:sz="4" w:space="0" w:color="auto"/>
              <w:left w:val="single" w:sz="4" w:space="0" w:color="auto"/>
              <w:bottom w:val="single" w:sz="4" w:space="0" w:color="auto"/>
              <w:right w:val="single" w:sz="4" w:space="0" w:color="auto"/>
            </w:tcBorders>
            <w:hideMark/>
          </w:tcPr>
          <w:p w14:paraId="47D182D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350</w:t>
            </w:r>
          </w:p>
        </w:tc>
        <w:tc>
          <w:tcPr>
            <w:tcW w:w="703" w:type="dxa"/>
            <w:tcBorders>
              <w:top w:val="single" w:sz="4" w:space="0" w:color="auto"/>
              <w:left w:val="single" w:sz="4" w:space="0" w:color="auto"/>
              <w:bottom w:val="single" w:sz="4" w:space="0" w:color="auto"/>
              <w:right w:val="single" w:sz="4" w:space="0" w:color="auto"/>
            </w:tcBorders>
            <w:hideMark/>
          </w:tcPr>
          <w:p w14:paraId="4B969135"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350</w:t>
            </w:r>
          </w:p>
        </w:tc>
        <w:tc>
          <w:tcPr>
            <w:tcW w:w="696" w:type="dxa"/>
            <w:tcBorders>
              <w:top w:val="single" w:sz="4" w:space="0" w:color="auto"/>
              <w:left w:val="single" w:sz="4" w:space="0" w:color="auto"/>
              <w:bottom w:val="single" w:sz="4" w:space="0" w:color="auto"/>
              <w:right w:val="single" w:sz="4" w:space="0" w:color="auto"/>
            </w:tcBorders>
            <w:hideMark/>
          </w:tcPr>
          <w:p w14:paraId="6A4D832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w:t>
            </w:r>
          </w:p>
        </w:tc>
        <w:tc>
          <w:tcPr>
            <w:tcW w:w="700" w:type="dxa"/>
            <w:tcBorders>
              <w:top w:val="single" w:sz="4" w:space="0" w:color="auto"/>
              <w:left w:val="single" w:sz="4" w:space="0" w:color="auto"/>
              <w:bottom w:val="single" w:sz="4" w:space="0" w:color="auto"/>
              <w:right w:val="single" w:sz="4" w:space="0" w:color="auto"/>
            </w:tcBorders>
            <w:hideMark/>
          </w:tcPr>
          <w:p w14:paraId="3AAE6F40"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w:t>
            </w:r>
          </w:p>
        </w:tc>
        <w:tc>
          <w:tcPr>
            <w:tcW w:w="576" w:type="dxa"/>
            <w:tcBorders>
              <w:top w:val="single" w:sz="4" w:space="0" w:color="auto"/>
              <w:left w:val="single" w:sz="4" w:space="0" w:color="auto"/>
              <w:bottom w:val="single" w:sz="4" w:space="0" w:color="auto"/>
              <w:right w:val="single" w:sz="4" w:space="0" w:color="auto"/>
            </w:tcBorders>
            <w:hideMark/>
          </w:tcPr>
          <w:p w14:paraId="50EEC78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w:t>
            </w:r>
          </w:p>
        </w:tc>
      </w:tr>
      <w:tr w:rsidR="005A59E9" w:rsidRPr="005A59E9" w14:paraId="2512DC17" w14:textId="77777777" w:rsidTr="005A59E9">
        <w:trPr>
          <w:trHeight w:val="280"/>
        </w:trPr>
        <w:tc>
          <w:tcPr>
            <w:tcW w:w="1376" w:type="dxa"/>
            <w:tcBorders>
              <w:top w:val="single" w:sz="4" w:space="0" w:color="auto"/>
              <w:left w:val="single" w:sz="4" w:space="0" w:color="auto"/>
              <w:bottom w:val="single" w:sz="4" w:space="0" w:color="auto"/>
              <w:right w:val="single" w:sz="4" w:space="0" w:color="auto"/>
            </w:tcBorders>
            <w:hideMark/>
          </w:tcPr>
          <w:p w14:paraId="38E184E7"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Règlement</w:t>
            </w:r>
          </w:p>
        </w:tc>
        <w:tc>
          <w:tcPr>
            <w:tcW w:w="887" w:type="dxa"/>
            <w:tcBorders>
              <w:top w:val="single" w:sz="4" w:space="0" w:color="auto"/>
              <w:left w:val="single" w:sz="4" w:space="0" w:color="auto"/>
              <w:bottom w:val="single" w:sz="4" w:space="0" w:color="auto"/>
              <w:right w:val="single" w:sz="4" w:space="0" w:color="auto"/>
            </w:tcBorders>
            <w:hideMark/>
          </w:tcPr>
          <w:p w14:paraId="3EB47174"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w:t>
            </w:r>
          </w:p>
        </w:tc>
        <w:tc>
          <w:tcPr>
            <w:tcW w:w="851" w:type="dxa"/>
            <w:tcBorders>
              <w:top w:val="single" w:sz="4" w:space="0" w:color="auto"/>
              <w:left w:val="single" w:sz="4" w:space="0" w:color="auto"/>
              <w:bottom w:val="single" w:sz="4" w:space="0" w:color="auto"/>
              <w:right w:val="single" w:sz="4" w:space="0" w:color="auto"/>
            </w:tcBorders>
            <w:hideMark/>
          </w:tcPr>
          <w:p w14:paraId="2B713952"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150</w:t>
            </w:r>
          </w:p>
        </w:tc>
        <w:tc>
          <w:tcPr>
            <w:tcW w:w="956" w:type="dxa"/>
            <w:tcBorders>
              <w:top w:val="single" w:sz="4" w:space="0" w:color="auto"/>
              <w:left w:val="single" w:sz="4" w:space="0" w:color="auto"/>
              <w:bottom w:val="single" w:sz="4" w:space="0" w:color="auto"/>
              <w:right w:val="single" w:sz="4" w:space="0" w:color="auto"/>
            </w:tcBorders>
            <w:hideMark/>
          </w:tcPr>
          <w:p w14:paraId="31B0D1E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150</w:t>
            </w:r>
          </w:p>
        </w:tc>
        <w:tc>
          <w:tcPr>
            <w:tcW w:w="930" w:type="dxa"/>
            <w:tcBorders>
              <w:top w:val="single" w:sz="4" w:space="0" w:color="auto"/>
              <w:left w:val="single" w:sz="4" w:space="0" w:color="auto"/>
              <w:bottom w:val="single" w:sz="4" w:space="0" w:color="auto"/>
              <w:right w:val="single" w:sz="4" w:space="0" w:color="auto"/>
            </w:tcBorders>
            <w:hideMark/>
          </w:tcPr>
          <w:p w14:paraId="6770B5CC"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150</w:t>
            </w:r>
          </w:p>
        </w:tc>
        <w:tc>
          <w:tcPr>
            <w:tcW w:w="839" w:type="dxa"/>
            <w:tcBorders>
              <w:top w:val="single" w:sz="4" w:space="0" w:color="auto"/>
              <w:left w:val="single" w:sz="4" w:space="0" w:color="auto"/>
              <w:bottom w:val="single" w:sz="4" w:space="0" w:color="auto"/>
              <w:right w:val="single" w:sz="4" w:space="0" w:color="auto"/>
            </w:tcBorders>
            <w:hideMark/>
          </w:tcPr>
          <w:p w14:paraId="69FB461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w:t>
            </w:r>
          </w:p>
        </w:tc>
        <w:tc>
          <w:tcPr>
            <w:tcW w:w="700" w:type="dxa"/>
            <w:tcBorders>
              <w:top w:val="single" w:sz="4" w:space="0" w:color="auto"/>
              <w:left w:val="single" w:sz="4" w:space="0" w:color="auto"/>
              <w:bottom w:val="single" w:sz="4" w:space="0" w:color="auto"/>
              <w:right w:val="single" w:sz="4" w:space="0" w:color="auto"/>
            </w:tcBorders>
            <w:hideMark/>
          </w:tcPr>
          <w:p w14:paraId="67BE0C7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w:t>
            </w:r>
          </w:p>
        </w:tc>
        <w:tc>
          <w:tcPr>
            <w:tcW w:w="703" w:type="dxa"/>
            <w:tcBorders>
              <w:top w:val="single" w:sz="4" w:space="0" w:color="auto"/>
              <w:left w:val="single" w:sz="4" w:space="0" w:color="auto"/>
              <w:bottom w:val="single" w:sz="4" w:space="0" w:color="auto"/>
              <w:right w:val="single" w:sz="4" w:space="0" w:color="auto"/>
            </w:tcBorders>
            <w:hideMark/>
          </w:tcPr>
          <w:p w14:paraId="00F239E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80</w:t>
            </w:r>
          </w:p>
        </w:tc>
        <w:tc>
          <w:tcPr>
            <w:tcW w:w="696" w:type="dxa"/>
            <w:tcBorders>
              <w:top w:val="single" w:sz="4" w:space="0" w:color="auto"/>
              <w:left w:val="single" w:sz="4" w:space="0" w:color="auto"/>
              <w:bottom w:val="single" w:sz="4" w:space="0" w:color="auto"/>
              <w:right w:val="single" w:sz="4" w:space="0" w:color="auto"/>
            </w:tcBorders>
            <w:hideMark/>
          </w:tcPr>
          <w:p w14:paraId="67A5387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w:t>
            </w:r>
          </w:p>
        </w:tc>
        <w:tc>
          <w:tcPr>
            <w:tcW w:w="700" w:type="dxa"/>
            <w:tcBorders>
              <w:top w:val="single" w:sz="4" w:space="0" w:color="auto"/>
              <w:left w:val="single" w:sz="4" w:space="0" w:color="auto"/>
              <w:bottom w:val="single" w:sz="4" w:space="0" w:color="auto"/>
              <w:right w:val="single" w:sz="4" w:space="0" w:color="auto"/>
            </w:tcBorders>
            <w:hideMark/>
          </w:tcPr>
          <w:p w14:paraId="48747211"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40</w:t>
            </w:r>
          </w:p>
        </w:tc>
        <w:tc>
          <w:tcPr>
            <w:tcW w:w="576" w:type="dxa"/>
            <w:tcBorders>
              <w:top w:val="single" w:sz="4" w:space="0" w:color="auto"/>
              <w:left w:val="single" w:sz="4" w:space="0" w:color="auto"/>
              <w:bottom w:val="single" w:sz="4" w:space="0" w:color="auto"/>
              <w:right w:val="single" w:sz="4" w:space="0" w:color="auto"/>
            </w:tcBorders>
            <w:hideMark/>
          </w:tcPr>
          <w:p w14:paraId="3648E200"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w:t>
            </w:r>
          </w:p>
        </w:tc>
      </w:tr>
      <w:tr w:rsidR="005A59E9" w:rsidRPr="005A59E9" w14:paraId="41717129" w14:textId="77777777" w:rsidTr="005A59E9">
        <w:trPr>
          <w:trHeight w:val="280"/>
        </w:trPr>
        <w:tc>
          <w:tcPr>
            <w:tcW w:w="1376" w:type="dxa"/>
            <w:tcBorders>
              <w:top w:val="single" w:sz="4" w:space="0" w:color="auto"/>
              <w:left w:val="single" w:sz="4" w:space="0" w:color="auto"/>
              <w:bottom w:val="single" w:sz="4" w:space="0" w:color="auto"/>
              <w:right w:val="single" w:sz="4" w:space="0" w:color="auto"/>
            </w:tcBorders>
            <w:hideMark/>
          </w:tcPr>
          <w:p w14:paraId="5F9219C6"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Vicaires</w:t>
            </w:r>
          </w:p>
        </w:tc>
        <w:tc>
          <w:tcPr>
            <w:tcW w:w="887" w:type="dxa"/>
            <w:tcBorders>
              <w:top w:val="single" w:sz="4" w:space="0" w:color="auto"/>
              <w:left w:val="single" w:sz="4" w:space="0" w:color="auto"/>
              <w:bottom w:val="single" w:sz="4" w:space="0" w:color="auto"/>
              <w:right w:val="single" w:sz="4" w:space="0" w:color="auto"/>
            </w:tcBorders>
            <w:hideMark/>
          </w:tcPr>
          <w:p w14:paraId="02F39C5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3000</w:t>
            </w:r>
          </w:p>
        </w:tc>
        <w:tc>
          <w:tcPr>
            <w:tcW w:w="851" w:type="dxa"/>
            <w:tcBorders>
              <w:top w:val="single" w:sz="4" w:space="0" w:color="auto"/>
              <w:left w:val="single" w:sz="4" w:space="0" w:color="auto"/>
              <w:bottom w:val="single" w:sz="4" w:space="0" w:color="auto"/>
              <w:right w:val="single" w:sz="4" w:space="0" w:color="auto"/>
            </w:tcBorders>
            <w:hideMark/>
          </w:tcPr>
          <w:p w14:paraId="56C1A685"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2800</w:t>
            </w:r>
          </w:p>
        </w:tc>
        <w:tc>
          <w:tcPr>
            <w:tcW w:w="956" w:type="dxa"/>
            <w:tcBorders>
              <w:top w:val="single" w:sz="4" w:space="0" w:color="auto"/>
              <w:left w:val="single" w:sz="4" w:space="0" w:color="auto"/>
              <w:bottom w:val="single" w:sz="4" w:space="0" w:color="auto"/>
              <w:right w:val="single" w:sz="4" w:space="0" w:color="auto"/>
            </w:tcBorders>
            <w:hideMark/>
          </w:tcPr>
          <w:p w14:paraId="5E1E3241"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2500</w:t>
            </w:r>
          </w:p>
        </w:tc>
        <w:tc>
          <w:tcPr>
            <w:tcW w:w="930" w:type="dxa"/>
            <w:tcBorders>
              <w:top w:val="single" w:sz="4" w:space="0" w:color="auto"/>
              <w:left w:val="single" w:sz="4" w:space="0" w:color="auto"/>
              <w:bottom w:val="single" w:sz="4" w:space="0" w:color="auto"/>
              <w:right w:val="single" w:sz="4" w:space="0" w:color="auto"/>
            </w:tcBorders>
            <w:hideMark/>
          </w:tcPr>
          <w:p w14:paraId="477AD4B5"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2000</w:t>
            </w:r>
          </w:p>
        </w:tc>
        <w:tc>
          <w:tcPr>
            <w:tcW w:w="839" w:type="dxa"/>
            <w:tcBorders>
              <w:top w:val="single" w:sz="4" w:space="0" w:color="auto"/>
              <w:left w:val="single" w:sz="4" w:space="0" w:color="auto"/>
              <w:bottom w:val="single" w:sz="4" w:space="0" w:color="auto"/>
              <w:right w:val="single" w:sz="4" w:space="0" w:color="auto"/>
            </w:tcBorders>
            <w:hideMark/>
          </w:tcPr>
          <w:p w14:paraId="4E3F0F9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1000</w:t>
            </w:r>
          </w:p>
        </w:tc>
        <w:tc>
          <w:tcPr>
            <w:tcW w:w="700" w:type="dxa"/>
            <w:tcBorders>
              <w:top w:val="single" w:sz="4" w:space="0" w:color="auto"/>
              <w:left w:val="single" w:sz="4" w:space="0" w:color="auto"/>
              <w:bottom w:val="single" w:sz="4" w:space="0" w:color="auto"/>
              <w:right w:val="single" w:sz="4" w:space="0" w:color="auto"/>
            </w:tcBorders>
            <w:hideMark/>
          </w:tcPr>
          <w:p w14:paraId="644562D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800</w:t>
            </w:r>
          </w:p>
        </w:tc>
        <w:tc>
          <w:tcPr>
            <w:tcW w:w="703" w:type="dxa"/>
            <w:tcBorders>
              <w:top w:val="single" w:sz="4" w:space="0" w:color="auto"/>
              <w:left w:val="single" w:sz="4" w:space="0" w:color="auto"/>
              <w:bottom w:val="single" w:sz="4" w:space="0" w:color="auto"/>
              <w:right w:val="single" w:sz="4" w:space="0" w:color="auto"/>
            </w:tcBorders>
            <w:hideMark/>
          </w:tcPr>
          <w:p w14:paraId="54EE26F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500</w:t>
            </w:r>
          </w:p>
        </w:tc>
        <w:tc>
          <w:tcPr>
            <w:tcW w:w="696" w:type="dxa"/>
            <w:tcBorders>
              <w:top w:val="single" w:sz="4" w:space="0" w:color="auto"/>
              <w:left w:val="single" w:sz="4" w:space="0" w:color="auto"/>
              <w:bottom w:val="single" w:sz="4" w:space="0" w:color="auto"/>
              <w:right w:val="single" w:sz="4" w:space="0" w:color="auto"/>
            </w:tcBorders>
            <w:hideMark/>
          </w:tcPr>
          <w:p w14:paraId="4F5A203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w:t>
            </w:r>
          </w:p>
        </w:tc>
        <w:tc>
          <w:tcPr>
            <w:tcW w:w="700" w:type="dxa"/>
            <w:tcBorders>
              <w:top w:val="single" w:sz="4" w:space="0" w:color="auto"/>
              <w:left w:val="single" w:sz="4" w:space="0" w:color="auto"/>
              <w:bottom w:val="single" w:sz="4" w:space="0" w:color="auto"/>
              <w:right w:val="single" w:sz="4" w:space="0" w:color="auto"/>
            </w:tcBorders>
            <w:hideMark/>
          </w:tcPr>
          <w:p w14:paraId="4F93685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w:t>
            </w:r>
          </w:p>
        </w:tc>
        <w:tc>
          <w:tcPr>
            <w:tcW w:w="576" w:type="dxa"/>
            <w:tcBorders>
              <w:top w:val="single" w:sz="4" w:space="0" w:color="auto"/>
              <w:left w:val="single" w:sz="4" w:space="0" w:color="auto"/>
              <w:bottom w:val="single" w:sz="4" w:space="0" w:color="auto"/>
              <w:right w:val="single" w:sz="4" w:space="0" w:color="auto"/>
            </w:tcBorders>
            <w:hideMark/>
          </w:tcPr>
          <w:p w14:paraId="65171444" w14:textId="77777777" w:rsidR="005A59E9" w:rsidRPr="005A59E9" w:rsidRDefault="009D7219">
            <w:pPr>
              <w:jc w:val="center"/>
              <w:rPr>
                <w:rFonts w:ascii="Times New Roman" w:hAnsi="Times New Roman" w:cs="Times New Roman"/>
                <w:sz w:val="20"/>
                <w:szCs w:val="20"/>
              </w:rPr>
            </w:pPr>
            <w:r w:rsidRPr="005A59E9">
              <w:rPr>
                <w:rFonts w:ascii="Times New Roman" w:hAnsi="Times New Roman" w:cs="Times New Roman"/>
                <w:sz w:val="20"/>
                <w:szCs w:val="20"/>
              </w:rPr>
              <w:t>X</w:t>
            </w:r>
            <w:r w:rsidR="005A59E9" w:rsidRPr="005A59E9">
              <w:rPr>
                <w:rFonts w:ascii="Times New Roman" w:hAnsi="Times New Roman" w:cs="Times New Roman"/>
                <w:sz w:val="20"/>
                <w:szCs w:val="20"/>
              </w:rPr>
              <w:t>xx</w:t>
            </w:r>
          </w:p>
        </w:tc>
      </w:tr>
      <w:tr w:rsidR="005A59E9" w:rsidRPr="005A59E9" w14:paraId="59384586" w14:textId="77777777" w:rsidTr="005A59E9">
        <w:trPr>
          <w:trHeight w:val="291"/>
        </w:trPr>
        <w:tc>
          <w:tcPr>
            <w:tcW w:w="1376" w:type="dxa"/>
            <w:tcBorders>
              <w:top w:val="single" w:sz="4" w:space="0" w:color="auto"/>
              <w:left w:val="single" w:sz="4" w:space="0" w:color="auto"/>
              <w:bottom w:val="single" w:sz="4" w:space="0" w:color="auto"/>
              <w:right w:val="single" w:sz="4" w:space="0" w:color="auto"/>
            </w:tcBorders>
            <w:hideMark/>
          </w:tcPr>
          <w:p w14:paraId="380F006C"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Chœur de chant</w:t>
            </w:r>
          </w:p>
        </w:tc>
        <w:tc>
          <w:tcPr>
            <w:tcW w:w="887" w:type="dxa"/>
            <w:tcBorders>
              <w:top w:val="single" w:sz="4" w:space="0" w:color="auto"/>
              <w:left w:val="single" w:sz="4" w:space="0" w:color="auto"/>
              <w:bottom w:val="single" w:sz="4" w:space="0" w:color="auto"/>
              <w:right w:val="single" w:sz="4" w:space="0" w:color="auto"/>
            </w:tcBorders>
          </w:tcPr>
          <w:p w14:paraId="328FF080" w14:textId="77777777" w:rsidR="005A59E9" w:rsidRPr="005A59E9" w:rsidRDefault="005A59E9">
            <w:pPr>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70A19FE" w14:textId="77777777" w:rsidR="005A59E9" w:rsidRPr="005A59E9" w:rsidRDefault="005A59E9">
            <w:pPr>
              <w:jc w:val="center"/>
              <w:rPr>
                <w:rFonts w:ascii="Times New Roman" w:hAnsi="Times New Roman" w:cs="Times New Roman"/>
                <w:sz w:val="20"/>
                <w:szCs w:val="20"/>
              </w:rPr>
            </w:pPr>
          </w:p>
        </w:tc>
        <w:tc>
          <w:tcPr>
            <w:tcW w:w="956" w:type="dxa"/>
            <w:tcBorders>
              <w:top w:val="single" w:sz="4" w:space="0" w:color="auto"/>
              <w:left w:val="single" w:sz="4" w:space="0" w:color="auto"/>
              <w:bottom w:val="single" w:sz="4" w:space="0" w:color="auto"/>
              <w:right w:val="single" w:sz="4" w:space="0" w:color="auto"/>
            </w:tcBorders>
          </w:tcPr>
          <w:p w14:paraId="399407A8" w14:textId="77777777" w:rsidR="005A59E9" w:rsidRPr="005A59E9" w:rsidRDefault="005A59E9">
            <w:pPr>
              <w:jc w:val="center"/>
              <w:rPr>
                <w:rFonts w:ascii="Times New Roman" w:hAnsi="Times New Roman" w:cs="Times New Roman"/>
                <w:sz w:val="20"/>
                <w:szCs w:val="20"/>
              </w:rPr>
            </w:pPr>
          </w:p>
        </w:tc>
        <w:tc>
          <w:tcPr>
            <w:tcW w:w="930" w:type="dxa"/>
            <w:tcBorders>
              <w:top w:val="single" w:sz="4" w:space="0" w:color="auto"/>
              <w:left w:val="single" w:sz="4" w:space="0" w:color="auto"/>
              <w:bottom w:val="single" w:sz="4" w:space="0" w:color="auto"/>
              <w:right w:val="single" w:sz="4" w:space="0" w:color="auto"/>
            </w:tcBorders>
          </w:tcPr>
          <w:p w14:paraId="7EF67E76" w14:textId="77777777" w:rsidR="005A59E9" w:rsidRPr="005A59E9" w:rsidRDefault="005A59E9">
            <w:pPr>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tcPr>
          <w:p w14:paraId="515E6B2E" w14:textId="77777777" w:rsidR="005A59E9" w:rsidRPr="005A59E9" w:rsidRDefault="005A59E9">
            <w:pPr>
              <w:jc w:val="center"/>
              <w:rPr>
                <w:rFonts w:ascii="Times New Roman" w:hAnsi="Times New Roman" w:cs="Times New Roman"/>
                <w:sz w:val="20"/>
                <w:szCs w:val="20"/>
              </w:rPr>
            </w:pPr>
          </w:p>
        </w:tc>
        <w:tc>
          <w:tcPr>
            <w:tcW w:w="700" w:type="dxa"/>
            <w:tcBorders>
              <w:top w:val="single" w:sz="4" w:space="0" w:color="auto"/>
              <w:left w:val="single" w:sz="4" w:space="0" w:color="auto"/>
              <w:bottom w:val="single" w:sz="4" w:space="0" w:color="auto"/>
              <w:right w:val="single" w:sz="4" w:space="0" w:color="auto"/>
            </w:tcBorders>
          </w:tcPr>
          <w:p w14:paraId="2E42965C" w14:textId="77777777" w:rsidR="005A59E9" w:rsidRPr="005A59E9" w:rsidRDefault="005A59E9">
            <w:pPr>
              <w:jc w:val="center"/>
              <w:rPr>
                <w:rFonts w:ascii="Times New Roman" w:hAnsi="Times New Roman"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tcPr>
          <w:p w14:paraId="4B8F084F" w14:textId="77777777" w:rsidR="005A59E9" w:rsidRPr="005A59E9" w:rsidRDefault="005A59E9">
            <w:pPr>
              <w:jc w:val="center"/>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tcPr>
          <w:p w14:paraId="493EA414" w14:textId="77777777" w:rsidR="005A59E9" w:rsidRPr="005A59E9" w:rsidRDefault="005A59E9">
            <w:pPr>
              <w:jc w:val="center"/>
              <w:rPr>
                <w:rFonts w:ascii="Times New Roman" w:hAnsi="Times New Roman" w:cs="Times New Roman"/>
                <w:sz w:val="20"/>
                <w:szCs w:val="20"/>
              </w:rPr>
            </w:pPr>
          </w:p>
        </w:tc>
        <w:tc>
          <w:tcPr>
            <w:tcW w:w="700" w:type="dxa"/>
            <w:tcBorders>
              <w:top w:val="single" w:sz="4" w:space="0" w:color="auto"/>
              <w:left w:val="single" w:sz="4" w:space="0" w:color="auto"/>
              <w:bottom w:val="single" w:sz="4" w:space="0" w:color="auto"/>
              <w:right w:val="single" w:sz="4" w:space="0" w:color="auto"/>
            </w:tcBorders>
          </w:tcPr>
          <w:p w14:paraId="032963E4" w14:textId="77777777" w:rsidR="005A59E9" w:rsidRPr="005A59E9" w:rsidRDefault="005A59E9">
            <w:pPr>
              <w:jc w:val="center"/>
              <w:rPr>
                <w:rFonts w:ascii="Times New Roman" w:hAnsi="Times New Roman" w:cs="Times New Roman"/>
                <w:sz w:val="20"/>
                <w:szCs w:val="20"/>
              </w:rPr>
            </w:pPr>
          </w:p>
        </w:tc>
        <w:tc>
          <w:tcPr>
            <w:tcW w:w="576" w:type="dxa"/>
            <w:tcBorders>
              <w:top w:val="single" w:sz="4" w:space="0" w:color="auto"/>
              <w:left w:val="single" w:sz="4" w:space="0" w:color="auto"/>
              <w:bottom w:val="single" w:sz="4" w:space="0" w:color="auto"/>
              <w:right w:val="single" w:sz="4" w:space="0" w:color="auto"/>
            </w:tcBorders>
            <w:hideMark/>
          </w:tcPr>
          <w:p w14:paraId="65E9E663" w14:textId="77777777" w:rsidR="005A59E9" w:rsidRPr="005A59E9" w:rsidRDefault="009D7219">
            <w:pPr>
              <w:jc w:val="center"/>
              <w:rPr>
                <w:rFonts w:ascii="Times New Roman" w:hAnsi="Times New Roman" w:cs="Times New Roman"/>
                <w:sz w:val="20"/>
                <w:szCs w:val="20"/>
              </w:rPr>
            </w:pPr>
            <w:r w:rsidRPr="005A59E9">
              <w:rPr>
                <w:rFonts w:ascii="Times New Roman" w:hAnsi="Times New Roman" w:cs="Times New Roman"/>
                <w:sz w:val="20"/>
                <w:szCs w:val="20"/>
              </w:rPr>
              <w:t>X</w:t>
            </w:r>
            <w:r w:rsidR="005A59E9" w:rsidRPr="005A59E9">
              <w:rPr>
                <w:rFonts w:ascii="Times New Roman" w:hAnsi="Times New Roman" w:cs="Times New Roman"/>
                <w:sz w:val="20"/>
                <w:szCs w:val="20"/>
              </w:rPr>
              <w:t>xx</w:t>
            </w:r>
          </w:p>
        </w:tc>
      </w:tr>
      <w:tr w:rsidR="005A59E9" w:rsidRPr="005A59E9" w14:paraId="4325ECB7" w14:textId="77777777" w:rsidTr="005A59E9">
        <w:trPr>
          <w:trHeight w:val="280"/>
        </w:trPr>
        <w:tc>
          <w:tcPr>
            <w:tcW w:w="1376" w:type="dxa"/>
            <w:tcBorders>
              <w:top w:val="single" w:sz="4" w:space="0" w:color="auto"/>
              <w:left w:val="single" w:sz="4" w:space="0" w:color="auto"/>
              <w:bottom w:val="single" w:sz="4" w:space="0" w:color="auto"/>
              <w:right w:val="single" w:sz="4" w:space="0" w:color="auto"/>
            </w:tcBorders>
            <w:hideMark/>
          </w:tcPr>
          <w:p w14:paraId="5ED00330"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Droits d’auteurs</w:t>
            </w:r>
          </w:p>
        </w:tc>
        <w:tc>
          <w:tcPr>
            <w:tcW w:w="887" w:type="dxa"/>
            <w:tcBorders>
              <w:top w:val="single" w:sz="4" w:space="0" w:color="auto"/>
              <w:left w:val="single" w:sz="4" w:space="0" w:color="auto"/>
              <w:bottom w:val="single" w:sz="4" w:space="0" w:color="auto"/>
              <w:right w:val="single" w:sz="4" w:space="0" w:color="auto"/>
            </w:tcBorders>
            <w:hideMark/>
          </w:tcPr>
          <w:p w14:paraId="6D173CA6"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1800</w:t>
            </w:r>
          </w:p>
        </w:tc>
        <w:tc>
          <w:tcPr>
            <w:tcW w:w="851" w:type="dxa"/>
            <w:tcBorders>
              <w:top w:val="single" w:sz="4" w:space="0" w:color="auto"/>
              <w:left w:val="single" w:sz="4" w:space="0" w:color="auto"/>
              <w:bottom w:val="single" w:sz="4" w:space="0" w:color="auto"/>
              <w:right w:val="single" w:sz="4" w:space="0" w:color="auto"/>
            </w:tcBorders>
            <w:hideMark/>
          </w:tcPr>
          <w:p w14:paraId="2F7EA1F2"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1100</w:t>
            </w:r>
          </w:p>
        </w:tc>
        <w:tc>
          <w:tcPr>
            <w:tcW w:w="956" w:type="dxa"/>
            <w:tcBorders>
              <w:top w:val="single" w:sz="4" w:space="0" w:color="auto"/>
              <w:left w:val="single" w:sz="4" w:space="0" w:color="auto"/>
              <w:bottom w:val="single" w:sz="4" w:space="0" w:color="auto"/>
              <w:right w:val="single" w:sz="4" w:space="0" w:color="auto"/>
            </w:tcBorders>
            <w:hideMark/>
          </w:tcPr>
          <w:p w14:paraId="28177B4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750</w:t>
            </w:r>
          </w:p>
        </w:tc>
        <w:tc>
          <w:tcPr>
            <w:tcW w:w="930" w:type="dxa"/>
            <w:tcBorders>
              <w:top w:val="single" w:sz="4" w:space="0" w:color="auto"/>
              <w:left w:val="single" w:sz="4" w:space="0" w:color="auto"/>
              <w:bottom w:val="single" w:sz="4" w:space="0" w:color="auto"/>
              <w:right w:val="single" w:sz="4" w:space="0" w:color="auto"/>
            </w:tcBorders>
            <w:hideMark/>
          </w:tcPr>
          <w:p w14:paraId="27E1661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350</w:t>
            </w:r>
          </w:p>
        </w:tc>
        <w:tc>
          <w:tcPr>
            <w:tcW w:w="839" w:type="dxa"/>
            <w:tcBorders>
              <w:top w:val="single" w:sz="4" w:space="0" w:color="auto"/>
              <w:left w:val="single" w:sz="4" w:space="0" w:color="auto"/>
              <w:bottom w:val="single" w:sz="4" w:space="0" w:color="auto"/>
              <w:right w:val="single" w:sz="4" w:space="0" w:color="auto"/>
            </w:tcBorders>
            <w:hideMark/>
          </w:tcPr>
          <w:p w14:paraId="0D16D155" w14:textId="77777777" w:rsidR="005A59E9" w:rsidRPr="005A59E9" w:rsidRDefault="00496875">
            <w:pPr>
              <w:jc w:val="center"/>
              <w:rPr>
                <w:rFonts w:ascii="Times New Roman" w:hAnsi="Times New Roman" w:cs="Times New Roman"/>
                <w:sz w:val="20"/>
                <w:szCs w:val="20"/>
              </w:rPr>
            </w:pPr>
            <w:r w:rsidRPr="005A59E9">
              <w:rPr>
                <w:rFonts w:ascii="Times New Roman" w:hAnsi="Times New Roman" w:cs="Times New Roman"/>
                <w:sz w:val="20"/>
                <w:szCs w:val="20"/>
              </w:rPr>
              <w:t>X</w:t>
            </w:r>
            <w:r w:rsidR="005A59E9" w:rsidRPr="005A59E9">
              <w:rPr>
                <w:rFonts w:ascii="Times New Roman" w:hAnsi="Times New Roman" w:cs="Times New Roman"/>
                <w:sz w:val="20"/>
                <w:szCs w:val="20"/>
              </w:rPr>
              <w:t>xx</w:t>
            </w:r>
          </w:p>
        </w:tc>
        <w:tc>
          <w:tcPr>
            <w:tcW w:w="700" w:type="dxa"/>
            <w:tcBorders>
              <w:top w:val="single" w:sz="4" w:space="0" w:color="auto"/>
              <w:left w:val="single" w:sz="4" w:space="0" w:color="auto"/>
              <w:bottom w:val="single" w:sz="4" w:space="0" w:color="auto"/>
              <w:right w:val="single" w:sz="4" w:space="0" w:color="auto"/>
            </w:tcBorders>
            <w:hideMark/>
          </w:tcPr>
          <w:p w14:paraId="3F697435" w14:textId="77777777" w:rsidR="005A59E9" w:rsidRPr="005A59E9" w:rsidRDefault="003F7D3A">
            <w:pPr>
              <w:jc w:val="center"/>
              <w:rPr>
                <w:rFonts w:ascii="Times New Roman" w:hAnsi="Times New Roman" w:cs="Times New Roman"/>
                <w:sz w:val="20"/>
                <w:szCs w:val="20"/>
              </w:rPr>
            </w:pPr>
            <w:r w:rsidRPr="005A59E9">
              <w:rPr>
                <w:rFonts w:ascii="Times New Roman" w:hAnsi="Times New Roman" w:cs="Times New Roman"/>
                <w:sz w:val="20"/>
                <w:szCs w:val="20"/>
              </w:rPr>
              <w:t>X</w:t>
            </w:r>
            <w:r w:rsidR="005A59E9" w:rsidRPr="005A59E9">
              <w:rPr>
                <w:rFonts w:ascii="Times New Roman" w:hAnsi="Times New Roman" w:cs="Times New Roman"/>
                <w:sz w:val="20"/>
                <w:szCs w:val="20"/>
              </w:rPr>
              <w:t>xx</w:t>
            </w:r>
          </w:p>
        </w:tc>
        <w:tc>
          <w:tcPr>
            <w:tcW w:w="703" w:type="dxa"/>
            <w:tcBorders>
              <w:top w:val="single" w:sz="4" w:space="0" w:color="auto"/>
              <w:left w:val="single" w:sz="4" w:space="0" w:color="auto"/>
              <w:bottom w:val="single" w:sz="4" w:space="0" w:color="auto"/>
              <w:right w:val="single" w:sz="4" w:space="0" w:color="auto"/>
            </w:tcBorders>
            <w:hideMark/>
          </w:tcPr>
          <w:p w14:paraId="4B9BF64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xxx</w:t>
            </w:r>
          </w:p>
        </w:tc>
        <w:tc>
          <w:tcPr>
            <w:tcW w:w="696" w:type="dxa"/>
            <w:tcBorders>
              <w:top w:val="single" w:sz="4" w:space="0" w:color="auto"/>
              <w:left w:val="single" w:sz="4" w:space="0" w:color="auto"/>
              <w:bottom w:val="single" w:sz="4" w:space="0" w:color="auto"/>
              <w:right w:val="single" w:sz="4" w:space="0" w:color="auto"/>
            </w:tcBorders>
            <w:hideMark/>
          </w:tcPr>
          <w:p w14:paraId="394430F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xxx</w:t>
            </w:r>
          </w:p>
        </w:tc>
        <w:tc>
          <w:tcPr>
            <w:tcW w:w="700" w:type="dxa"/>
            <w:tcBorders>
              <w:top w:val="single" w:sz="4" w:space="0" w:color="auto"/>
              <w:left w:val="single" w:sz="4" w:space="0" w:color="auto"/>
              <w:bottom w:val="single" w:sz="4" w:space="0" w:color="auto"/>
              <w:right w:val="single" w:sz="4" w:space="0" w:color="auto"/>
            </w:tcBorders>
            <w:hideMark/>
          </w:tcPr>
          <w:p w14:paraId="0817B43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xxx</w:t>
            </w:r>
          </w:p>
        </w:tc>
        <w:tc>
          <w:tcPr>
            <w:tcW w:w="576" w:type="dxa"/>
            <w:tcBorders>
              <w:top w:val="single" w:sz="4" w:space="0" w:color="auto"/>
              <w:left w:val="single" w:sz="4" w:space="0" w:color="auto"/>
              <w:bottom w:val="single" w:sz="4" w:space="0" w:color="auto"/>
              <w:right w:val="single" w:sz="4" w:space="0" w:color="auto"/>
            </w:tcBorders>
            <w:hideMark/>
          </w:tcPr>
          <w:p w14:paraId="1069BA8A" w14:textId="77777777" w:rsidR="005A59E9" w:rsidRPr="005A59E9" w:rsidRDefault="009D7219">
            <w:pPr>
              <w:jc w:val="center"/>
              <w:rPr>
                <w:rFonts w:ascii="Times New Roman" w:hAnsi="Times New Roman" w:cs="Times New Roman"/>
                <w:sz w:val="20"/>
                <w:szCs w:val="20"/>
              </w:rPr>
            </w:pPr>
            <w:r w:rsidRPr="005A59E9">
              <w:rPr>
                <w:rFonts w:ascii="Times New Roman" w:hAnsi="Times New Roman" w:cs="Times New Roman"/>
                <w:sz w:val="20"/>
                <w:szCs w:val="20"/>
              </w:rPr>
              <w:t>X</w:t>
            </w:r>
            <w:r w:rsidR="005A59E9" w:rsidRPr="005A59E9">
              <w:rPr>
                <w:rFonts w:ascii="Times New Roman" w:hAnsi="Times New Roman" w:cs="Times New Roman"/>
                <w:sz w:val="20"/>
                <w:szCs w:val="20"/>
              </w:rPr>
              <w:t>xx</w:t>
            </w:r>
          </w:p>
        </w:tc>
      </w:tr>
      <w:tr w:rsidR="005A59E9" w:rsidRPr="005A59E9" w14:paraId="1A6C5EF0" w14:textId="77777777" w:rsidTr="005A59E9">
        <w:trPr>
          <w:trHeight w:val="280"/>
        </w:trPr>
        <w:tc>
          <w:tcPr>
            <w:tcW w:w="1376" w:type="dxa"/>
            <w:tcBorders>
              <w:top w:val="single" w:sz="4" w:space="0" w:color="auto"/>
              <w:left w:val="single" w:sz="4" w:space="0" w:color="auto"/>
              <w:bottom w:val="single" w:sz="4" w:space="0" w:color="auto"/>
              <w:right w:val="single" w:sz="4" w:space="0" w:color="auto"/>
            </w:tcBorders>
            <w:hideMark/>
          </w:tcPr>
          <w:p w14:paraId="20F7053E"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Employés (bedeaux, suisses)</w:t>
            </w:r>
          </w:p>
        </w:tc>
        <w:tc>
          <w:tcPr>
            <w:tcW w:w="887" w:type="dxa"/>
            <w:tcBorders>
              <w:top w:val="single" w:sz="4" w:space="0" w:color="auto"/>
              <w:left w:val="single" w:sz="4" w:space="0" w:color="auto"/>
              <w:bottom w:val="single" w:sz="4" w:space="0" w:color="auto"/>
              <w:right w:val="single" w:sz="4" w:space="0" w:color="auto"/>
            </w:tcBorders>
            <w:hideMark/>
          </w:tcPr>
          <w:p w14:paraId="3F90F06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3000</w:t>
            </w:r>
          </w:p>
        </w:tc>
        <w:tc>
          <w:tcPr>
            <w:tcW w:w="851" w:type="dxa"/>
            <w:tcBorders>
              <w:top w:val="single" w:sz="4" w:space="0" w:color="auto"/>
              <w:left w:val="single" w:sz="4" w:space="0" w:color="auto"/>
              <w:bottom w:val="single" w:sz="4" w:space="0" w:color="auto"/>
              <w:right w:val="single" w:sz="4" w:space="0" w:color="auto"/>
            </w:tcBorders>
            <w:hideMark/>
          </w:tcPr>
          <w:p w14:paraId="36640AF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2800</w:t>
            </w:r>
          </w:p>
        </w:tc>
        <w:tc>
          <w:tcPr>
            <w:tcW w:w="956" w:type="dxa"/>
            <w:tcBorders>
              <w:top w:val="single" w:sz="4" w:space="0" w:color="auto"/>
              <w:left w:val="single" w:sz="4" w:space="0" w:color="auto"/>
              <w:bottom w:val="single" w:sz="4" w:space="0" w:color="auto"/>
              <w:right w:val="single" w:sz="4" w:space="0" w:color="auto"/>
            </w:tcBorders>
            <w:hideMark/>
          </w:tcPr>
          <w:p w14:paraId="37068F1C"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2500</w:t>
            </w:r>
          </w:p>
        </w:tc>
        <w:tc>
          <w:tcPr>
            <w:tcW w:w="930" w:type="dxa"/>
            <w:tcBorders>
              <w:top w:val="single" w:sz="4" w:space="0" w:color="auto"/>
              <w:left w:val="single" w:sz="4" w:space="0" w:color="auto"/>
              <w:bottom w:val="single" w:sz="4" w:space="0" w:color="auto"/>
              <w:right w:val="single" w:sz="4" w:space="0" w:color="auto"/>
            </w:tcBorders>
            <w:hideMark/>
          </w:tcPr>
          <w:p w14:paraId="11AD010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2000</w:t>
            </w:r>
          </w:p>
        </w:tc>
        <w:tc>
          <w:tcPr>
            <w:tcW w:w="839" w:type="dxa"/>
            <w:tcBorders>
              <w:top w:val="single" w:sz="4" w:space="0" w:color="auto"/>
              <w:left w:val="single" w:sz="4" w:space="0" w:color="auto"/>
              <w:bottom w:val="single" w:sz="4" w:space="0" w:color="auto"/>
              <w:right w:val="single" w:sz="4" w:space="0" w:color="auto"/>
            </w:tcBorders>
            <w:hideMark/>
          </w:tcPr>
          <w:p w14:paraId="350D8445"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1000</w:t>
            </w:r>
          </w:p>
        </w:tc>
        <w:tc>
          <w:tcPr>
            <w:tcW w:w="700" w:type="dxa"/>
            <w:tcBorders>
              <w:top w:val="single" w:sz="4" w:space="0" w:color="auto"/>
              <w:left w:val="single" w:sz="4" w:space="0" w:color="auto"/>
              <w:bottom w:val="single" w:sz="4" w:space="0" w:color="auto"/>
              <w:right w:val="single" w:sz="4" w:space="0" w:color="auto"/>
            </w:tcBorders>
            <w:hideMark/>
          </w:tcPr>
          <w:p w14:paraId="6298284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800</w:t>
            </w:r>
          </w:p>
        </w:tc>
        <w:tc>
          <w:tcPr>
            <w:tcW w:w="703" w:type="dxa"/>
            <w:tcBorders>
              <w:top w:val="single" w:sz="4" w:space="0" w:color="auto"/>
              <w:left w:val="single" w:sz="4" w:space="0" w:color="auto"/>
              <w:bottom w:val="single" w:sz="4" w:space="0" w:color="auto"/>
              <w:right w:val="single" w:sz="4" w:space="0" w:color="auto"/>
            </w:tcBorders>
            <w:hideMark/>
          </w:tcPr>
          <w:p w14:paraId="024E042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500</w:t>
            </w:r>
          </w:p>
        </w:tc>
        <w:tc>
          <w:tcPr>
            <w:tcW w:w="696" w:type="dxa"/>
            <w:tcBorders>
              <w:top w:val="single" w:sz="4" w:space="0" w:color="auto"/>
              <w:left w:val="single" w:sz="4" w:space="0" w:color="auto"/>
              <w:bottom w:val="single" w:sz="4" w:space="0" w:color="auto"/>
              <w:right w:val="single" w:sz="4" w:space="0" w:color="auto"/>
            </w:tcBorders>
            <w:hideMark/>
          </w:tcPr>
          <w:p w14:paraId="06016C1D"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w:t>
            </w:r>
          </w:p>
        </w:tc>
        <w:tc>
          <w:tcPr>
            <w:tcW w:w="700" w:type="dxa"/>
            <w:tcBorders>
              <w:top w:val="single" w:sz="4" w:space="0" w:color="auto"/>
              <w:left w:val="single" w:sz="4" w:space="0" w:color="auto"/>
              <w:bottom w:val="single" w:sz="4" w:space="0" w:color="auto"/>
              <w:right w:val="single" w:sz="4" w:space="0" w:color="auto"/>
            </w:tcBorders>
            <w:hideMark/>
          </w:tcPr>
          <w:p w14:paraId="7F9D4D41"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w:t>
            </w:r>
          </w:p>
        </w:tc>
        <w:tc>
          <w:tcPr>
            <w:tcW w:w="576" w:type="dxa"/>
            <w:tcBorders>
              <w:top w:val="single" w:sz="4" w:space="0" w:color="auto"/>
              <w:left w:val="single" w:sz="4" w:space="0" w:color="auto"/>
              <w:bottom w:val="single" w:sz="4" w:space="0" w:color="auto"/>
              <w:right w:val="single" w:sz="4" w:space="0" w:color="auto"/>
            </w:tcBorders>
            <w:hideMark/>
          </w:tcPr>
          <w:p w14:paraId="50A9BAB4"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w:t>
            </w:r>
          </w:p>
        </w:tc>
      </w:tr>
      <w:tr w:rsidR="005A59E9" w:rsidRPr="005A59E9" w14:paraId="2C25921E" w14:textId="77777777" w:rsidTr="005A59E9">
        <w:trPr>
          <w:trHeight w:val="291"/>
        </w:trPr>
        <w:tc>
          <w:tcPr>
            <w:tcW w:w="1376" w:type="dxa"/>
            <w:tcBorders>
              <w:top w:val="single" w:sz="4" w:space="0" w:color="auto"/>
              <w:left w:val="single" w:sz="4" w:space="0" w:color="auto"/>
              <w:bottom w:val="single" w:sz="4" w:space="0" w:color="auto"/>
              <w:right w:val="single" w:sz="4" w:space="0" w:color="auto"/>
            </w:tcBorders>
            <w:hideMark/>
          </w:tcPr>
          <w:p w14:paraId="4A82E4F8"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Enfants de chœur</w:t>
            </w:r>
          </w:p>
        </w:tc>
        <w:tc>
          <w:tcPr>
            <w:tcW w:w="887" w:type="dxa"/>
            <w:tcBorders>
              <w:top w:val="single" w:sz="4" w:space="0" w:color="auto"/>
              <w:left w:val="single" w:sz="4" w:space="0" w:color="auto"/>
              <w:bottom w:val="single" w:sz="4" w:space="0" w:color="auto"/>
              <w:right w:val="single" w:sz="4" w:space="0" w:color="auto"/>
            </w:tcBorders>
            <w:hideMark/>
          </w:tcPr>
          <w:p w14:paraId="1A96D86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w:t>
            </w:r>
          </w:p>
        </w:tc>
        <w:tc>
          <w:tcPr>
            <w:tcW w:w="851" w:type="dxa"/>
            <w:tcBorders>
              <w:top w:val="single" w:sz="4" w:space="0" w:color="auto"/>
              <w:left w:val="single" w:sz="4" w:space="0" w:color="auto"/>
              <w:bottom w:val="single" w:sz="4" w:space="0" w:color="auto"/>
              <w:right w:val="single" w:sz="4" w:space="0" w:color="auto"/>
            </w:tcBorders>
            <w:hideMark/>
          </w:tcPr>
          <w:p w14:paraId="27F7FCB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280</w:t>
            </w:r>
          </w:p>
        </w:tc>
        <w:tc>
          <w:tcPr>
            <w:tcW w:w="956" w:type="dxa"/>
            <w:tcBorders>
              <w:top w:val="single" w:sz="4" w:space="0" w:color="auto"/>
              <w:left w:val="single" w:sz="4" w:space="0" w:color="auto"/>
              <w:bottom w:val="single" w:sz="4" w:space="0" w:color="auto"/>
              <w:right w:val="single" w:sz="4" w:space="0" w:color="auto"/>
            </w:tcBorders>
            <w:hideMark/>
          </w:tcPr>
          <w:p w14:paraId="6FA705D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w:t>
            </w:r>
          </w:p>
        </w:tc>
        <w:tc>
          <w:tcPr>
            <w:tcW w:w="930" w:type="dxa"/>
            <w:tcBorders>
              <w:top w:val="single" w:sz="4" w:space="0" w:color="auto"/>
              <w:left w:val="single" w:sz="4" w:space="0" w:color="auto"/>
              <w:bottom w:val="single" w:sz="4" w:space="0" w:color="auto"/>
              <w:right w:val="single" w:sz="4" w:space="0" w:color="auto"/>
            </w:tcBorders>
            <w:hideMark/>
          </w:tcPr>
          <w:p w14:paraId="75990C7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w:t>
            </w:r>
          </w:p>
        </w:tc>
        <w:tc>
          <w:tcPr>
            <w:tcW w:w="839" w:type="dxa"/>
            <w:tcBorders>
              <w:top w:val="single" w:sz="4" w:space="0" w:color="auto"/>
              <w:left w:val="single" w:sz="4" w:space="0" w:color="auto"/>
              <w:bottom w:val="single" w:sz="4" w:space="0" w:color="auto"/>
              <w:right w:val="single" w:sz="4" w:space="0" w:color="auto"/>
            </w:tcBorders>
            <w:hideMark/>
          </w:tcPr>
          <w:p w14:paraId="0B80CE30"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w:t>
            </w:r>
          </w:p>
        </w:tc>
        <w:tc>
          <w:tcPr>
            <w:tcW w:w="700" w:type="dxa"/>
            <w:tcBorders>
              <w:top w:val="single" w:sz="4" w:space="0" w:color="auto"/>
              <w:left w:val="single" w:sz="4" w:space="0" w:color="auto"/>
              <w:bottom w:val="single" w:sz="4" w:space="0" w:color="auto"/>
              <w:right w:val="single" w:sz="4" w:space="0" w:color="auto"/>
            </w:tcBorders>
            <w:hideMark/>
          </w:tcPr>
          <w:p w14:paraId="6772B285"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80</w:t>
            </w:r>
          </w:p>
        </w:tc>
        <w:tc>
          <w:tcPr>
            <w:tcW w:w="703" w:type="dxa"/>
            <w:tcBorders>
              <w:top w:val="single" w:sz="4" w:space="0" w:color="auto"/>
              <w:left w:val="single" w:sz="4" w:space="0" w:color="auto"/>
              <w:bottom w:val="single" w:sz="4" w:space="0" w:color="auto"/>
              <w:right w:val="single" w:sz="4" w:space="0" w:color="auto"/>
            </w:tcBorders>
            <w:hideMark/>
          </w:tcPr>
          <w:p w14:paraId="3637832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w:t>
            </w:r>
          </w:p>
        </w:tc>
        <w:tc>
          <w:tcPr>
            <w:tcW w:w="696" w:type="dxa"/>
            <w:tcBorders>
              <w:top w:val="single" w:sz="4" w:space="0" w:color="auto"/>
              <w:left w:val="single" w:sz="4" w:space="0" w:color="auto"/>
              <w:bottom w:val="single" w:sz="4" w:space="0" w:color="auto"/>
              <w:right w:val="single" w:sz="4" w:space="0" w:color="auto"/>
            </w:tcBorders>
            <w:hideMark/>
          </w:tcPr>
          <w:p w14:paraId="0AAFBCD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w:t>
            </w:r>
          </w:p>
        </w:tc>
        <w:tc>
          <w:tcPr>
            <w:tcW w:w="700" w:type="dxa"/>
            <w:tcBorders>
              <w:top w:val="single" w:sz="4" w:space="0" w:color="auto"/>
              <w:left w:val="single" w:sz="4" w:space="0" w:color="auto"/>
              <w:bottom w:val="single" w:sz="4" w:space="0" w:color="auto"/>
              <w:right w:val="single" w:sz="4" w:space="0" w:color="auto"/>
            </w:tcBorders>
            <w:hideMark/>
          </w:tcPr>
          <w:p w14:paraId="12EC9B7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w:t>
            </w:r>
          </w:p>
        </w:tc>
        <w:tc>
          <w:tcPr>
            <w:tcW w:w="576" w:type="dxa"/>
            <w:tcBorders>
              <w:top w:val="single" w:sz="4" w:space="0" w:color="auto"/>
              <w:left w:val="single" w:sz="4" w:space="0" w:color="auto"/>
              <w:bottom w:val="single" w:sz="4" w:space="0" w:color="auto"/>
              <w:right w:val="single" w:sz="4" w:space="0" w:color="auto"/>
            </w:tcBorders>
            <w:hideMark/>
          </w:tcPr>
          <w:p w14:paraId="1A14D46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w:t>
            </w:r>
          </w:p>
        </w:tc>
      </w:tr>
      <w:tr w:rsidR="005A59E9" w:rsidRPr="005A59E9" w14:paraId="369D3C82" w14:textId="77777777" w:rsidTr="005A59E9">
        <w:trPr>
          <w:trHeight w:val="291"/>
        </w:trPr>
        <w:tc>
          <w:tcPr>
            <w:tcW w:w="1376" w:type="dxa"/>
            <w:tcBorders>
              <w:top w:val="single" w:sz="4" w:space="0" w:color="auto"/>
              <w:left w:val="single" w:sz="4" w:space="0" w:color="auto"/>
              <w:bottom w:val="single" w:sz="4" w:space="0" w:color="auto"/>
              <w:right w:val="single" w:sz="4" w:space="0" w:color="auto"/>
            </w:tcBorders>
            <w:hideMark/>
          </w:tcPr>
          <w:p w14:paraId="386357CC"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Caisse paroissiale</w:t>
            </w:r>
          </w:p>
        </w:tc>
        <w:tc>
          <w:tcPr>
            <w:tcW w:w="887" w:type="dxa"/>
            <w:tcBorders>
              <w:top w:val="single" w:sz="4" w:space="0" w:color="auto"/>
              <w:left w:val="single" w:sz="4" w:space="0" w:color="auto"/>
              <w:bottom w:val="single" w:sz="4" w:space="0" w:color="auto"/>
              <w:right w:val="single" w:sz="4" w:space="0" w:color="auto"/>
            </w:tcBorders>
          </w:tcPr>
          <w:p w14:paraId="562C1136" w14:textId="77777777" w:rsidR="005A59E9" w:rsidRPr="005A59E9" w:rsidRDefault="005A59E9">
            <w:pPr>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39D383B" w14:textId="77777777" w:rsidR="005A59E9" w:rsidRPr="005A59E9" w:rsidRDefault="005A59E9">
            <w:pPr>
              <w:jc w:val="center"/>
              <w:rPr>
                <w:rFonts w:ascii="Times New Roman" w:hAnsi="Times New Roman" w:cs="Times New Roman"/>
                <w:sz w:val="20"/>
                <w:szCs w:val="20"/>
              </w:rPr>
            </w:pPr>
          </w:p>
        </w:tc>
        <w:tc>
          <w:tcPr>
            <w:tcW w:w="956" w:type="dxa"/>
            <w:tcBorders>
              <w:top w:val="single" w:sz="4" w:space="0" w:color="auto"/>
              <w:left w:val="single" w:sz="4" w:space="0" w:color="auto"/>
              <w:bottom w:val="single" w:sz="4" w:space="0" w:color="auto"/>
              <w:right w:val="single" w:sz="4" w:space="0" w:color="auto"/>
            </w:tcBorders>
          </w:tcPr>
          <w:p w14:paraId="718313AF" w14:textId="77777777" w:rsidR="005A59E9" w:rsidRPr="005A59E9" w:rsidRDefault="005A59E9">
            <w:pPr>
              <w:jc w:val="center"/>
              <w:rPr>
                <w:rFonts w:ascii="Times New Roman" w:hAnsi="Times New Roman" w:cs="Times New Roman"/>
                <w:sz w:val="20"/>
                <w:szCs w:val="20"/>
              </w:rPr>
            </w:pPr>
          </w:p>
        </w:tc>
        <w:tc>
          <w:tcPr>
            <w:tcW w:w="930" w:type="dxa"/>
            <w:tcBorders>
              <w:top w:val="single" w:sz="4" w:space="0" w:color="auto"/>
              <w:left w:val="single" w:sz="4" w:space="0" w:color="auto"/>
              <w:bottom w:val="single" w:sz="4" w:space="0" w:color="auto"/>
              <w:right w:val="single" w:sz="4" w:space="0" w:color="auto"/>
            </w:tcBorders>
          </w:tcPr>
          <w:p w14:paraId="4C972246" w14:textId="77777777" w:rsidR="005A59E9" w:rsidRPr="005A59E9" w:rsidRDefault="005A59E9">
            <w:pPr>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tcPr>
          <w:p w14:paraId="5D0AC174" w14:textId="77777777" w:rsidR="005A59E9" w:rsidRPr="005A59E9" w:rsidRDefault="005A59E9">
            <w:pPr>
              <w:jc w:val="center"/>
              <w:rPr>
                <w:rFonts w:ascii="Times New Roman" w:hAnsi="Times New Roman" w:cs="Times New Roman"/>
                <w:sz w:val="20"/>
                <w:szCs w:val="20"/>
              </w:rPr>
            </w:pPr>
          </w:p>
        </w:tc>
        <w:tc>
          <w:tcPr>
            <w:tcW w:w="700" w:type="dxa"/>
            <w:tcBorders>
              <w:top w:val="single" w:sz="4" w:space="0" w:color="auto"/>
              <w:left w:val="single" w:sz="4" w:space="0" w:color="auto"/>
              <w:bottom w:val="single" w:sz="4" w:space="0" w:color="auto"/>
              <w:right w:val="single" w:sz="4" w:space="0" w:color="auto"/>
            </w:tcBorders>
          </w:tcPr>
          <w:p w14:paraId="00AC59CF" w14:textId="77777777" w:rsidR="005A59E9" w:rsidRPr="005A59E9" w:rsidRDefault="005A59E9">
            <w:pPr>
              <w:jc w:val="center"/>
              <w:rPr>
                <w:rFonts w:ascii="Times New Roman" w:hAnsi="Times New Roman" w:cs="Times New Roman"/>
                <w:sz w:val="20"/>
                <w:szCs w:val="20"/>
              </w:rPr>
            </w:pPr>
          </w:p>
        </w:tc>
        <w:tc>
          <w:tcPr>
            <w:tcW w:w="703" w:type="dxa"/>
            <w:tcBorders>
              <w:top w:val="single" w:sz="4" w:space="0" w:color="auto"/>
              <w:left w:val="single" w:sz="4" w:space="0" w:color="auto"/>
              <w:bottom w:val="single" w:sz="4" w:space="0" w:color="auto"/>
              <w:right w:val="single" w:sz="4" w:space="0" w:color="auto"/>
            </w:tcBorders>
          </w:tcPr>
          <w:p w14:paraId="6EFE056E" w14:textId="77777777" w:rsidR="005A59E9" w:rsidRPr="005A59E9" w:rsidRDefault="005A59E9">
            <w:pPr>
              <w:jc w:val="center"/>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tcPr>
          <w:p w14:paraId="222345C0" w14:textId="77777777" w:rsidR="005A59E9" w:rsidRPr="005A59E9" w:rsidRDefault="005A59E9">
            <w:pPr>
              <w:jc w:val="center"/>
              <w:rPr>
                <w:rFonts w:ascii="Times New Roman" w:hAnsi="Times New Roman" w:cs="Times New Roman"/>
                <w:sz w:val="20"/>
                <w:szCs w:val="20"/>
              </w:rPr>
            </w:pPr>
          </w:p>
        </w:tc>
        <w:tc>
          <w:tcPr>
            <w:tcW w:w="700" w:type="dxa"/>
            <w:tcBorders>
              <w:top w:val="single" w:sz="4" w:space="0" w:color="auto"/>
              <w:left w:val="single" w:sz="4" w:space="0" w:color="auto"/>
              <w:bottom w:val="single" w:sz="4" w:space="0" w:color="auto"/>
              <w:right w:val="single" w:sz="4" w:space="0" w:color="auto"/>
            </w:tcBorders>
          </w:tcPr>
          <w:p w14:paraId="3E378E46" w14:textId="77777777" w:rsidR="005A59E9" w:rsidRPr="005A59E9" w:rsidRDefault="005A59E9">
            <w:pPr>
              <w:jc w:val="center"/>
              <w:rPr>
                <w:rFonts w:ascii="Times New Roman" w:hAnsi="Times New Roman" w:cs="Times New Roman"/>
                <w:sz w:val="20"/>
                <w:szCs w:val="20"/>
              </w:rPr>
            </w:pPr>
          </w:p>
        </w:tc>
        <w:tc>
          <w:tcPr>
            <w:tcW w:w="576" w:type="dxa"/>
            <w:tcBorders>
              <w:top w:val="single" w:sz="4" w:space="0" w:color="auto"/>
              <w:left w:val="single" w:sz="4" w:space="0" w:color="auto"/>
              <w:bottom w:val="single" w:sz="4" w:space="0" w:color="auto"/>
              <w:right w:val="single" w:sz="4" w:space="0" w:color="auto"/>
            </w:tcBorders>
          </w:tcPr>
          <w:p w14:paraId="7459DDC1" w14:textId="77777777" w:rsidR="005A59E9" w:rsidRPr="005A59E9" w:rsidRDefault="005A59E9">
            <w:pPr>
              <w:jc w:val="center"/>
              <w:rPr>
                <w:rFonts w:ascii="Times New Roman" w:hAnsi="Times New Roman" w:cs="Times New Roman"/>
                <w:sz w:val="20"/>
                <w:szCs w:val="20"/>
              </w:rPr>
            </w:pPr>
          </w:p>
        </w:tc>
      </w:tr>
      <w:tr w:rsidR="005A59E9" w:rsidRPr="005A59E9" w14:paraId="781A8C68" w14:textId="77777777" w:rsidTr="005A59E9">
        <w:trPr>
          <w:trHeight w:val="291"/>
        </w:trPr>
        <w:tc>
          <w:tcPr>
            <w:tcW w:w="1376" w:type="dxa"/>
            <w:tcBorders>
              <w:top w:val="single" w:sz="4" w:space="0" w:color="auto"/>
              <w:left w:val="single" w:sz="4" w:space="0" w:color="auto"/>
              <w:bottom w:val="single" w:sz="4" w:space="0" w:color="auto"/>
              <w:right w:val="single" w:sz="4" w:space="0" w:color="auto"/>
            </w:tcBorders>
            <w:hideMark/>
          </w:tcPr>
          <w:p w14:paraId="492729C2"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Denier du culte</w:t>
            </w:r>
          </w:p>
        </w:tc>
        <w:tc>
          <w:tcPr>
            <w:tcW w:w="887" w:type="dxa"/>
            <w:tcBorders>
              <w:top w:val="single" w:sz="4" w:space="0" w:color="auto"/>
              <w:left w:val="single" w:sz="4" w:space="0" w:color="auto"/>
              <w:bottom w:val="single" w:sz="4" w:space="0" w:color="auto"/>
              <w:right w:val="single" w:sz="4" w:space="0" w:color="auto"/>
            </w:tcBorders>
            <w:hideMark/>
          </w:tcPr>
          <w:p w14:paraId="7E79CBD8"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4000</w:t>
            </w:r>
          </w:p>
        </w:tc>
        <w:tc>
          <w:tcPr>
            <w:tcW w:w="851" w:type="dxa"/>
            <w:tcBorders>
              <w:top w:val="single" w:sz="4" w:space="0" w:color="auto"/>
              <w:left w:val="single" w:sz="4" w:space="0" w:color="auto"/>
              <w:bottom w:val="single" w:sz="4" w:space="0" w:color="auto"/>
              <w:right w:val="single" w:sz="4" w:space="0" w:color="auto"/>
            </w:tcBorders>
            <w:hideMark/>
          </w:tcPr>
          <w:p w14:paraId="218E0B8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3000</w:t>
            </w:r>
          </w:p>
        </w:tc>
        <w:tc>
          <w:tcPr>
            <w:tcW w:w="956" w:type="dxa"/>
            <w:tcBorders>
              <w:top w:val="single" w:sz="4" w:space="0" w:color="auto"/>
              <w:left w:val="single" w:sz="4" w:space="0" w:color="auto"/>
              <w:bottom w:val="single" w:sz="4" w:space="0" w:color="auto"/>
              <w:right w:val="single" w:sz="4" w:space="0" w:color="auto"/>
            </w:tcBorders>
            <w:hideMark/>
          </w:tcPr>
          <w:p w14:paraId="615D808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2000</w:t>
            </w:r>
          </w:p>
        </w:tc>
        <w:tc>
          <w:tcPr>
            <w:tcW w:w="930" w:type="dxa"/>
            <w:tcBorders>
              <w:top w:val="single" w:sz="4" w:space="0" w:color="auto"/>
              <w:left w:val="single" w:sz="4" w:space="0" w:color="auto"/>
              <w:bottom w:val="single" w:sz="4" w:space="0" w:color="auto"/>
              <w:right w:val="single" w:sz="4" w:space="0" w:color="auto"/>
            </w:tcBorders>
            <w:hideMark/>
          </w:tcPr>
          <w:p w14:paraId="5B189B40"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1500</w:t>
            </w:r>
          </w:p>
        </w:tc>
        <w:tc>
          <w:tcPr>
            <w:tcW w:w="839" w:type="dxa"/>
            <w:tcBorders>
              <w:top w:val="single" w:sz="4" w:space="0" w:color="auto"/>
              <w:left w:val="single" w:sz="4" w:space="0" w:color="auto"/>
              <w:bottom w:val="single" w:sz="4" w:space="0" w:color="auto"/>
              <w:right w:val="single" w:sz="4" w:space="0" w:color="auto"/>
            </w:tcBorders>
            <w:hideMark/>
          </w:tcPr>
          <w:p w14:paraId="5A08C8C8"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1200</w:t>
            </w:r>
          </w:p>
        </w:tc>
        <w:tc>
          <w:tcPr>
            <w:tcW w:w="700" w:type="dxa"/>
            <w:tcBorders>
              <w:top w:val="single" w:sz="4" w:space="0" w:color="auto"/>
              <w:left w:val="single" w:sz="4" w:space="0" w:color="auto"/>
              <w:bottom w:val="single" w:sz="4" w:space="0" w:color="auto"/>
              <w:right w:val="single" w:sz="4" w:space="0" w:color="auto"/>
            </w:tcBorders>
            <w:hideMark/>
          </w:tcPr>
          <w:p w14:paraId="1E0B750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800</w:t>
            </w:r>
          </w:p>
        </w:tc>
        <w:tc>
          <w:tcPr>
            <w:tcW w:w="703" w:type="dxa"/>
            <w:tcBorders>
              <w:top w:val="single" w:sz="4" w:space="0" w:color="auto"/>
              <w:left w:val="single" w:sz="4" w:space="0" w:color="auto"/>
              <w:bottom w:val="single" w:sz="4" w:space="0" w:color="auto"/>
              <w:right w:val="single" w:sz="4" w:space="0" w:color="auto"/>
            </w:tcBorders>
            <w:hideMark/>
          </w:tcPr>
          <w:p w14:paraId="38955540"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500</w:t>
            </w:r>
          </w:p>
        </w:tc>
        <w:tc>
          <w:tcPr>
            <w:tcW w:w="696" w:type="dxa"/>
            <w:tcBorders>
              <w:top w:val="single" w:sz="4" w:space="0" w:color="auto"/>
              <w:left w:val="single" w:sz="4" w:space="0" w:color="auto"/>
              <w:bottom w:val="single" w:sz="4" w:space="0" w:color="auto"/>
              <w:right w:val="single" w:sz="4" w:space="0" w:color="auto"/>
            </w:tcBorders>
            <w:hideMark/>
          </w:tcPr>
          <w:p w14:paraId="53F44B92"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w:t>
            </w:r>
          </w:p>
        </w:tc>
        <w:tc>
          <w:tcPr>
            <w:tcW w:w="700" w:type="dxa"/>
            <w:tcBorders>
              <w:top w:val="single" w:sz="4" w:space="0" w:color="auto"/>
              <w:left w:val="single" w:sz="4" w:space="0" w:color="auto"/>
              <w:bottom w:val="single" w:sz="4" w:space="0" w:color="auto"/>
              <w:right w:val="single" w:sz="4" w:space="0" w:color="auto"/>
            </w:tcBorders>
            <w:hideMark/>
          </w:tcPr>
          <w:p w14:paraId="5E03F94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150</w:t>
            </w:r>
          </w:p>
        </w:tc>
        <w:tc>
          <w:tcPr>
            <w:tcW w:w="576" w:type="dxa"/>
            <w:tcBorders>
              <w:top w:val="single" w:sz="4" w:space="0" w:color="auto"/>
              <w:left w:val="single" w:sz="4" w:space="0" w:color="auto"/>
              <w:bottom w:val="single" w:sz="4" w:space="0" w:color="auto"/>
              <w:right w:val="single" w:sz="4" w:space="0" w:color="auto"/>
            </w:tcBorders>
            <w:hideMark/>
          </w:tcPr>
          <w:p w14:paraId="597EFF72"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w:t>
            </w:r>
          </w:p>
        </w:tc>
      </w:tr>
      <w:tr w:rsidR="005A59E9" w:rsidRPr="005A59E9" w14:paraId="6586D2CF" w14:textId="77777777" w:rsidTr="005A59E9">
        <w:trPr>
          <w:trHeight w:val="291"/>
        </w:trPr>
        <w:tc>
          <w:tcPr>
            <w:tcW w:w="1376" w:type="dxa"/>
            <w:tcBorders>
              <w:top w:val="single" w:sz="4" w:space="0" w:color="auto"/>
              <w:left w:val="single" w:sz="4" w:space="0" w:color="auto"/>
              <w:bottom w:val="single" w:sz="4" w:space="0" w:color="auto"/>
              <w:right w:val="single" w:sz="4" w:space="0" w:color="auto"/>
            </w:tcBorders>
            <w:hideMark/>
          </w:tcPr>
          <w:p w14:paraId="2D896360"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Taxe inter-paroissiale</w:t>
            </w:r>
          </w:p>
        </w:tc>
        <w:tc>
          <w:tcPr>
            <w:tcW w:w="887" w:type="dxa"/>
            <w:tcBorders>
              <w:top w:val="single" w:sz="4" w:space="0" w:color="auto"/>
              <w:left w:val="single" w:sz="4" w:space="0" w:color="auto"/>
              <w:bottom w:val="single" w:sz="4" w:space="0" w:color="auto"/>
              <w:right w:val="single" w:sz="4" w:space="0" w:color="auto"/>
            </w:tcBorders>
            <w:hideMark/>
          </w:tcPr>
          <w:p w14:paraId="0AB61B71"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14:paraId="07476F0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700</w:t>
            </w:r>
          </w:p>
        </w:tc>
        <w:tc>
          <w:tcPr>
            <w:tcW w:w="956" w:type="dxa"/>
            <w:tcBorders>
              <w:top w:val="single" w:sz="4" w:space="0" w:color="auto"/>
              <w:left w:val="single" w:sz="4" w:space="0" w:color="auto"/>
              <w:bottom w:val="single" w:sz="4" w:space="0" w:color="auto"/>
              <w:right w:val="single" w:sz="4" w:space="0" w:color="auto"/>
            </w:tcBorders>
            <w:hideMark/>
          </w:tcPr>
          <w:p w14:paraId="5A7C3DF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500</w:t>
            </w:r>
          </w:p>
        </w:tc>
        <w:tc>
          <w:tcPr>
            <w:tcW w:w="930" w:type="dxa"/>
            <w:tcBorders>
              <w:top w:val="single" w:sz="4" w:space="0" w:color="auto"/>
              <w:left w:val="single" w:sz="4" w:space="0" w:color="auto"/>
              <w:bottom w:val="single" w:sz="4" w:space="0" w:color="auto"/>
              <w:right w:val="single" w:sz="4" w:space="0" w:color="auto"/>
            </w:tcBorders>
            <w:hideMark/>
          </w:tcPr>
          <w:p w14:paraId="6B62B47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400</w:t>
            </w:r>
          </w:p>
        </w:tc>
        <w:tc>
          <w:tcPr>
            <w:tcW w:w="839" w:type="dxa"/>
            <w:tcBorders>
              <w:top w:val="single" w:sz="4" w:space="0" w:color="auto"/>
              <w:left w:val="single" w:sz="4" w:space="0" w:color="auto"/>
              <w:bottom w:val="single" w:sz="4" w:space="0" w:color="auto"/>
              <w:right w:val="single" w:sz="4" w:space="0" w:color="auto"/>
            </w:tcBorders>
            <w:hideMark/>
          </w:tcPr>
          <w:p w14:paraId="44B2948C"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300</w:t>
            </w:r>
          </w:p>
        </w:tc>
        <w:tc>
          <w:tcPr>
            <w:tcW w:w="700" w:type="dxa"/>
            <w:tcBorders>
              <w:top w:val="single" w:sz="4" w:space="0" w:color="auto"/>
              <w:left w:val="single" w:sz="4" w:space="0" w:color="auto"/>
              <w:bottom w:val="single" w:sz="4" w:space="0" w:color="auto"/>
              <w:right w:val="single" w:sz="4" w:space="0" w:color="auto"/>
            </w:tcBorders>
            <w:hideMark/>
          </w:tcPr>
          <w:p w14:paraId="11F98BD0"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200</w:t>
            </w:r>
          </w:p>
        </w:tc>
        <w:tc>
          <w:tcPr>
            <w:tcW w:w="703" w:type="dxa"/>
            <w:tcBorders>
              <w:top w:val="single" w:sz="4" w:space="0" w:color="auto"/>
              <w:left w:val="single" w:sz="4" w:space="0" w:color="auto"/>
              <w:bottom w:val="single" w:sz="4" w:space="0" w:color="auto"/>
              <w:right w:val="single" w:sz="4" w:space="0" w:color="auto"/>
            </w:tcBorders>
            <w:hideMark/>
          </w:tcPr>
          <w:p w14:paraId="2D7572F2"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150</w:t>
            </w:r>
          </w:p>
        </w:tc>
        <w:tc>
          <w:tcPr>
            <w:tcW w:w="696" w:type="dxa"/>
            <w:tcBorders>
              <w:top w:val="single" w:sz="4" w:space="0" w:color="auto"/>
              <w:left w:val="single" w:sz="4" w:space="0" w:color="auto"/>
              <w:bottom w:val="single" w:sz="4" w:space="0" w:color="auto"/>
              <w:right w:val="single" w:sz="4" w:space="0" w:color="auto"/>
            </w:tcBorders>
            <w:hideMark/>
          </w:tcPr>
          <w:p w14:paraId="0DC7733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100</w:t>
            </w:r>
          </w:p>
        </w:tc>
        <w:tc>
          <w:tcPr>
            <w:tcW w:w="700" w:type="dxa"/>
            <w:tcBorders>
              <w:top w:val="single" w:sz="4" w:space="0" w:color="auto"/>
              <w:left w:val="single" w:sz="4" w:space="0" w:color="auto"/>
              <w:bottom w:val="single" w:sz="4" w:space="0" w:color="auto"/>
              <w:right w:val="single" w:sz="4" w:space="0" w:color="auto"/>
            </w:tcBorders>
            <w:hideMark/>
          </w:tcPr>
          <w:p w14:paraId="379C2C3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50</w:t>
            </w:r>
          </w:p>
        </w:tc>
        <w:tc>
          <w:tcPr>
            <w:tcW w:w="576" w:type="dxa"/>
            <w:tcBorders>
              <w:top w:val="single" w:sz="4" w:space="0" w:color="auto"/>
              <w:left w:val="single" w:sz="4" w:space="0" w:color="auto"/>
              <w:bottom w:val="single" w:sz="4" w:space="0" w:color="auto"/>
              <w:right w:val="single" w:sz="4" w:space="0" w:color="auto"/>
            </w:tcBorders>
            <w:hideMark/>
          </w:tcPr>
          <w:p w14:paraId="7D594A5D"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20</w:t>
            </w:r>
          </w:p>
        </w:tc>
      </w:tr>
      <w:tr w:rsidR="005A59E9" w:rsidRPr="005A59E9" w14:paraId="6E6A4A13" w14:textId="77777777" w:rsidTr="005A59E9">
        <w:trPr>
          <w:trHeight w:val="291"/>
        </w:trPr>
        <w:tc>
          <w:tcPr>
            <w:tcW w:w="1376" w:type="dxa"/>
            <w:tcBorders>
              <w:top w:val="single" w:sz="4" w:space="0" w:color="auto"/>
              <w:left w:val="single" w:sz="4" w:space="0" w:color="auto"/>
              <w:bottom w:val="single" w:sz="4" w:space="0" w:color="auto"/>
              <w:right w:val="single" w:sz="4" w:space="0" w:color="auto"/>
            </w:tcBorders>
            <w:hideMark/>
          </w:tcPr>
          <w:p w14:paraId="00524750" w14:textId="77777777" w:rsidR="005A59E9" w:rsidRPr="005A59E9" w:rsidRDefault="005A59E9">
            <w:pPr>
              <w:rPr>
                <w:rFonts w:ascii="Times New Roman" w:hAnsi="Times New Roman" w:cs="Times New Roman"/>
                <w:bCs/>
                <w:sz w:val="20"/>
                <w:szCs w:val="20"/>
              </w:rPr>
            </w:pPr>
            <w:r w:rsidRPr="005A59E9">
              <w:rPr>
                <w:rFonts w:ascii="Times New Roman" w:hAnsi="Times New Roman" w:cs="Times New Roman"/>
                <w:bCs/>
                <w:sz w:val="20"/>
                <w:szCs w:val="20"/>
              </w:rPr>
              <w:t>Total de la classe</w:t>
            </w:r>
          </w:p>
        </w:tc>
        <w:tc>
          <w:tcPr>
            <w:tcW w:w="887" w:type="dxa"/>
            <w:tcBorders>
              <w:top w:val="single" w:sz="4" w:space="0" w:color="auto"/>
              <w:left w:val="single" w:sz="4" w:space="0" w:color="auto"/>
              <w:bottom w:val="single" w:sz="4" w:space="0" w:color="auto"/>
              <w:right w:val="single" w:sz="4" w:space="0" w:color="auto"/>
            </w:tcBorders>
            <w:hideMark/>
          </w:tcPr>
          <w:p w14:paraId="6F86820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60 000</w:t>
            </w:r>
          </w:p>
        </w:tc>
        <w:tc>
          <w:tcPr>
            <w:tcW w:w="851" w:type="dxa"/>
            <w:tcBorders>
              <w:top w:val="single" w:sz="4" w:space="0" w:color="auto"/>
              <w:left w:val="single" w:sz="4" w:space="0" w:color="auto"/>
              <w:bottom w:val="single" w:sz="4" w:space="0" w:color="auto"/>
              <w:right w:val="single" w:sz="4" w:space="0" w:color="auto"/>
            </w:tcBorders>
            <w:hideMark/>
          </w:tcPr>
          <w:p w14:paraId="1638438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42 000</w:t>
            </w:r>
          </w:p>
        </w:tc>
        <w:tc>
          <w:tcPr>
            <w:tcW w:w="956" w:type="dxa"/>
            <w:tcBorders>
              <w:top w:val="single" w:sz="4" w:space="0" w:color="auto"/>
              <w:left w:val="single" w:sz="4" w:space="0" w:color="auto"/>
              <w:bottom w:val="single" w:sz="4" w:space="0" w:color="auto"/>
              <w:right w:val="single" w:sz="4" w:space="0" w:color="auto"/>
            </w:tcBorders>
            <w:hideMark/>
          </w:tcPr>
          <w:p w14:paraId="0784792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35 000</w:t>
            </w:r>
          </w:p>
        </w:tc>
        <w:tc>
          <w:tcPr>
            <w:tcW w:w="930" w:type="dxa"/>
            <w:tcBorders>
              <w:top w:val="single" w:sz="4" w:space="0" w:color="auto"/>
              <w:left w:val="single" w:sz="4" w:space="0" w:color="auto"/>
              <w:bottom w:val="single" w:sz="4" w:space="0" w:color="auto"/>
              <w:right w:val="single" w:sz="4" w:space="0" w:color="auto"/>
            </w:tcBorders>
            <w:hideMark/>
          </w:tcPr>
          <w:p w14:paraId="00297DF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25 000</w:t>
            </w:r>
          </w:p>
        </w:tc>
        <w:tc>
          <w:tcPr>
            <w:tcW w:w="839" w:type="dxa"/>
            <w:tcBorders>
              <w:top w:val="single" w:sz="4" w:space="0" w:color="auto"/>
              <w:left w:val="single" w:sz="4" w:space="0" w:color="auto"/>
              <w:bottom w:val="single" w:sz="4" w:space="0" w:color="auto"/>
              <w:right w:val="single" w:sz="4" w:space="0" w:color="auto"/>
            </w:tcBorders>
            <w:hideMark/>
          </w:tcPr>
          <w:p w14:paraId="52D2B65D"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13 000</w:t>
            </w:r>
          </w:p>
        </w:tc>
        <w:tc>
          <w:tcPr>
            <w:tcW w:w="700" w:type="dxa"/>
            <w:tcBorders>
              <w:top w:val="single" w:sz="4" w:space="0" w:color="auto"/>
              <w:left w:val="single" w:sz="4" w:space="0" w:color="auto"/>
              <w:bottom w:val="single" w:sz="4" w:space="0" w:color="auto"/>
              <w:right w:val="single" w:sz="4" w:space="0" w:color="auto"/>
            </w:tcBorders>
            <w:hideMark/>
          </w:tcPr>
          <w:p w14:paraId="78AADFC1"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9000</w:t>
            </w:r>
          </w:p>
        </w:tc>
        <w:tc>
          <w:tcPr>
            <w:tcW w:w="703" w:type="dxa"/>
            <w:tcBorders>
              <w:top w:val="single" w:sz="4" w:space="0" w:color="auto"/>
              <w:left w:val="single" w:sz="4" w:space="0" w:color="auto"/>
              <w:bottom w:val="single" w:sz="4" w:space="0" w:color="auto"/>
              <w:right w:val="single" w:sz="4" w:space="0" w:color="auto"/>
            </w:tcBorders>
            <w:hideMark/>
          </w:tcPr>
          <w:p w14:paraId="4E56F2C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7000</w:t>
            </w:r>
          </w:p>
        </w:tc>
        <w:tc>
          <w:tcPr>
            <w:tcW w:w="696" w:type="dxa"/>
            <w:tcBorders>
              <w:top w:val="single" w:sz="4" w:space="0" w:color="auto"/>
              <w:left w:val="single" w:sz="4" w:space="0" w:color="auto"/>
              <w:bottom w:val="single" w:sz="4" w:space="0" w:color="auto"/>
              <w:right w:val="single" w:sz="4" w:space="0" w:color="auto"/>
            </w:tcBorders>
            <w:hideMark/>
          </w:tcPr>
          <w:p w14:paraId="78AC0238"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4000</w:t>
            </w:r>
          </w:p>
        </w:tc>
        <w:tc>
          <w:tcPr>
            <w:tcW w:w="700" w:type="dxa"/>
            <w:tcBorders>
              <w:top w:val="single" w:sz="4" w:space="0" w:color="auto"/>
              <w:left w:val="single" w:sz="4" w:space="0" w:color="auto"/>
              <w:bottom w:val="single" w:sz="4" w:space="0" w:color="auto"/>
              <w:right w:val="single" w:sz="4" w:space="0" w:color="auto"/>
            </w:tcBorders>
            <w:hideMark/>
          </w:tcPr>
          <w:p w14:paraId="79DE274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2500</w:t>
            </w:r>
          </w:p>
        </w:tc>
        <w:tc>
          <w:tcPr>
            <w:tcW w:w="576" w:type="dxa"/>
            <w:tcBorders>
              <w:top w:val="single" w:sz="4" w:space="0" w:color="auto"/>
              <w:left w:val="single" w:sz="4" w:space="0" w:color="auto"/>
              <w:bottom w:val="single" w:sz="4" w:space="0" w:color="auto"/>
              <w:right w:val="single" w:sz="4" w:space="0" w:color="auto"/>
            </w:tcBorders>
            <w:hideMark/>
          </w:tcPr>
          <w:p w14:paraId="5A970366"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600</w:t>
            </w:r>
          </w:p>
        </w:tc>
      </w:tr>
    </w:tbl>
    <w:p w14:paraId="7EA8BBED" w14:textId="77777777" w:rsidR="005A59E9" w:rsidRPr="005A59E9" w:rsidRDefault="005A59E9" w:rsidP="005A59E9">
      <w:pPr>
        <w:rPr>
          <w:rFonts w:ascii="Times New Roman" w:hAnsi="Times New Roman"/>
          <w:sz w:val="20"/>
          <w:szCs w:val="20"/>
          <w:lang w:eastAsia="en-US"/>
        </w:rPr>
      </w:pPr>
    </w:p>
    <w:p w14:paraId="2A3E6B36" w14:textId="77777777" w:rsidR="005A59E9" w:rsidRPr="005A59E9" w:rsidRDefault="005A59E9" w:rsidP="005A59E9">
      <w:pPr>
        <w:jc w:val="left"/>
        <w:rPr>
          <w:rFonts w:ascii="Times New Roman" w:hAnsi="Times New Roman"/>
          <w:sz w:val="20"/>
          <w:szCs w:val="20"/>
        </w:rPr>
      </w:pPr>
      <w:r w:rsidRPr="005A59E9">
        <w:rPr>
          <w:rFonts w:ascii="Times New Roman" w:hAnsi="Times New Roman"/>
          <w:sz w:val="20"/>
          <w:szCs w:val="20"/>
        </w:rPr>
        <w:t>Source : Tarifs des cérémonies funèbres pour Paris au 1</w:t>
      </w:r>
      <w:r w:rsidRPr="005A59E9">
        <w:rPr>
          <w:rFonts w:ascii="Times New Roman" w:hAnsi="Times New Roman"/>
          <w:sz w:val="20"/>
          <w:szCs w:val="20"/>
          <w:vertAlign w:val="superscript"/>
        </w:rPr>
        <w:t>er</w:t>
      </w:r>
      <w:r w:rsidRPr="005A59E9">
        <w:rPr>
          <w:rFonts w:ascii="Times New Roman" w:hAnsi="Times New Roman"/>
          <w:sz w:val="20"/>
          <w:szCs w:val="20"/>
        </w:rPr>
        <w:t xml:space="preserve"> juillet 1951, Archives historiques de l’archevêché de Paris : 4G10 2.2, « Pompes Funèbres 51-62 ».</w:t>
      </w:r>
    </w:p>
    <w:p w14:paraId="37A3B0B0" w14:textId="77777777" w:rsidR="005A59E9" w:rsidRPr="005A59E9" w:rsidRDefault="005A59E9" w:rsidP="005A59E9">
      <w:pPr>
        <w:rPr>
          <w:rFonts w:ascii="Times New Roman" w:hAnsi="Times New Roman"/>
          <w:sz w:val="20"/>
          <w:szCs w:val="20"/>
        </w:rPr>
      </w:pPr>
    </w:p>
    <w:p w14:paraId="1DBE2103" w14:textId="77777777" w:rsidR="005A59E9" w:rsidRPr="005A59E9" w:rsidRDefault="005A59E9" w:rsidP="005A59E9">
      <w:pPr>
        <w:rPr>
          <w:rFonts w:ascii="Times New Roman" w:hAnsi="Times New Roman"/>
          <w:sz w:val="20"/>
          <w:szCs w:val="20"/>
        </w:rPr>
      </w:pPr>
    </w:p>
    <w:p w14:paraId="22053819" w14:textId="77777777" w:rsidR="005A59E9" w:rsidRPr="005A59E9" w:rsidRDefault="005A59E9" w:rsidP="005A59E9">
      <w:pPr>
        <w:pStyle w:val="Paragraphedeliste"/>
        <w:numPr>
          <w:ilvl w:val="0"/>
          <w:numId w:val="24"/>
        </w:numPr>
        <w:jc w:val="both"/>
        <w:rPr>
          <w:b/>
          <w:sz w:val="20"/>
          <w:szCs w:val="20"/>
        </w:rPr>
      </w:pPr>
      <w:r w:rsidRPr="005A59E9">
        <w:rPr>
          <w:b/>
          <w:sz w:val="20"/>
          <w:szCs w:val="20"/>
        </w:rPr>
        <w:t>Effectifs cléricaux requis en fonction des classes (1951)</w:t>
      </w:r>
    </w:p>
    <w:p w14:paraId="3D45DFEA" w14:textId="77777777" w:rsidR="005A59E9" w:rsidRPr="005A59E9" w:rsidRDefault="005A59E9" w:rsidP="005A59E9">
      <w:pPr>
        <w:rPr>
          <w:rFonts w:ascii="Times New Roman" w:hAnsi="Times New Roman"/>
          <w:sz w:val="20"/>
          <w:szCs w:val="20"/>
        </w:rPr>
      </w:pPr>
    </w:p>
    <w:tbl>
      <w:tblPr>
        <w:tblStyle w:val="Grilledutableau"/>
        <w:tblpPr w:leftFromText="141" w:rightFromText="141" w:vertAnchor="text" w:horzAnchor="margin" w:tblpY="171"/>
        <w:tblW w:w="8926" w:type="dxa"/>
        <w:tblInd w:w="0" w:type="dxa"/>
        <w:tblLook w:val="04A0" w:firstRow="1" w:lastRow="0" w:firstColumn="1" w:lastColumn="0" w:noHBand="0" w:noVBand="1"/>
      </w:tblPr>
      <w:tblGrid>
        <w:gridCol w:w="3114"/>
        <w:gridCol w:w="5812"/>
      </w:tblGrid>
      <w:tr w:rsidR="005A59E9" w:rsidRPr="005A59E9" w14:paraId="129CEC3C"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3CABDCC4"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Première classe</w:t>
            </w:r>
          </w:p>
          <w:p w14:paraId="28410CFE" w14:textId="77777777" w:rsidR="005A59E9" w:rsidRPr="005A59E9" w:rsidRDefault="005A59E9">
            <w:pPr>
              <w:jc w:val="center"/>
              <w:rPr>
                <w:rFonts w:ascii="Times New Roman" w:hAnsi="Times New Roman" w:cs="Times New Roman"/>
                <w:b/>
                <w:bCs/>
                <w:sz w:val="20"/>
                <w:szCs w:val="20"/>
              </w:rPr>
            </w:pPr>
            <w:r w:rsidRPr="005A59E9">
              <w:rPr>
                <w:rFonts w:ascii="Times New Roman" w:hAnsi="Times New Roman" w:cs="Times New Roman"/>
                <w:sz w:val="20"/>
                <w:szCs w:val="20"/>
              </w:rPr>
              <w:t>(1)</w:t>
            </w:r>
          </w:p>
        </w:tc>
        <w:tc>
          <w:tcPr>
            <w:tcW w:w="5812" w:type="dxa"/>
            <w:tcBorders>
              <w:top w:val="single" w:sz="4" w:space="0" w:color="auto"/>
              <w:left w:val="single" w:sz="4" w:space="0" w:color="auto"/>
              <w:bottom w:val="single" w:sz="4" w:space="0" w:color="auto"/>
              <w:right w:val="single" w:sz="4" w:space="0" w:color="auto"/>
            </w:tcBorders>
            <w:hideMark/>
          </w:tcPr>
          <w:p w14:paraId="629C322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Un curé</w:t>
            </w:r>
          </w:p>
          <w:p w14:paraId="1D3DFA9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3 prêtres (si la paroisse comporte 4-5 vicaires), 4 prêtres (si 6-7 vicaires), 5 prêtres (si 8 vicaires ou plus)</w:t>
            </w:r>
          </w:p>
          <w:p w14:paraId="6DC3FBB9" w14:textId="77777777" w:rsidR="005A59E9" w:rsidRPr="005A59E9" w:rsidRDefault="005A59E9">
            <w:pPr>
              <w:rPr>
                <w:rFonts w:ascii="Times New Roman" w:hAnsi="Times New Roman" w:cs="Times New Roman"/>
                <w:b/>
                <w:bCs/>
                <w:sz w:val="20"/>
                <w:szCs w:val="20"/>
              </w:rPr>
            </w:pPr>
            <w:r w:rsidRPr="005A59E9">
              <w:rPr>
                <w:rFonts w:ascii="Times New Roman" w:hAnsi="Times New Roman" w:cs="Times New Roman"/>
                <w:sz w:val="20"/>
                <w:szCs w:val="20"/>
              </w:rPr>
              <w:t>Vicaire chargé des convois</w:t>
            </w:r>
          </w:p>
        </w:tc>
      </w:tr>
      <w:tr w:rsidR="005A59E9" w:rsidRPr="005A59E9" w14:paraId="6D4B3D2D"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291F6F5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Deuxième classe, première section (2.1)</w:t>
            </w:r>
          </w:p>
        </w:tc>
        <w:tc>
          <w:tcPr>
            <w:tcW w:w="5812" w:type="dxa"/>
            <w:tcBorders>
              <w:top w:val="single" w:sz="4" w:space="0" w:color="auto"/>
              <w:left w:val="single" w:sz="4" w:space="0" w:color="auto"/>
              <w:bottom w:val="single" w:sz="4" w:space="0" w:color="auto"/>
              <w:right w:val="single" w:sz="4" w:space="0" w:color="auto"/>
            </w:tcBorders>
            <w:hideMark/>
          </w:tcPr>
          <w:p w14:paraId="3600647B"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Curé</w:t>
            </w:r>
          </w:p>
          <w:p w14:paraId="481B9BC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3 prêtres (si la paroisse comporte 4-5 vicaires), 4 prêtres (si 6-7 vicaires), 5 prêtres (si 8 et plus)</w:t>
            </w:r>
          </w:p>
          <w:p w14:paraId="6633D3A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08C3A79E"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7A76D830" w14:textId="77777777" w:rsidR="005A59E9" w:rsidRPr="005A59E9" w:rsidRDefault="005A59E9">
            <w:pPr>
              <w:jc w:val="center"/>
              <w:rPr>
                <w:rFonts w:ascii="Times New Roman" w:hAnsi="Times New Roman" w:cs="Times New Roman"/>
                <w:color w:val="4472C4" w:themeColor="accent5"/>
                <w:sz w:val="20"/>
                <w:szCs w:val="20"/>
              </w:rPr>
            </w:pPr>
            <w:r w:rsidRPr="005A59E9">
              <w:rPr>
                <w:rFonts w:ascii="Times New Roman" w:hAnsi="Times New Roman" w:cs="Times New Roman"/>
                <w:sz w:val="20"/>
                <w:szCs w:val="20"/>
              </w:rPr>
              <w:t>Deuxième classe, deuxième section (2.2)</w:t>
            </w:r>
          </w:p>
        </w:tc>
        <w:tc>
          <w:tcPr>
            <w:tcW w:w="5812" w:type="dxa"/>
            <w:tcBorders>
              <w:top w:val="single" w:sz="4" w:space="0" w:color="auto"/>
              <w:left w:val="single" w:sz="4" w:space="0" w:color="auto"/>
              <w:bottom w:val="single" w:sz="4" w:space="0" w:color="auto"/>
              <w:right w:val="single" w:sz="4" w:space="0" w:color="auto"/>
            </w:tcBorders>
            <w:hideMark/>
          </w:tcPr>
          <w:p w14:paraId="3C50988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Curé</w:t>
            </w:r>
          </w:p>
          <w:p w14:paraId="7AF967C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3 prêtres (si la paroisse comporte 4-5 vicaires), 4 prêtres (si 6-7 vicaires), 5 prêtres (si 8 et plus)</w:t>
            </w:r>
          </w:p>
          <w:p w14:paraId="4D10637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75482048"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5502096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Deuxième classe, troisième section (2.3)</w:t>
            </w:r>
          </w:p>
        </w:tc>
        <w:tc>
          <w:tcPr>
            <w:tcW w:w="5812" w:type="dxa"/>
            <w:tcBorders>
              <w:top w:val="single" w:sz="4" w:space="0" w:color="auto"/>
              <w:left w:val="single" w:sz="4" w:space="0" w:color="auto"/>
              <w:bottom w:val="single" w:sz="4" w:space="0" w:color="auto"/>
              <w:right w:val="single" w:sz="4" w:space="0" w:color="auto"/>
            </w:tcBorders>
            <w:hideMark/>
          </w:tcPr>
          <w:p w14:paraId="4A2F865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Curé</w:t>
            </w:r>
          </w:p>
          <w:p w14:paraId="1C40995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744FAFF8"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6B0B5D65"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Troisième classe A (3.A)</w:t>
            </w:r>
          </w:p>
        </w:tc>
        <w:tc>
          <w:tcPr>
            <w:tcW w:w="5812" w:type="dxa"/>
            <w:tcBorders>
              <w:top w:val="single" w:sz="4" w:space="0" w:color="auto"/>
              <w:left w:val="single" w:sz="4" w:space="0" w:color="auto"/>
              <w:bottom w:val="single" w:sz="4" w:space="0" w:color="auto"/>
              <w:right w:val="single" w:sz="4" w:space="0" w:color="auto"/>
            </w:tcBorders>
            <w:hideMark/>
          </w:tcPr>
          <w:p w14:paraId="2E0AD39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Curé</w:t>
            </w:r>
          </w:p>
          <w:p w14:paraId="70652BD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0B893CC5"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301EA76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Troisième classe, première section (3.1)</w:t>
            </w:r>
          </w:p>
        </w:tc>
        <w:tc>
          <w:tcPr>
            <w:tcW w:w="5812" w:type="dxa"/>
            <w:tcBorders>
              <w:top w:val="single" w:sz="4" w:space="0" w:color="auto"/>
              <w:left w:val="single" w:sz="4" w:space="0" w:color="auto"/>
              <w:bottom w:val="single" w:sz="4" w:space="0" w:color="auto"/>
              <w:right w:val="single" w:sz="4" w:space="0" w:color="auto"/>
            </w:tcBorders>
            <w:hideMark/>
          </w:tcPr>
          <w:p w14:paraId="2309841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Curé</w:t>
            </w:r>
          </w:p>
          <w:p w14:paraId="3F1E615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7813AB3F"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2AED1634"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Troisième classe, deuxième section (3.2)</w:t>
            </w:r>
          </w:p>
        </w:tc>
        <w:tc>
          <w:tcPr>
            <w:tcW w:w="5812" w:type="dxa"/>
            <w:tcBorders>
              <w:top w:val="single" w:sz="4" w:space="0" w:color="auto"/>
              <w:left w:val="single" w:sz="4" w:space="0" w:color="auto"/>
              <w:bottom w:val="single" w:sz="4" w:space="0" w:color="auto"/>
              <w:right w:val="single" w:sz="4" w:space="0" w:color="auto"/>
            </w:tcBorders>
            <w:hideMark/>
          </w:tcPr>
          <w:p w14:paraId="64798B0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Prêtre</w:t>
            </w:r>
          </w:p>
          <w:p w14:paraId="25D85A7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7175ABB2"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259D812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Troisième classe, troisième section (3.3)</w:t>
            </w:r>
          </w:p>
        </w:tc>
        <w:tc>
          <w:tcPr>
            <w:tcW w:w="5812" w:type="dxa"/>
            <w:tcBorders>
              <w:top w:val="single" w:sz="4" w:space="0" w:color="auto"/>
              <w:left w:val="single" w:sz="4" w:space="0" w:color="auto"/>
              <w:bottom w:val="single" w:sz="4" w:space="0" w:color="auto"/>
              <w:right w:val="single" w:sz="4" w:space="0" w:color="auto"/>
            </w:tcBorders>
            <w:hideMark/>
          </w:tcPr>
          <w:p w14:paraId="26718DC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Prêtre</w:t>
            </w:r>
          </w:p>
          <w:p w14:paraId="6D5859B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623766B0"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4A48C81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lastRenderedPageBreak/>
              <w:t>Quatrième classe (4)</w:t>
            </w:r>
          </w:p>
        </w:tc>
        <w:tc>
          <w:tcPr>
            <w:tcW w:w="5812" w:type="dxa"/>
            <w:tcBorders>
              <w:top w:val="single" w:sz="4" w:space="0" w:color="auto"/>
              <w:left w:val="single" w:sz="4" w:space="0" w:color="auto"/>
              <w:bottom w:val="single" w:sz="4" w:space="0" w:color="auto"/>
              <w:right w:val="single" w:sz="4" w:space="0" w:color="auto"/>
            </w:tcBorders>
            <w:hideMark/>
          </w:tcPr>
          <w:p w14:paraId="65321BD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Prêtre</w:t>
            </w:r>
          </w:p>
          <w:p w14:paraId="4E63B58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Vicaire chargé des convois</w:t>
            </w:r>
          </w:p>
        </w:tc>
      </w:tr>
      <w:tr w:rsidR="005A59E9" w:rsidRPr="005A59E9" w14:paraId="23420C1D"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026B50B2"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Cinquième classe, première section (5.1)</w:t>
            </w:r>
          </w:p>
        </w:tc>
        <w:tc>
          <w:tcPr>
            <w:tcW w:w="5812" w:type="dxa"/>
            <w:tcBorders>
              <w:top w:val="single" w:sz="4" w:space="0" w:color="auto"/>
              <w:left w:val="single" w:sz="4" w:space="0" w:color="auto"/>
              <w:bottom w:val="single" w:sz="4" w:space="0" w:color="auto"/>
              <w:right w:val="single" w:sz="4" w:space="0" w:color="auto"/>
            </w:tcBorders>
            <w:hideMark/>
          </w:tcPr>
          <w:p w14:paraId="6A037F9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Prêtre</w:t>
            </w:r>
          </w:p>
        </w:tc>
      </w:tr>
      <w:tr w:rsidR="005A59E9" w:rsidRPr="005A59E9" w14:paraId="199FA28A" w14:textId="77777777" w:rsidTr="005A59E9">
        <w:trPr>
          <w:trHeight w:val="280"/>
        </w:trPr>
        <w:tc>
          <w:tcPr>
            <w:tcW w:w="3114" w:type="dxa"/>
            <w:tcBorders>
              <w:top w:val="single" w:sz="4" w:space="0" w:color="auto"/>
              <w:left w:val="single" w:sz="4" w:space="0" w:color="auto"/>
              <w:bottom w:val="single" w:sz="4" w:space="0" w:color="auto"/>
              <w:right w:val="single" w:sz="4" w:space="0" w:color="auto"/>
            </w:tcBorders>
            <w:hideMark/>
          </w:tcPr>
          <w:p w14:paraId="37D7799F"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Cinquième classe, deuxième section (5.2)</w:t>
            </w:r>
          </w:p>
        </w:tc>
        <w:tc>
          <w:tcPr>
            <w:tcW w:w="5812" w:type="dxa"/>
            <w:tcBorders>
              <w:top w:val="single" w:sz="4" w:space="0" w:color="auto"/>
              <w:left w:val="single" w:sz="4" w:space="0" w:color="auto"/>
              <w:bottom w:val="single" w:sz="4" w:space="0" w:color="auto"/>
              <w:right w:val="single" w:sz="4" w:space="0" w:color="auto"/>
            </w:tcBorders>
            <w:hideMark/>
          </w:tcPr>
          <w:p w14:paraId="60618E5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Prêtre</w:t>
            </w:r>
          </w:p>
        </w:tc>
      </w:tr>
    </w:tbl>
    <w:p w14:paraId="1C2B3B50" w14:textId="77777777" w:rsidR="005A59E9" w:rsidRPr="005A59E9" w:rsidRDefault="005A59E9" w:rsidP="005A59E9">
      <w:pPr>
        <w:rPr>
          <w:rFonts w:ascii="Times New Roman" w:hAnsi="Times New Roman"/>
          <w:sz w:val="20"/>
          <w:szCs w:val="20"/>
          <w:lang w:eastAsia="en-US"/>
        </w:rPr>
      </w:pPr>
    </w:p>
    <w:p w14:paraId="418F21DC" w14:textId="77777777" w:rsidR="005A59E9" w:rsidRPr="005A59E9" w:rsidRDefault="005A59E9" w:rsidP="005A59E9">
      <w:pPr>
        <w:jc w:val="left"/>
        <w:rPr>
          <w:rFonts w:ascii="Times New Roman" w:hAnsi="Times New Roman"/>
          <w:sz w:val="20"/>
          <w:szCs w:val="20"/>
        </w:rPr>
      </w:pPr>
    </w:p>
    <w:p w14:paraId="2B12DECC" w14:textId="77777777" w:rsidR="005A59E9" w:rsidRPr="005A59E9" w:rsidRDefault="005A59E9" w:rsidP="005A59E9">
      <w:pPr>
        <w:jc w:val="left"/>
        <w:rPr>
          <w:rFonts w:ascii="Times New Roman" w:hAnsi="Times New Roman"/>
          <w:sz w:val="20"/>
          <w:szCs w:val="20"/>
        </w:rPr>
      </w:pPr>
      <w:r w:rsidRPr="005A59E9">
        <w:rPr>
          <w:rFonts w:ascii="Times New Roman" w:hAnsi="Times New Roman"/>
          <w:sz w:val="20"/>
          <w:szCs w:val="20"/>
        </w:rPr>
        <w:t>Source : Article 21de l’Instruction pour le règlement des mariages et des cérémonies funèbres dans le diocèse de Paris (1951)</w:t>
      </w:r>
    </w:p>
    <w:p w14:paraId="0DFA04D7" w14:textId="77777777" w:rsidR="005A59E9" w:rsidRPr="005A59E9" w:rsidRDefault="005A59E9" w:rsidP="005A59E9">
      <w:pPr>
        <w:jc w:val="left"/>
        <w:rPr>
          <w:rFonts w:ascii="Times New Roman" w:hAnsi="Times New Roman"/>
          <w:sz w:val="20"/>
          <w:szCs w:val="20"/>
        </w:rPr>
      </w:pPr>
    </w:p>
    <w:p w14:paraId="4B985F95" w14:textId="77777777" w:rsidR="005A59E9" w:rsidRPr="005A59E9" w:rsidRDefault="005A59E9" w:rsidP="005A59E9">
      <w:pPr>
        <w:jc w:val="left"/>
        <w:rPr>
          <w:rFonts w:ascii="Times New Roman" w:hAnsi="Times New Roman"/>
          <w:sz w:val="20"/>
          <w:szCs w:val="20"/>
        </w:rPr>
      </w:pPr>
    </w:p>
    <w:p w14:paraId="2F97A8CD" w14:textId="77777777" w:rsidR="005A59E9" w:rsidRPr="005A59E9" w:rsidRDefault="005A59E9" w:rsidP="005A59E9">
      <w:pPr>
        <w:pStyle w:val="Paragraphedeliste"/>
        <w:numPr>
          <w:ilvl w:val="0"/>
          <w:numId w:val="24"/>
        </w:numPr>
        <w:rPr>
          <w:b/>
          <w:sz w:val="20"/>
          <w:szCs w:val="20"/>
        </w:rPr>
      </w:pPr>
      <w:r w:rsidRPr="005A59E9">
        <w:rPr>
          <w:b/>
          <w:sz w:val="20"/>
          <w:szCs w:val="20"/>
        </w:rPr>
        <w:t>Prestations matérielles intérieures en 1951</w:t>
      </w:r>
    </w:p>
    <w:p w14:paraId="683399DC" w14:textId="77777777" w:rsidR="005A59E9" w:rsidRPr="005A59E9" w:rsidRDefault="005A59E9" w:rsidP="005A59E9">
      <w:pPr>
        <w:jc w:val="left"/>
        <w:rPr>
          <w:rFonts w:ascii="Times New Roman" w:hAnsi="Times New Roman"/>
          <w:b/>
          <w:sz w:val="20"/>
          <w:szCs w:val="20"/>
        </w:rPr>
      </w:pPr>
    </w:p>
    <w:p w14:paraId="1EA28183" w14:textId="77777777" w:rsidR="005A59E9" w:rsidRPr="005A59E9" w:rsidRDefault="005A59E9" w:rsidP="005A59E9">
      <w:pPr>
        <w:jc w:val="left"/>
        <w:rPr>
          <w:rFonts w:ascii="Times New Roman" w:hAnsi="Times New Roman"/>
          <w:sz w:val="20"/>
          <w:szCs w:val="20"/>
        </w:rPr>
      </w:pPr>
      <w:r w:rsidRPr="005A59E9">
        <w:rPr>
          <w:rFonts w:ascii="Times New Roman" w:hAnsi="Times New Roman"/>
          <w:sz w:val="20"/>
          <w:szCs w:val="20"/>
        </w:rPr>
        <w:t>Intérieures parce que, depuis la séparation de l’Eglise et de l’Etat en 1905, l’Eglise ne s’occupe plus que du service intérieur.</w:t>
      </w:r>
    </w:p>
    <w:p w14:paraId="5B4F4A57" w14:textId="77777777" w:rsidR="005A59E9" w:rsidRPr="005A59E9" w:rsidRDefault="005A59E9" w:rsidP="005A59E9">
      <w:pPr>
        <w:jc w:val="left"/>
        <w:rPr>
          <w:rFonts w:ascii="Times New Roman" w:hAnsi="Times New Roman"/>
          <w:b/>
          <w:sz w:val="20"/>
          <w:szCs w:val="20"/>
        </w:rPr>
      </w:pPr>
    </w:p>
    <w:p w14:paraId="0BE3DDF3" w14:textId="77777777" w:rsidR="005A59E9" w:rsidRPr="005A59E9" w:rsidRDefault="005A59E9" w:rsidP="005A59E9">
      <w:pPr>
        <w:rPr>
          <w:rFonts w:ascii="Times New Roman" w:hAnsi="Times New Roman"/>
          <w:b/>
          <w:sz w:val="20"/>
          <w:szCs w:val="20"/>
        </w:rPr>
      </w:pPr>
      <w:r w:rsidRPr="005A59E9">
        <w:rPr>
          <w:rFonts w:ascii="Times New Roman" w:hAnsi="Times New Roman"/>
          <w:b/>
          <w:sz w:val="20"/>
          <w:szCs w:val="20"/>
        </w:rPr>
        <w:t>Portails</w:t>
      </w:r>
    </w:p>
    <w:p w14:paraId="3FC66DCC"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 xml:space="preserve"> </w:t>
      </w:r>
    </w:p>
    <w:tbl>
      <w:tblPr>
        <w:tblStyle w:val="Grilledutableau"/>
        <w:tblW w:w="0" w:type="auto"/>
        <w:tblInd w:w="0" w:type="dxa"/>
        <w:tblLook w:val="04A0" w:firstRow="1" w:lastRow="0" w:firstColumn="1" w:lastColumn="0" w:noHBand="0" w:noVBand="1"/>
      </w:tblPr>
      <w:tblGrid>
        <w:gridCol w:w="2122"/>
        <w:gridCol w:w="6095"/>
        <w:gridCol w:w="845"/>
      </w:tblGrid>
      <w:tr w:rsidR="005A59E9" w:rsidRPr="005A59E9" w14:paraId="3DC6ED58" w14:textId="77777777" w:rsidTr="005A59E9">
        <w:tc>
          <w:tcPr>
            <w:tcW w:w="2122" w:type="dxa"/>
            <w:tcBorders>
              <w:top w:val="single" w:sz="4" w:space="0" w:color="auto"/>
              <w:left w:val="single" w:sz="4" w:space="0" w:color="auto"/>
              <w:bottom w:val="single" w:sz="4" w:space="0" w:color="auto"/>
              <w:right w:val="single" w:sz="4" w:space="0" w:color="auto"/>
            </w:tcBorders>
            <w:hideMark/>
          </w:tcPr>
          <w:p w14:paraId="3A6EFFA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Portail 1</w:t>
            </w:r>
            <w:r w:rsidRPr="005A59E9">
              <w:rPr>
                <w:rFonts w:ascii="Times New Roman" w:hAnsi="Times New Roman" w:cs="Times New Roman"/>
                <w:sz w:val="20"/>
                <w:szCs w:val="20"/>
                <w:vertAlign w:val="superscript"/>
              </w:rPr>
              <w:t>ère</w:t>
            </w:r>
            <w:r w:rsidRPr="005A59E9">
              <w:rPr>
                <w:rFonts w:ascii="Times New Roman" w:hAnsi="Times New Roman" w:cs="Times New Roman"/>
                <w:sz w:val="20"/>
                <w:szCs w:val="20"/>
              </w:rPr>
              <w:t xml:space="preserve"> classe </w:t>
            </w:r>
          </w:p>
        </w:tc>
        <w:tc>
          <w:tcPr>
            <w:tcW w:w="6095" w:type="dxa"/>
            <w:tcBorders>
              <w:top w:val="single" w:sz="4" w:space="0" w:color="auto"/>
              <w:left w:val="single" w:sz="4" w:space="0" w:color="auto"/>
              <w:bottom w:val="single" w:sz="4" w:space="0" w:color="auto"/>
              <w:right w:val="single" w:sz="4" w:space="0" w:color="auto"/>
            </w:tcBorders>
            <w:hideMark/>
          </w:tcPr>
          <w:p w14:paraId="4F51992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Tenture de 150 m</w:t>
            </w:r>
          </w:p>
          <w:p w14:paraId="086C786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Bandeau galonné et frangé en argent</w:t>
            </w:r>
          </w:p>
          <w:p w14:paraId="4454EDF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Ornement en argent couronnant la tenture</w:t>
            </w:r>
          </w:p>
          <w:p w14:paraId="093962E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Une paire de rideaux galonnés et frangés en argent</w:t>
            </w:r>
          </w:p>
          <w:p w14:paraId="79936F9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Draperie à l’antique galonnée et frangée en argent</w:t>
            </w:r>
          </w:p>
          <w:p w14:paraId="282DA90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Charpente</w:t>
            </w:r>
          </w:p>
        </w:tc>
        <w:tc>
          <w:tcPr>
            <w:tcW w:w="845" w:type="dxa"/>
            <w:tcBorders>
              <w:top w:val="single" w:sz="4" w:space="0" w:color="auto"/>
              <w:left w:val="single" w:sz="4" w:space="0" w:color="auto"/>
              <w:bottom w:val="single" w:sz="4" w:space="0" w:color="auto"/>
              <w:right w:val="single" w:sz="4" w:space="0" w:color="auto"/>
            </w:tcBorders>
            <w:hideMark/>
          </w:tcPr>
          <w:p w14:paraId="7AB99CF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8 835 </w:t>
            </w:r>
            <w:proofErr w:type="spellStart"/>
            <w:r w:rsidRPr="005A59E9">
              <w:rPr>
                <w:rFonts w:ascii="Times New Roman" w:hAnsi="Times New Roman" w:cs="Times New Roman"/>
                <w:sz w:val="20"/>
                <w:szCs w:val="20"/>
              </w:rPr>
              <w:t>fr.</w:t>
            </w:r>
            <w:proofErr w:type="spellEnd"/>
          </w:p>
        </w:tc>
      </w:tr>
      <w:tr w:rsidR="005A59E9" w:rsidRPr="005A59E9" w14:paraId="0174E79E" w14:textId="77777777" w:rsidTr="005A59E9">
        <w:tc>
          <w:tcPr>
            <w:tcW w:w="2122" w:type="dxa"/>
            <w:tcBorders>
              <w:top w:val="single" w:sz="4" w:space="0" w:color="auto"/>
              <w:left w:val="single" w:sz="4" w:space="0" w:color="auto"/>
              <w:bottom w:val="single" w:sz="4" w:space="0" w:color="auto"/>
              <w:right w:val="single" w:sz="4" w:space="0" w:color="auto"/>
            </w:tcBorders>
            <w:hideMark/>
          </w:tcPr>
          <w:p w14:paraId="138C258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Portail 2.1</w:t>
            </w:r>
          </w:p>
        </w:tc>
        <w:tc>
          <w:tcPr>
            <w:tcW w:w="6095" w:type="dxa"/>
            <w:tcBorders>
              <w:top w:val="single" w:sz="4" w:space="0" w:color="auto"/>
              <w:left w:val="single" w:sz="4" w:space="0" w:color="auto"/>
              <w:bottom w:val="single" w:sz="4" w:space="0" w:color="auto"/>
              <w:right w:val="single" w:sz="4" w:space="0" w:color="auto"/>
            </w:tcBorders>
            <w:hideMark/>
          </w:tcPr>
          <w:p w14:paraId="0287AC3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Tenture de 60 m</w:t>
            </w:r>
          </w:p>
          <w:p w14:paraId="29E69877"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Bandeau galonné et frangé en argent</w:t>
            </w:r>
          </w:p>
          <w:p w14:paraId="0E73E8F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Ornement en argent couronnant la tenture</w:t>
            </w:r>
          </w:p>
          <w:p w14:paraId="0FBC62F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Une paire de rideaux galonnés et frangés en argent</w:t>
            </w:r>
          </w:p>
          <w:p w14:paraId="492E139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Draperie à l’antique galonnée et frangée en argent</w:t>
            </w:r>
          </w:p>
          <w:p w14:paraId="07B1A07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Charpente</w:t>
            </w:r>
          </w:p>
        </w:tc>
        <w:tc>
          <w:tcPr>
            <w:tcW w:w="845" w:type="dxa"/>
            <w:tcBorders>
              <w:top w:val="single" w:sz="4" w:space="0" w:color="auto"/>
              <w:left w:val="single" w:sz="4" w:space="0" w:color="auto"/>
              <w:bottom w:val="single" w:sz="4" w:space="0" w:color="auto"/>
              <w:right w:val="single" w:sz="4" w:space="0" w:color="auto"/>
            </w:tcBorders>
            <w:hideMark/>
          </w:tcPr>
          <w:p w14:paraId="446568D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6335 </w:t>
            </w:r>
            <w:proofErr w:type="spellStart"/>
            <w:r w:rsidRPr="005A59E9">
              <w:rPr>
                <w:rFonts w:ascii="Times New Roman" w:hAnsi="Times New Roman" w:cs="Times New Roman"/>
                <w:sz w:val="20"/>
                <w:szCs w:val="20"/>
              </w:rPr>
              <w:t>fr.</w:t>
            </w:r>
            <w:proofErr w:type="spellEnd"/>
          </w:p>
        </w:tc>
      </w:tr>
      <w:tr w:rsidR="005A59E9" w:rsidRPr="005A59E9" w14:paraId="3A73E799" w14:textId="77777777" w:rsidTr="005A59E9">
        <w:tc>
          <w:tcPr>
            <w:tcW w:w="2122" w:type="dxa"/>
            <w:tcBorders>
              <w:top w:val="single" w:sz="4" w:space="0" w:color="auto"/>
              <w:left w:val="single" w:sz="4" w:space="0" w:color="auto"/>
              <w:bottom w:val="single" w:sz="4" w:space="0" w:color="auto"/>
              <w:right w:val="single" w:sz="4" w:space="0" w:color="auto"/>
            </w:tcBorders>
            <w:hideMark/>
          </w:tcPr>
          <w:p w14:paraId="7CE6392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Portail 2.2</w:t>
            </w:r>
          </w:p>
        </w:tc>
        <w:tc>
          <w:tcPr>
            <w:tcW w:w="6095" w:type="dxa"/>
            <w:tcBorders>
              <w:top w:val="single" w:sz="4" w:space="0" w:color="auto"/>
              <w:left w:val="single" w:sz="4" w:space="0" w:color="auto"/>
              <w:bottom w:val="single" w:sz="4" w:space="0" w:color="auto"/>
              <w:right w:val="single" w:sz="4" w:space="0" w:color="auto"/>
            </w:tcBorders>
            <w:hideMark/>
          </w:tcPr>
          <w:p w14:paraId="272B026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Tenture de 60 m</w:t>
            </w:r>
          </w:p>
          <w:p w14:paraId="3807229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Bandeau galonné et frangé en argent</w:t>
            </w:r>
          </w:p>
          <w:p w14:paraId="04C8105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Ornement en argent couronnant la tenture</w:t>
            </w:r>
          </w:p>
          <w:p w14:paraId="0A28C17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Une paire de rideaux galonnés et frangés en argent</w:t>
            </w:r>
          </w:p>
          <w:p w14:paraId="58939BF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Charpente</w:t>
            </w:r>
          </w:p>
        </w:tc>
        <w:tc>
          <w:tcPr>
            <w:tcW w:w="845" w:type="dxa"/>
            <w:tcBorders>
              <w:top w:val="single" w:sz="4" w:space="0" w:color="auto"/>
              <w:left w:val="single" w:sz="4" w:space="0" w:color="auto"/>
              <w:bottom w:val="single" w:sz="4" w:space="0" w:color="auto"/>
              <w:right w:val="single" w:sz="4" w:space="0" w:color="auto"/>
            </w:tcBorders>
            <w:hideMark/>
          </w:tcPr>
          <w:p w14:paraId="31D4595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5035 </w:t>
            </w:r>
            <w:proofErr w:type="spellStart"/>
            <w:r w:rsidRPr="005A59E9">
              <w:rPr>
                <w:rFonts w:ascii="Times New Roman" w:hAnsi="Times New Roman" w:cs="Times New Roman"/>
                <w:sz w:val="20"/>
                <w:szCs w:val="20"/>
              </w:rPr>
              <w:t>fr.</w:t>
            </w:r>
            <w:proofErr w:type="spellEnd"/>
          </w:p>
        </w:tc>
      </w:tr>
      <w:tr w:rsidR="005A59E9" w:rsidRPr="005A59E9" w14:paraId="17E99328" w14:textId="77777777" w:rsidTr="005A59E9">
        <w:tc>
          <w:tcPr>
            <w:tcW w:w="2122" w:type="dxa"/>
            <w:tcBorders>
              <w:top w:val="single" w:sz="4" w:space="0" w:color="auto"/>
              <w:left w:val="single" w:sz="4" w:space="0" w:color="auto"/>
              <w:bottom w:val="single" w:sz="4" w:space="0" w:color="auto"/>
              <w:right w:val="single" w:sz="4" w:space="0" w:color="auto"/>
            </w:tcBorders>
            <w:hideMark/>
          </w:tcPr>
          <w:p w14:paraId="0B88AAA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Portail 2.3</w:t>
            </w:r>
          </w:p>
        </w:tc>
        <w:tc>
          <w:tcPr>
            <w:tcW w:w="6095" w:type="dxa"/>
            <w:tcBorders>
              <w:top w:val="single" w:sz="4" w:space="0" w:color="auto"/>
              <w:left w:val="single" w:sz="4" w:space="0" w:color="auto"/>
              <w:bottom w:val="single" w:sz="4" w:space="0" w:color="auto"/>
              <w:right w:val="single" w:sz="4" w:space="0" w:color="auto"/>
            </w:tcBorders>
            <w:hideMark/>
          </w:tcPr>
          <w:p w14:paraId="1506B85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Tenture de 40 m</w:t>
            </w:r>
          </w:p>
          <w:p w14:paraId="3DDB5B0B"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Bandeau galonné et frangé en coton</w:t>
            </w:r>
          </w:p>
          <w:p w14:paraId="234082A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Ornement en coton couronnant la tenture</w:t>
            </w:r>
          </w:p>
          <w:p w14:paraId="7CDFEE7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Une paire de rideaux galonnés et frangés en coton</w:t>
            </w:r>
          </w:p>
          <w:p w14:paraId="35CD44B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Draperie à l’antique galonnée et frangée en coton</w:t>
            </w:r>
          </w:p>
          <w:p w14:paraId="1ED224E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Charpente</w:t>
            </w:r>
          </w:p>
        </w:tc>
        <w:tc>
          <w:tcPr>
            <w:tcW w:w="845" w:type="dxa"/>
            <w:tcBorders>
              <w:top w:val="single" w:sz="4" w:space="0" w:color="auto"/>
              <w:left w:val="single" w:sz="4" w:space="0" w:color="auto"/>
              <w:bottom w:val="single" w:sz="4" w:space="0" w:color="auto"/>
              <w:right w:val="single" w:sz="4" w:space="0" w:color="auto"/>
            </w:tcBorders>
            <w:hideMark/>
          </w:tcPr>
          <w:p w14:paraId="7EDDA40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2695 </w:t>
            </w:r>
            <w:proofErr w:type="spellStart"/>
            <w:r w:rsidRPr="005A59E9">
              <w:rPr>
                <w:rFonts w:ascii="Times New Roman" w:hAnsi="Times New Roman" w:cs="Times New Roman"/>
                <w:sz w:val="20"/>
                <w:szCs w:val="20"/>
              </w:rPr>
              <w:t>fr.</w:t>
            </w:r>
            <w:proofErr w:type="spellEnd"/>
          </w:p>
        </w:tc>
      </w:tr>
      <w:tr w:rsidR="005A59E9" w:rsidRPr="005A59E9" w14:paraId="330EACE7" w14:textId="77777777" w:rsidTr="005A59E9">
        <w:tc>
          <w:tcPr>
            <w:tcW w:w="2122" w:type="dxa"/>
            <w:tcBorders>
              <w:top w:val="single" w:sz="4" w:space="0" w:color="auto"/>
              <w:left w:val="single" w:sz="4" w:space="0" w:color="auto"/>
              <w:bottom w:val="single" w:sz="4" w:space="0" w:color="auto"/>
              <w:right w:val="single" w:sz="4" w:space="0" w:color="auto"/>
            </w:tcBorders>
            <w:hideMark/>
          </w:tcPr>
          <w:p w14:paraId="76BF227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Portail 3.1</w:t>
            </w:r>
          </w:p>
        </w:tc>
        <w:tc>
          <w:tcPr>
            <w:tcW w:w="6095" w:type="dxa"/>
            <w:tcBorders>
              <w:top w:val="single" w:sz="4" w:space="0" w:color="auto"/>
              <w:left w:val="single" w:sz="4" w:space="0" w:color="auto"/>
              <w:bottom w:val="single" w:sz="4" w:space="0" w:color="auto"/>
              <w:right w:val="single" w:sz="4" w:space="0" w:color="auto"/>
            </w:tcBorders>
            <w:hideMark/>
          </w:tcPr>
          <w:p w14:paraId="1D99631B"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Tenture de 40 m</w:t>
            </w:r>
          </w:p>
          <w:p w14:paraId="207BC7A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Bandeau galonné et frangé en coton</w:t>
            </w:r>
          </w:p>
          <w:p w14:paraId="47A7C23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Une paire de rideaux galonnés et frangés en coton</w:t>
            </w:r>
          </w:p>
          <w:p w14:paraId="09D187D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Charpente</w:t>
            </w:r>
          </w:p>
        </w:tc>
        <w:tc>
          <w:tcPr>
            <w:tcW w:w="845" w:type="dxa"/>
            <w:tcBorders>
              <w:top w:val="single" w:sz="4" w:space="0" w:color="auto"/>
              <w:left w:val="single" w:sz="4" w:space="0" w:color="auto"/>
              <w:bottom w:val="single" w:sz="4" w:space="0" w:color="auto"/>
              <w:right w:val="single" w:sz="4" w:space="0" w:color="auto"/>
            </w:tcBorders>
            <w:hideMark/>
          </w:tcPr>
          <w:p w14:paraId="4654821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1820 </w:t>
            </w:r>
            <w:proofErr w:type="spellStart"/>
            <w:r w:rsidRPr="005A59E9">
              <w:rPr>
                <w:rFonts w:ascii="Times New Roman" w:hAnsi="Times New Roman" w:cs="Times New Roman"/>
                <w:sz w:val="20"/>
                <w:szCs w:val="20"/>
              </w:rPr>
              <w:t>fr.</w:t>
            </w:r>
            <w:proofErr w:type="spellEnd"/>
          </w:p>
        </w:tc>
      </w:tr>
      <w:tr w:rsidR="005A59E9" w:rsidRPr="005A59E9" w14:paraId="0E490335" w14:textId="77777777" w:rsidTr="005A59E9">
        <w:tc>
          <w:tcPr>
            <w:tcW w:w="2122" w:type="dxa"/>
            <w:tcBorders>
              <w:top w:val="single" w:sz="4" w:space="0" w:color="auto"/>
              <w:left w:val="single" w:sz="4" w:space="0" w:color="auto"/>
              <w:bottom w:val="single" w:sz="4" w:space="0" w:color="auto"/>
              <w:right w:val="single" w:sz="4" w:space="0" w:color="auto"/>
            </w:tcBorders>
            <w:hideMark/>
          </w:tcPr>
          <w:p w14:paraId="550BF4E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Portail 3.2</w:t>
            </w:r>
          </w:p>
        </w:tc>
        <w:tc>
          <w:tcPr>
            <w:tcW w:w="6095" w:type="dxa"/>
            <w:tcBorders>
              <w:top w:val="single" w:sz="4" w:space="0" w:color="auto"/>
              <w:left w:val="single" w:sz="4" w:space="0" w:color="auto"/>
              <w:bottom w:val="single" w:sz="4" w:space="0" w:color="auto"/>
              <w:right w:val="single" w:sz="4" w:space="0" w:color="auto"/>
            </w:tcBorders>
            <w:hideMark/>
          </w:tcPr>
          <w:p w14:paraId="46BE493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Tenture de 40 m</w:t>
            </w:r>
          </w:p>
          <w:p w14:paraId="0D0B5E8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Bandeau galonné et frangé en coton</w:t>
            </w:r>
          </w:p>
          <w:p w14:paraId="0837416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Charpente</w:t>
            </w:r>
          </w:p>
        </w:tc>
        <w:tc>
          <w:tcPr>
            <w:tcW w:w="845" w:type="dxa"/>
            <w:tcBorders>
              <w:top w:val="single" w:sz="4" w:space="0" w:color="auto"/>
              <w:left w:val="single" w:sz="4" w:space="0" w:color="auto"/>
              <w:bottom w:val="single" w:sz="4" w:space="0" w:color="auto"/>
              <w:right w:val="single" w:sz="4" w:space="0" w:color="auto"/>
            </w:tcBorders>
            <w:hideMark/>
          </w:tcPr>
          <w:p w14:paraId="4AD5FC9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1170 </w:t>
            </w:r>
            <w:proofErr w:type="spellStart"/>
            <w:r w:rsidRPr="005A59E9">
              <w:rPr>
                <w:rFonts w:ascii="Times New Roman" w:hAnsi="Times New Roman" w:cs="Times New Roman"/>
                <w:sz w:val="20"/>
                <w:szCs w:val="20"/>
              </w:rPr>
              <w:t>fr.</w:t>
            </w:r>
            <w:proofErr w:type="spellEnd"/>
          </w:p>
        </w:tc>
      </w:tr>
    </w:tbl>
    <w:p w14:paraId="220CB883" w14:textId="77777777" w:rsidR="005A59E9" w:rsidRPr="005A59E9" w:rsidRDefault="005A59E9" w:rsidP="005A59E9">
      <w:pPr>
        <w:rPr>
          <w:rFonts w:ascii="Times New Roman" w:hAnsi="Times New Roman"/>
          <w:sz w:val="20"/>
          <w:szCs w:val="20"/>
          <w:lang w:eastAsia="en-US"/>
        </w:rPr>
      </w:pPr>
      <w:r w:rsidRPr="005A59E9">
        <w:rPr>
          <w:rFonts w:ascii="Times New Roman" w:hAnsi="Times New Roman"/>
          <w:sz w:val="20"/>
          <w:szCs w:val="20"/>
        </w:rPr>
        <w:t xml:space="preserve"> </w:t>
      </w:r>
    </w:p>
    <w:p w14:paraId="5D0F2C2A"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ab/>
        <w:t xml:space="preserve">Décorations supplémentaires aux portails : </w:t>
      </w:r>
    </w:p>
    <w:p w14:paraId="2A1E3867" w14:textId="77777777" w:rsidR="005A59E9" w:rsidRPr="005A59E9" w:rsidRDefault="005A59E9" w:rsidP="005A59E9">
      <w:pPr>
        <w:rPr>
          <w:rFonts w:ascii="Times New Roman" w:hAnsi="Times New Roman"/>
          <w:sz w:val="20"/>
          <w:szCs w:val="20"/>
        </w:rPr>
      </w:pPr>
    </w:p>
    <w:tbl>
      <w:tblPr>
        <w:tblStyle w:val="Grilledutableau"/>
        <w:tblW w:w="0" w:type="auto"/>
        <w:tblInd w:w="0" w:type="dxa"/>
        <w:tblLook w:val="04A0" w:firstRow="1" w:lastRow="0" w:firstColumn="1" w:lastColumn="0" w:noHBand="0" w:noVBand="1"/>
      </w:tblPr>
      <w:tblGrid>
        <w:gridCol w:w="6516"/>
        <w:gridCol w:w="1559"/>
        <w:gridCol w:w="987"/>
      </w:tblGrid>
      <w:tr w:rsidR="005A59E9" w:rsidRPr="005A59E9" w14:paraId="582AAE8A" w14:textId="77777777" w:rsidTr="005A59E9">
        <w:tc>
          <w:tcPr>
            <w:tcW w:w="6516" w:type="dxa"/>
            <w:vMerge w:val="restart"/>
            <w:tcBorders>
              <w:top w:val="single" w:sz="4" w:space="0" w:color="auto"/>
              <w:left w:val="single" w:sz="4" w:space="0" w:color="auto"/>
              <w:bottom w:val="single" w:sz="4" w:space="0" w:color="auto"/>
              <w:right w:val="single" w:sz="4" w:space="0" w:color="auto"/>
            </w:tcBorders>
            <w:hideMark/>
          </w:tcPr>
          <w:p w14:paraId="6466858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Ecusson en drap au portail de 1 et 2.2</w:t>
            </w:r>
          </w:p>
          <w:p w14:paraId="4C1DA28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Ecusson en drap au portail de 2.3 et 3.1</w:t>
            </w:r>
          </w:p>
          <w:p w14:paraId="27EFD827"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Ecusson en drap au portail de 3.2</w:t>
            </w:r>
          </w:p>
        </w:tc>
        <w:tc>
          <w:tcPr>
            <w:tcW w:w="1559" w:type="dxa"/>
            <w:vMerge w:val="restart"/>
            <w:tcBorders>
              <w:top w:val="single" w:sz="4" w:space="0" w:color="auto"/>
              <w:left w:val="single" w:sz="4" w:space="0" w:color="auto"/>
              <w:bottom w:val="single" w:sz="4" w:space="0" w:color="auto"/>
              <w:right w:val="single" w:sz="4" w:space="0" w:color="auto"/>
            </w:tcBorders>
          </w:tcPr>
          <w:p w14:paraId="374406DE" w14:textId="77777777" w:rsidR="005A59E9" w:rsidRPr="005A59E9" w:rsidRDefault="005A59E9">
            <w:pPr>
              <w:jc w:val="center"/>
              <w:rPr>
                <w:rFonts w:ascii="Times New Roman" w:hAnsi="Times New Roman" w:cs="Times New Roman"/>
                <w:sz w:val="20"/>
                <w:szCs w:val="20"/>
              </w:rPr>
            </w:pPr>
          </w:p>
          <w:p w14:paraId="47C83D0D"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w:t>
            </w:r>
          </w:p>
        </w:tc>
        <w:tc>
          <w:tcPr>
            <w:tcW w:w="987" w:type="dxa"/>
            <w:tcBorders>
              <w:top w:val="single" w:sz="4" w:space="0" w:color="auto"/>
              <w:left w:val="single" w:sz="4" w:space="0" w:color="auto"/>
              <w:bottom w:val="single" w:sz="4" w:space="0" w:color="auto"/>
              <w:right w:val="single" w:sz="4" w:space="0" w:color="auto"/>
            </w:tcBorders>
            <w:hideMark/>
          </w:tcPr>
          <w:p w14:paraId="67DB03B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245 </w:t>
            </w:r>
            <w:proofErr w:type="spellStart"/>
            <w:r w:rsidRPr="005A59E9">
              <w:rPr>
                <w:rFonts w:ascii="Times New Roman" w:hAnsi="Times New Roman" w:cs="Times New Roman"/>
                <w:sz w:val="20"/>
                <w:szCs w:val="20"/>
              </w:rPr>
              <w:t>fr.</w:t>
            </w:r>
            <w:proofErr w:type="spellEnd"/>
          </w:p>
        </w:tc>
      </w:tr>
      <w:tr w:rsidR="005A59E9" w:rsidRPr="005A59E9" w14:paraId="3AC95082" w14:textId="77777777" w:rsidTr="005A59E9">
        <w:tc>
          <w:tcPr>
            <w:tcW w:w="0" w:type="auto"/>
            <w:vMerge/>
            <w:tcBorders>
              <w:top w:val="single" w:sz="4" w:space="0" w:color="auto"/>
              <w:left w:val="single" w:sz="4" w:space="0" w:color="auto"/>
              <w:bottom w:val="single" w:sz="4" w:space="0" w:color="auto"/>
              <w:right w:val="single" w:sz="4" w:space="0" w:color="auto"/>
            </w:tcBorders>
            <w:vAlign w:val="center"/>
            <w:hideMark/>
          </w:tcPr>
          <w:p w14:paraId="7876D845" w14:textId="77777777" w:rsidR="005A59E9" w:rsidRPr="005A59E9" w:rsidRDefault="005A59E9">
            <w:pPr>
              <w:jc w:val="left"/>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3BDBD" w14:textId="77777777" w:rsidR="005A59E9" w:rsidRPr="005A59E9" w:rsidRDefault="005A59E9">
            <w:pPr>
              <w:jc w:val="left"/>
              <w:rPr>
                <w:rFonts w:ascii="Times New Roman" w:hAnsi="Times New Roman" w:cs="Times New Roman"/>
                <w:sz w:val="20"/>
                <w:szCs w:val="20"/>
              </w:rPr>
            </w:pPr>
          </w:p>
        </w:tc>
        <w:tc>
          <w:tcPr>
            <w:tcW w:w="987" w:type="dxa"/>
            <w:tcBorders>
              <w:top w:val="single" w:sz="4" w:space="0" w:color="auto"/>
              <w:left w:val="single" w:sz="4" w:space="0" w:color="auto"/>
              <w:bottom w:val="single" w:sz="4" w:space="0" w:color="auto"/>
              <w:right w:val="single" w:sz="4" w:space="0" w:color="auto"/>
            </w:tcBorders>
            <w:hideMark/>
          </w:tcPr>
          <w:p w14:paraId="61A2BA1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325 </w:t>
            </w:r>
            <w:proofErr w:type="spellStart"/>
            <w:r w:rsidRPr="005A59E9">
              <w:rPr>
                <w:rFonts w:ascii="Times New Roman" w:hAnsi="Times New Roman" w:cs="Times New Roman"/>
                <w:sz w:val="20"/>
                <w:szCs w:val="20"/>
              </w:rPr>
              <w:t>fr.</w:t>
            </w:r>
            <w:proofErr w:type="spellEnd"/>
          </w:p>
        </w:tc>
      </w:tr>
      <w:tr w:rsidR="005A59E9" w:rsidRPr="005A59E9" w14:paraId="653622FF" w14:textId="77777777" w:rsidTr="005A59E9">
        <w:tc>
          <w:tcPr>
            <w:tcW w:w="0" w:type="auto"/>
            <w:vMerge/>
            <w:tcBorders>
              <w:top w:val="single" w:sz="4" w:space="0" w:color="auto"/>
              <w:left w:val="single" w:sz="4" w:space="0" w:color="auto"/>
              <w:bottom w:val="single" w:sz="4" w:space="0" w:color="auto"/>
              <w:right w:val="single" w:sz="4" w:space="0" w:color="auto"/>
            </w:tcBorders>
            <w:vAlign w:val="center"/>
            <w:hideMark/>
          </w:tcPr>
          <w:p w14:paraId="58226165" w14:textId="77777777" w:rsidR="005A59E9" w:rsidRPr="005A59E9" w:rsidRDefault="005A59E9">
            <w:pPr>
              <w:jc w:val="left"/>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F352F" w14:textId="77777777" w:rsidR="005A59E9" w:rsidRPr="005A59E9" w:rsidRDefault="005A59E9">
            <w:pPr>
              <w:jc w:val="left"/>
              <w:rPr>
                <w:rFonts w:ascii="Times New Roman" w:hAnsi="Times New Roman" w:cs="Times New Roman"/>
                <w:sz w:val="20"/>
                <w:szCs w:val="20"/>
              </w:rPr>
            </w:pPr>
          </w:p>
        </w:tc>
        <w:tc>
          <w:tcPr>
            <w:tcW w:w="987" w:type="dxa"/>
            <w:tcBorders>
              <w:top w:val="single" w:sz="4" w:space="0" w:color="auto"/>
              <w:left w:val="single" w:sz="4" w:space="0" w:color="auto"/>
              <w:bottom w:val="single" w:sz="4" w:space="0" w:color="auto"/>
              <w:right w:val="single" w:sz="4" w:space="0" w:color="auto"/>
            </w:tcBorders>
            <w:hideMark/>
          </w:tcPr>
          <w:p w14:paraId="0EA82F9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485 </w:t>
            </w:r>
            <w:proofErr w:type="spellStart"/>
            <w:r w:rsidRPr="005A59E9">
              <w:rPr>
                <w:rFonts w:ascii="Times New Roman" w:hAnsi="Times New Roman" w:cs="Times New Roman"/>
                <w:sz w:val="20"/>
                <w:szCs w:val="20"/>
              </w:rPr>
              <w:t>fr.</w:t>
            </w:r>
            <w:proofErr w:type="spellEnd"/>
          </w:p>
        </w:tc>
      </w:tr>
      <w:tr w:rsidR="005A59E9" w:rsidRPr="005A59E9" w14:paraId="6913B005" w14:textId="77777777" w:rsidTr="005A59E9">
        <w:tc>
          <w:tcPr>
            <w:tcW w:w="6516" w:type="dxa"/>
            <w:tcBorders>
              <w:top w:val="single" w:sz="4" w:space="0" w:color="auto"/>
              <w:left w:val="single" w:sz="4" w:space="0" w:color="auto"/>
              <w:bottom w:val="single" w:sz="4" w:space="0" w:color="auto"/>
              <w:right w:val="single" w:sz="4" w:space="0" w:color="auto"/>
            </w:tcBorders>
            <w:hideMark/>
          </w:tcPr>
          <w:p w14:paraId="68E96F7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Armoirie</w:t>
            </w:r>
          </w:p>
        </w:tc>
        <w:tc>
          <w:tcPr>
            <w:tcW w:w="1559" w:type="dxa"/>
            <w:vMerge w:val="restart"/>
            <w:tcBorders>
              <w:top w:val="single" w:sz="4" w:space="0" w:color="auto"/>
              <w:left w:val="single" w:sz="4" w:space="0" w:color="auto"/>
              <w:bottom w:val="single" w:sz="4" w:space="0" w:color="auto"/>
              <w:right w:val="single" w:sz="4" w:space="0" w:color="auto"/>
            </w:tcBorders>
          </w:tcPr>
          <w:p w14:paraId="5E673353" w14:textId="77777777" w:rsidR="005A59E9" w:rsidRPr="005A59E9" w:rsidRDefault="005A59E9">
            <w:pPr>
              <w:jc w:val="center"/>
              <w:rPr>
                <w:rFonts w:ascii="Times New Roman" w:hAnsi="Times New Roman" w:cs="Times New Roman"/>
                <w:sz w:val="20"/>
                <w:szCs w:val="20"/>
              </w:rPr>
            </w:pPr>
          </w:p>
          <w:p w14:paraId="3828EF5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L’une</w:t>
            </w:r>
          </w:p>
        </w:tc>
        <w:tc>
          <w:tcPr>
            <w:tcW w:w="987" w:type="dxa"/>
            <w:tcBorders>
              <w:top w:val="single" w:sz="4" w:space="0" w:color="auto"/>
              <w:left w:val="single" w:sz="4" w:space="0" w:color="auto"/>
              <w:bottom w:val="single" w:sz="4" w:space="0" w:color="auto"/>
              <w:right w:val="single" w:sz="4" w:space="0" w:color="auto"/>
            </w:tcBorders>
            <w:hideMark/>
          </w:tcPr>
          <w:p w14:paraId="15729D9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875 </w:t>
            </w:r>
            <w:proofErr w:type="spellStart"/>
            <w:r w:rsidRPr="005A59E9">
              <w:rPr>
                <w:rFonts w:ascii="Times New Roman" w:hAnsi="Times New Roman" w:cs="Times New Roman"/>
                <w:sz w:val="20"/>
                <w:szCs w:val="20"/>
              </w:rPr>
              <w:t>fr.</w:t>
            </w:r>
            <w:proofErr w:type="spellEnd"/>
          </w:p>
        </w:tc>
      </w:tr>
      <w:tr w:rsidR="005A59E9" w:rsidRPr="005A59E9" w14:paraId="0567CF9C" w14:textId="77777777" w:rsidTr="005A59E9">
        <w:tc>
          <w:tcPr>
            <w:tcW w:w="6516" w:type="dxa"/>
            <w:tcBorders>
              <w:top w:val="single" w:sz="4" w:space="0" w:color="auto"/>
              <w:left w:val="single" w:sz="4" w:space="0" w:color="auto"/>
              <w:bottom w:val="single" w:sz="4" w:space="0" w:color="auto"/>
              <w:right w:val="single" w:sz="4" w:space="0" w:color="auto"/>
            </w:tcBorders>
            <w:hideMark/>
          </w:tcPr>
          <w:p w14:paraId="3354A2A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Lettre peinte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1D882" w14:textId="77777777" w:rsidR="005A59E9" w:rsidRPr="005A59E9" w:rsidRDefault="005A59E9">
            <w:pPr>
              <w:jc w:val="left"/>
              <w:rPr>
                <w:rFonts w:ascii="Times New Roman" w:hAnsi="Times New Roman" w:cs="Times New Roman"/>
                <w:sz w:val="20"/>
                <w:szCs w:val="20"/>
              </w:rPr>
            </w:pPr>
          </w:p>
        </w:tc>
        <w:tc>
          <w:tcPr>
            <w:tcW w:w="987" w:type="dxa"/>
            <w:tcBorders>
              <w:top w:val="single" w:sz="4" w:space="0" w:color="auto"/>
              <w:left w:val="single" w:sz="4" w:space="0" w:color="auto"/>
              <w:bottom w:val="single" w:sz="4" w:space="0" w:color="auto"/>
              <w:right w:val="single" w:sz="4" w:space="0" w:color="auto"/>
            </w:tcBorders>
            <w:hideMark/>
          </w:tcPr>
          <w:p w14:paraId="690BD14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470 </w:t>
            </w:r>
            <w:proofErr w:type="spellStart"/>
            <w:r w:rsidRPr="005A59E9">
              <w:rPr>
                <w:rFonts w:ascii="Times New Roman" w:hAnsi="Times New Roman" w:cs="Times New Roman"/>
                <w:sz w:val="20"/>
                <w:szCs w:val="20"/>
              </w:rPr>
              <w:t>fr.</w:t>
            </w:r>
            <w:proofErr w:type="spellEnd"/>
          </w:p>
        </w:tc>
      </w:tr>
      <w:tr w:rsidR="005A59E9" w:rsidRPr="005A59E9" w14:paraId="50CDEC81" w14:textId="77777777" w:rsidTr="005A59E9">
        <w:tc>
          <w:tcPr>
            <w:tcW w:w="6516" w:type="dxa"/>
            <w:tcBorders>
              <w:top w:val="single" w:sz="4" w:space="0" w:color="auto"/>
              <w:left w:val="single" w:sz="4" w:space="0" w:color="auto"/>
              <w:bottom w:val="single" w:sz="4" w:space="0" w:color="auto"/>
              <w:right w:val="single" w:sz="4" w:space="0" w:color="auto"/>
            </w:tcBorders>
            <w:hideMark/>
          </w:tcPr>
          <w:p w14:paraId="7A94461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lastRenderedPageBreak/>
              <w:t>Triple palmes au portail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52104A" w14:textId="77777777" w:rsidR="005A59E9" w:rsidRPr="005A59E9" w:rsidRDefault="005A59E9">
            <w:pPr>
              <w:jc w:val="left"/>
              <w:rPr>
                <w:rFonts w:ascii="Times New Roman" w:hAnsi="Times New Roman" w:cs="Times New Roman"/>
                <w:sz w:val="20"/>
                <w:szCs w:val="20"/>
              </w:rPr>
            </w:pPr>
          </w:p>
        </w:tc>
        <w:tc>
          <w:tcPr>
            <w:tcW w:w="987" w:type="dxa"/>
            <w:tcBorders>
              <w:top w:val="single" w:sz="4" w:space="0" w:color="auto"/>
              <w:left w:val="single" w:sz="4" w:space="0" w:color="auto"/>
              <w:bottom w:val="single" w:sz="4" w:space="0" w:color="auto"/>
              <w:right w:val="single" w:sz="4" w:space="0" w:color="auto"/>
            </w:tcBorders>
            <w:hideMark/>
          </w:tcPr>
          <w:p w14:paraId="5847AD3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390 </w:t>
            </w:r>
            <w:proofErr w:type="spellStart"/>
            <w:r w:rsidRPr="005A59E9">
              <w:rPr>
                <w:rFonts w:ascii="Times New Roman" w:hAnsi="Times New Roman" w:cs="Times New Roman"/>
                <w:sz w:val="20"/>
                <w:szCs w:val="20"/>
              </w:rPr>
              <w:t>fr.</w:t>
            </w:r>
            <w:proofErr w:type="spellEnd"/>
          </w:p>
        </w:tc>
      </w:tr>
      <w:tr w:rsidR="005A59E9" w:rsidRPr="005A59E9" w14:paraId="7DE07392" w14:textId="77777777" w:rsidTr="005A59E9">
        <w:tc>
          <w:tcPr>
            <w:tcW w:w="6516" w:type="dxa"/>
            <w:vMerge w:val="restart"/>
            <w:tcBorders>
              <w:top w:val="single" w:sz="4" w:space="0" w:color="auto"/>
              <w:left w:val="single" w:sz="4" w:space="0" w:color="auto"/>
              <w:bottom w:val="single" w:sz="4" w:space="0" w:color="auto"/>
              <w:right w:val="single" w:sz="4" w:space="0" w:color="auto"/>
            </w:tcBorders>
            <w:hideMark/>
          </w:tcPr>
          <w:p w14:paraId="06F6E78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Rideaux et charpente supplémentaires aux portails 1</w:t>
            </w:r>
          </w:p>
          <w:p w14:paraId="491E127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Rideaux et charpente supplémentaires aux portails 2.1 et 2.2</w:t>
            </w:r>
          </w:p>
        </w:tc>
        <w:tc>
          <w:tcPr>
            <w:tcW w:w="1559" w:type="dxa"/>
            <w:vMerge w:val="restart"/>
            <w:tcBorders>
              <w:top w:val="single" w:sz="4" w:space="0" w:color="auto"/>
              <w:left w:val="single" w:sz="4" w:space="0" w:color="auto"/>
              <w:bottom w:val="single" w:sz="4" w:space="0" w:color="auto"/>
              <w:right w:val="single" w:sz="4" w:space="0" w:color="auto"/>
            </w:tcBorders>
          </w:tcPr>
          <w:p w14:paraId="21B858CC" w14:textId="77777777" w:rsidR="005A59E9" w:rsidRPr="005A59E9" w:rsidRDefault="005A59E9">
            <w:pPr>
              <w:jc w:val="center"/>
              <w:rPr>
                <w:rFonts w:ascii="Times New Roman" w:hAnsi="Times New Roman" w:cs="Times New Roman"/>
                <w:sz w:val="20"/>
                <w:szCs w:val="20"/>
              </w:rPr>
            </w:pPr>
          </w:p>
          <w:p w14:paraId="3833489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La paire</w:t>
            </w:r>
          </w:p>
        </w:tc>
        <w:tc>
          <w:tcPr>
            <w:tcW w:w="987" w:type="dxa"/>
            <w:tcBorders>
              <w:top w:val="single" w:sz="4" w:space="0" w:color="auto"/>
              <w:left w:val="single" w:sz="4" w:space="0" w:color="auto"/>
              <w:bottom w:val="single" w:sz="4" w:space="0" w:color="auto"/>
              <w:right w:val="single" w:sz="4" w:space="0" w:color="auto"/>
            </w:tcBorders>
            <w:hideMark/>
          </w:tcPr>
          <w:p w14:paraId="2275022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780 </w:t>
            </w:r>
            <w:proofErr w:type="spellStart"/>
            <w:r w:rsidRPr="005A59E9">
              <w:rPr>
                <w:rFonts w:ascii="Times New Roman" w:hAnsi="Times New Roman" w:cs="Times New Roman"/>
                <w:sz w:val="20"/>
                <w:szCs w:val="20"/>
              </w:rPr>
              <w:t>fr.</w:t>
            </w:r>
            <w:proofErr w:type="spellEnd"/>
          </w:p>
        </w:tc>
      </w:tr>
      <w:tr w:rsidR="005A59E9" w:rsidRPr="005A59E9" w14:paraId="6CFCACA3" w14:textId="77777777" w:rsidTr="005A59E9">
        <w:tc>
          <w:tcPr>
            <w:tcW w:w="0" w:type="auto"/>
            <w:vMerge/>
            <w:tcBorders>
              <w:top w:val="single" w:sz="4" w:space="0" w:color="auto"/>
              <w:left w:val="single" w:sz="4" w:space="0" w:color="auto"/>
              <w:bottom w:val="single" w:sz="4" w:space="0" w:color="auto"/>
              <w:right w:val="single" w:sz="4" w:space="0" w:color="auto"/>
            </w:tcBorders>
            <w:vAlign w:val="center"/>
            <w:hideMark/>
          </w:tcPr>
          <w:p w14:paraId="26BEAD57" w14:textId="77777777" w:rsidR="005A59E9" w:rsidRPr="005A59E9" w:rsidRDefault="005A59E9">
            <w:pPr>
              <w:jc w:val="left"/>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C9B79" w14:textId="77777777" w:rsidR="005A59E9" w:rsidRPr="005A59E9" w:rsidRDefault="005A59E9">
            <w:pPr>
              <w:jc w:val="left"/>
              <w:rPr>
                <w:rFonts w:ascii="Times New Roman" w:hAnsi="Times New Roman" w:cs="Times New Roman"/>
                <w:sz w:val="20"/>
                <w:szCs w:val="20"/>
              </w:rPr>
            </w:pPr>
          </w:p>
        </w:tc>
        <w:tc>
          <w:tcPr>
            <w:tcW w:w="987" w:type="dxa"/>
            <w:tcBorders>
              <w:top w:val="single" w:sz="4" w:space="0" w:color="auto"/>
              <w:left w:val="single" w:sz="4" w:space="0" w:color="auto"/>
              <w:bottom w:val="single" w:sz="4" w:space="0" w:color="auto"/>
              <w:right w:val="single" w:sz="4" w:space="0" w:color="auto"/>
            </w:tcBorders>
            <w:hideMark/>
          </w:tcPr>
          <w:p w14:paraId="0AB56BF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875 </w:t>
            </w:r>
            <w:proofErr w:type="spellStart"/>
            <w:r w:rsidRPr="005A59E9">
              <w:rPr>
                <w:rFonts w:ascii="Times New Roman" w:hAnsi="Times New Roman" w:cs="Times New Roman"/>
                <w:sz w:val="20"/>
                <w:szCs w:val="20"/>
              </w:rPr>
              <w:t>fr.</w:t>
            </w:r>
            <w:proofErr w:type="spellEnd"/>
          </w:p>
        </w:tc>
      </w:tr>
      <w:tr w:rsidR="005A59E9" w:rsidRPr="005A59E9" w14:paraId="2C5D173A" w14:textId="77777777" w:rsidTr="005A59E9">
        <w:tc>
          <w:tcPr>
            <w:tcW w:w="6516" w:type="dxa"/>
            <w:vMerge w:val="restart"/>
            <w:tcBorders>
              <w:top w:val="single" w:sz="4" w:space="0" w:color="auto"/>
              <w:left w:val="single" w:sz="4" w:space="0" w:color="auto"/>
              <w:bottom w:val="single" w:sz="4" w:space="0" w:color="auto"/>
              <w:right w:val="single" w:sz="4" w:space="0" w:color="auto"/>
            </w:tcBorders>
            <w:hideMark/>
          </w:tcPr>
          <w:p w14:paraId="3477E05A"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étamine</w:t>
            </w:r>
          </w:p>
          <w:p w14:paraId="75E6AF57"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étamine cravatés en or</w:t>
            </w:r>
          </w:p>
          <w:p w14:paraId="2DE183D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soie, aux portails de 1 à 2.2</w:t>
            </w:r>
          </w:p>
        </w:tc>
        <w:tc>
          <w:tcPr>
            <w:tcW w:w="1559" w:type="dxa"/>
            <w:vMerge w:val="restart"/>
            <w:tcBorders>
              <w:top w:val="single" w:sz="4" w:space="0" w:color="auto"/>
              <w:left w:val="single" w:sz="4" w:space="0" w:color="auto"/>
              <w:bottom w:val="single" w:sz="4" w:space="0" w:color="auto"/>
              <w:right w:val="single" w:sz="4" w:space="0" w:color="auto"/>
            </w:tcBorders>
          </w:tcPr>
          <w:p w14:paraId="3F8C4E16" w14:textId="77777777" w:rsidR="005A59E9" w:rsidRPr="005A59E9" w:rsidRDefault="005A59E9">
            <w:pPr>
              <w:jc w:val="center"/>
              <w:rPr>
                <w:rFonts w:ascii="Times New Roman" w:hAnsi="Times New Roman" w:cs="Times New Roman"/>
                <w:sz w:val="20"/>
                <w:szCs w:val="20"/>
              </w:rPr>
            </w:pPr>
          </w:p>
          <w:p w14:paraId="049C808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Par trophée</w:t>
            </w:r>
          </w:p>
        </w:tc>
        <w:tc>
          <w:tcPr>
            <w:tcW w:w="987" w:type="dxa"/>
            <w:tcBorders>
              <w:top w:val="single" w:sz="4" w:space="0" w:color="auto"/>
              <w:left w:val="single" w:sz="4" w:space="0" w:color="auto"/>
              <w:bottom w:val="single" w:sz="4" w:space="0" w:color="auto"/>
              <w:right w:val="single" w:sz="4" w:space="0" w:color="auto"/>
            </w:tcBorders>
            <w:hideMark/>
          </w:tcPr>
          <w:p w14:paraId="02FC83E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405 </w:t>
            </w:r>
            <w:proofErr w:type="spellStart"/>
            <w:r w:rsidRPr="005A59E9">
              <w:rPr>
                <w:rFonts w:ascii="Times New Roman" w:hAnsi="Times New Roman" w:cs="Times New Roman"/>
                <w:sz w:val="20"/>
                <w:szCs w:val="20"/>
              </w:rPr>
              <w:t>fr.</w:t>
            </w:r>
            <w:proofErr w:type="spellEnd"/>
          </w:p>
        </w:tc>
      </w:tr>
      <w:tr w:rsidR="005A59E9" w:rsidRPr="005A59E9" w14:paraId="5DED7636" w14:textId="77777777" w:rsidTr="005A59E9">
        <w:tc>
          <w:tcPr>
            <w:tcW w:w="0" w:type="auto"/>
            <w:vMerge/>
            <w:tcBorders>
              <w:top w:val="single" w:sz="4" w:space="0" w:color="auto"/>
              <w:left w:val="single" w:sz="4" w:space="0" w:color="auto"/>
              <w:bottom w:val="single" w:sz="4" w:space="0" w:color="auto"/>
              <w:right w:val="single" w:sz="4" w:space="0" w:color="auto"/>
            </w:tcBorders>
            <w:vAlign w:val="center"/>
            <w:hideMark/>
          </w:tcPr>
          <w:p w14:paraId="0A50CB8A" w14:textId="77777777" w:rsidR="005A59E9" w:rsidRPr="005A59E9" w:rsidRDefault="005A59E9">
            <w:pPr>
              <w:jc w:val="left"/>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D31D7" w14:textId="77777777" w:rsidR="005A59E9" w:rsidRPr="005A59E9" w:rsidRDefault="005A59E9">
            <w:pPr>
              <w:jc w:val="left"/>
              <w:rPr>
                <w:rFonts w:ascii="Times New Roman" w:hAnsi="Times New Roman" w:cs="Times New Roman"/>
                <w:sz w:val="20"/>
                <w:szCs w:val="20"/>
              </w:rPr>
            </w:pPr>
          </w:p>
        </w:tc>
        <w:tc>
          <w:tcPr>
            <w:tcW w:w="987" w:type="dxa"/>
            <w:tcBorders>
              <w:top w:val="single" w:sz="4" w:space="0" w:color="auto"/>
              <w:left w:val="single" w:sz="4" w:space="0" w:color="auto"/>
              <w:bottom w:val="single" w:sz="4" w:space="0" w:color="auto"/>
              <w:right w:val="single" w:sz="4" w:space="0" w:color="auto"/>
            </w:tcBorders>
            <w:hideMark/>
          </w:tcPr>
          <w:p w14:paraId="218DF49A"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485 </w:t>
            </w:r>
            <w:proofErr w:type="spellStart"/>
            <w:r w:rsidRPr="005A59E9">
              <w:rPr>
                <w:rFonts w:ascii="Times New Roman" w:hAnsi="Times New Roman" w:cs="Times New Roman"/>
                <w:sz w:val="20"/>
                <w:szCs w:val="20"/>
              </w:rPr>
              <w:t>fr.</w:t>
            </w:r>
            <w:proofErr w:type="spellEnd"/>
          </w:p>
        </w:tc>
      </w:tr>
      <w:tr w:rsidR="005A59E9" w:rsidRPr="005A59E9" w14:paraId="535D7AE0" w14:textId="77777777" w:rsidTr="005A59E9">
        <w:tc>
          <w:tcPr>
            <w:tcW w:w="0" w:type="auto"/>
            <w:vMerge/>
            <w:tcBorders>
              <w:top w:val="single" w:sz="4" w:space="0" w:color="auto"/>
              <w:left w:val="single" w:sz="4" w:space="0" w:color="auto"/>
              <w:bottom w:val="single" w:sz="4" w:space="0" w:color="auto"/>
              <w:right w:val="single" w:sz="4" w:space="0" w:color="auto"/>
            </w:tcBorders>
            <w:vAlign w:val="center"/>
            <w:hideMark/>
          </w:tcPr>
          <w:p w14:paraId="79DCCD48" w14:textId="77777777" w:rsidR="005A59E9" w:rsidRPr="005A59E9" w:rsidRDefault="005A59E9">
            <w:pPr>
              <w:jc w:val="left"/>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C30EE" w14:textId="77777777" w:rsidR="005A59E9" w:rsidRPr="005A59E9" w:rsidRDefault="005A59E9">
            <w:pPr>
              <w:jc w:val="left"/>
              <w:rPr>
                <w:rFonts w:ascii="Times New Roman" w:hAnsi="Times New Roman" w:cs="Times New Roman"/>
                <w:sz w:val="20"/>
                <w:szCs w:val="20"/>
              </w:rPr>
            </w:pPr>
          </w:p>
        </w:tc>
        <w:tc>
          <w:tcPr>
            <w:tcW w:w="987" w:type="dxa"/>
            <w:tcBorders>
              <w:top w:val="single" w:sz="4" w:space="0" w:color="auto"/>
              <w:left w:val="single" w:sz="4" w:space="0" w:color="auto"/>
              <w:bottom w:val="single" w:sz="4" w:space="0" w:color="auto"/>
              <w:right w:val="single" w:sz="4" w:space="0" w:color="auto"/>
            </w:tcBorders>
            <w:hideMark/>
          </w:tcPr>
          <w:p w14:paraId="1CADD1F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810 </w:t>
            </w:r>
            <w:proofErr w:type="spellStart"/>
            <w:r w:rsidRPr="005A59E9">
              <w:rPr>
                <w:rFonts w:ascii="Times New Roman" w:hAnsi="Times New Roman" w:cs="Times New Roman"/>
                <w:sz w:val="20"/>
                <w:szCs w:val="20"/>
              </w:rPr>
              <w:t>fr.</w:t>
            </w:r>
            <w:proofErr w:type="spellEnd"/>
          </w:p>
        </w:tc>
      </w:tr>
    </w:tbl>
    <w:p w14:paraId="443FC468" w14:textId="77777777" w:rsidR="005A59E9" w:rsidRPr="005A59E9" w:rsidRDefault="005A59E9" w:rsidP="005A59E9">
      <w:pPr>
        <w:rPr>
          <w:rFonts w:ascii="Times New Roman" w:hAnsi="Times New Roman"/>
          <w:sz w:val="20"/>
          <w:szCs w:val="20"/>
          <w:lang w:eastAsia="en-US"/>
        </w:rPr>
      </w:pPr>
    </w:p>
    <w:p w14:paraId="5D5EAC3C" w14:textId="77777777" w:rsidR="005A59E9" w:rsidRPr="005A59E9" w:rsidRDefault="005A59E9" w:rsidP="005A59E9">
      <w:pPr>
        <w:rPr>
          <w:rFonts w:ascii="Times New Roman" w:hAnsi="Times New Roman"/>
          <w:b/>
          <w:sz w:val="20"/>
          <w:szCs w:val="20"/>
        </w:rPr>
      </w:pPr>
      <w:r w:rsidRPr="005A59E9">
        <w:rPr>
          <w:rFonts w:ascii="Times New Roman" w:hAnsi="Times New Roman"/>
          <w:b/>
          <w:sz w:val="20"/>
          <w:szCs w:val="20"/>
        </w:rPr>
        <w:t>Catafalques</w:t>
      </w:r>
    </w:p>
    <w:p w14:paraId="14026D90" w14:textId="77777777" w:rsidR="005A59E9" w:rsidRPr="005A59E9" w:rsidRDefault="005A59E9" w:rsidP="005A59E9">
      <w:pPr>
        <w:rPr>
          <w:rFonts w:ascii="Times New Roman" w:hAnsi="Times New Roman"/>
          <w:b/>
          <w:sz w:val="20"/>
          <w:szCs w:val="20"/>
        </w:rPr>
      </w:pPr>
    </w:p>
    <w:tbl>
      <w:tblPr>
        <w:tblStyle w:val="Grilledutableau"/>
        <w:tblW w:w="0" w:type="auto"/>
        <w:tblInd w:w="0" w:type="dxa"/>
        <w:tblLook w:val="04A0" w:firstRow="1" w:lastRow="0" w:firstColumn="1" w:lastColumn="0" w:noHBand="0" w:noVBand="1"/>
      </w:tblPr>
      <w:tblGrid>
        <w:gridCol w:w="1256"/>
        <w:gridCol w:w="6819"/>
        <w:gridCol w:w="987"/>
      </w:tblGrid>
      <w:tr w:rsidR="005A59E9" w:rsidRPr="005A59E9" w14:paraId="2EEF8489" w14:textId="77777777" w:rsidTr="005A59E9">
        <w:tc>
          <w:tcPr>
            <w:tcW w:w="1256" w:type="dxa"/>
            <w:tcBorders>
              <w:top w:val="single" w:sz="4" w:space="0" w:color="auto"/>
              <w:left w:val="single" w:sz="4" w:space="0" w:color="auto"/>
              <w:bottom w:val="single" w:sz="4" w:space="0" w:color="auto"/>
              <w:right w:val="single" w:sz="4" w:space="0" w:color="auto"/>
            </w:tcBorders>
            <w:hideMark/>
          </w:tcPr>
          <w:p w14:paraId="3C31F92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Catafalque pour la 1</w:t>
            </w:r>
            <w:r w:rsidRPr="005A59E9">
              <w:rPr>
                <w:rFonts w:ascii="Times New Roman" w:hAnsi="Times New Roman" w:cs="Times New Roman"/>
                <w:sz w:val="20"/>
                <w:szCs w:val="20"/>
                <w:vertAlign w:val="superscript"/>
              </w:rPr>
              <w:t>re</w:t>
            </w:r>
            <w:r w:rsidRPr="005A59E9">
              <w:rPr>
                <w:rFonts w:ascii="Times New Roman" w:hAnsi="Times New Roman" w:cs="Times New Roman"/>
                <w:sz w:val="20"/>
                <w:szCs w:val="20"/>
              </w:rPr>
              <w:t xml:space="preserve"> classe : </w:t>
            </w:r>
          </w:p>
        </w:tc>
        <w:tc>
          <w:tcPr>
            <w:tcW w:w="6819" w:type="dxa"/>
            <w:tcBorders>
              <w:top w:val="single" w:sz="4" w:space="0" w:color="auto"/>
              <w:left w:val="single" w:sz="4" w:space="0" w:color="auto"/>
              <w:bottom w:val="single" w:sz="4" w:space="0" w:color="auto"/>
              <w:right w:val="single" w:sz="4" w:space="0" w:color="auto"/>
            </w:tcBorders>
            <w:hideMark/>
          </w:tcPr>
          <w:p w14:paraId="642FAD0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Grand soubassement avec garniture brodée en argent, surmonté d’une estrade avec représentation.</w:t>
            </w:r>
          </w:p>
          <w:p w14:paraId="140D9BF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Drap de représentation, en velours de soie, orné de broderies, franges à torsades et galons en argent. </w:t>
            </w:r>
          </w:p>
        </w:tc>
        <w:tc>
          <w:tcPr>
            <w:tcW w:w="987" w:type="dxa"/>
            <w:tcBorders>
              <w:top w:val="single" w:sz="4" w:space="0" w:color="auto"/>
              <w:left w:val="single" w:sz="4" w:space="0" w:color="auto"/>
              <w:bottom w:val="single" w:sz="4" w:space="0" w:color="auto"/>
              <w:right w:val="single" w:sz="4" w:space="0" w:color="auto"/>
            </w:tcBorders>
            <w:hideMark/>
          </w:tcPr>
          <w:p w14:paraId="6924417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16 890 </w:t>
            </w:r>
            <w:proofErr w:type="spellStart"/>
            <w:r w:rsidRPr="005A59E9">
              <w:rPr>
                <w:rFonts w:ascii="Times New Roman" w:hAnsi="Times New Roman" w:cs="Times New Roman"/>
                <w:sz w:val="20"/>
                <w:szCs w:val="20"/>
              </w:rPr>
              <w:t>fr.</w:t>
            </w:r>
            <w:proofErr w:type="spellEnd"/>
          </w:p>
        </w:tc>
      </w:tr>
      <w:tr w:rsidR="005A59E9" w:rsidRPr="005A59E9" w14:paraId="70299DD0" w14:textId="77777777" w:rsidTr="005A59E9">
        <w:tc>
          <w:tcPr>
            <w:tcW w:w="1256" w:type="dxa"/>
            <w:tcBorders>
              <w:top w:val="single" w:sz="4" w:space="0" w:color="auto"/>
              <w:left w:val="single" w:sz="4" w:space="0" w:color="auto"/>
              <w:bottom w:val="single" w:sz="4" w:space="0" w:color="auto"/>
              <w:right w:val="single" w:sz="4" w:space="0" w:color="auto"/>
            </w:tcBorders>
            <w:hideMark/>
          </w:tcPr>
          <w:p w14:paraId="35BC589B"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Catafalque 2.1 :</w:t>
            </w:r>
          </w:p>
        </w:tc>
        <w:tc>
          <w:tcPr>
            <w:tcW w:w="6819" w:type="dxa"/>
            <w:tcBorders>
              <w:top w:val="single" w:sz="4" w:space="0" w:color="auto"/>
              <w:left w:val="single" w:sz="4" w:space="0" w:color="auto"/>
              <w:bottom w:val="single" w:sz="4" w:space="0" w:color="auto"/>
              <w:right w:val="single" w:sz="4" w:space="0" w:color="auto"/>
            </w:tcBorders>
            <w:hideMark/>
          </w:tcPr>
          <w:p w14:paraId="15A00E2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Petit soubassement avec garniture galonnée en argent, surmonté d’une estrade avec représentation.</w:t>
            </w:r>
          </w:p>
          <w:p w14:paraId="384C7BF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Drap de représentation, en velours de soie, brodé de franges à torsades et galons en argent.</w:t>
            </w:r>
          </w:p>
        </w:tc>
        <w:tc>
          <w:tcPr>
            <w:tcW w:w="987" w:type="dxa"/>
            <w:tcBorders>
              <w:top w:val="single" w:sz="4" w:space="0" w:color="auto"/>
              <w:left w:val="single" w:sz="4" w:space="0" w:color="auto"/>
              <w:bottom w:val="single" w:sz="4" w:space="0" w:color="auto"/>
              <w:right w:val="single" w:sz="4" w:space="0" w:color="auto"/>
            </w:tcBorders>
            <w:hideMark/>
          </w:tcPr>
          <w:p w14:paraId="693D4FC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10 395 </w:t>
            </w:r>
            <w:proofErr w:type="spellStart"/>
            <w:r w:rsidRPr="005A59E9">
              <w:rPr>
                <w:rFonts w:ascii="Times New Roman" w:hAnsi="Times New Roman" w:cs="Times New Roman"/>
                <w:sz w:val="20"/>
                <w:szCs w:val="20"/>
              </w:rPr>
              <w:t>fr.</w:t>
            </w:r>
            <w:proofErr w:type="spellEnd"/>
          </w:p>
        </w:tc>
      </w:tr>
      <w:tr w:rsidR="005A59E9" w:rsidRPr="005A59E9" w14:paraId="7D931502" w14:textId="77777777" w:rsidTr="005A59E9">
        <w:tc>
          <w:tcPr>
            <w:tcW w:w="1256" w:type="dxa"/>
            <w:tcBorders>
              <w:top w:val="single" w:sz="4" w:space="0" w:color="auto"/>
              <w:left w:val="single" w:sz="4" w:space="0" w:color="auto"/>
              <w:bottom w:val="single" w:sz="4" w:space="0" w:color="auto"/>
              <w:right w:val="single" w:sz="4" w:space="0" w:color="auto"/>
            </w:tcBorders>
            <w:hideMark/>
          </w:tcPr>
          <w:p w14:paraId="07983AB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Catafalque 2.2 :</w:t>
            </w:r>
          </w:p>
        </w:tc>
        <w:tc>
          <w:tcPr>
            <w:tcW w:w="6819" w:type="dxa"/>
            <w:tcBorders>
              <w:top w:val="single" w:sz="4" w:space="0" w:color="auto"/>
              <w:left w:val="single" w:sz="4" w:space="0" w:color="auto"/>
              <w:bottom w:val="single" w:sz="4" w:space="0" w:color="auto"/>
              <w:right w:val="single" w:sz="4" w:space="0" w:color="auto"/>
            </w:tcBorders>
            <w:hideMark/>
          </w:tcPr>
          <w:p w14:paraId="76102AC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Grande estrade à 3 gradins et contre marches galonnées en argent, surmontée d’une représentation. </w:t>
            </w:r>
          </w:p>
          <w:p w14:paraId="65471BD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Drap de représentation, en velours de soie, galonné et frangé en argent. </w:t>
            </w:r>
          </w:p>
        </w:tc>
        <w:tc>
          <w:tcPr>
            <w:tcW w:w="987" w:type="dxa"/>
            <w:tcBorders>
              <w:top w:val="single" w:sz="4" w:space="0" w:color="auto"/>
              <w:left w:val="single" w:sz="4" w:space="0" w:color="auto"/>
              <w:bottom w:val="single" w:sz="4" w:space="0" w:color="auto"/>
              <w:right w:val="single" w:sz="4" w:space="0" w:color="auto"/>
            </w:tcBorders>
            <w:hideMark/>
          </w:tcPr>
          <w:p w14:paraId="7404F76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7795 </w:t>
            </w:r>
            <w:proofErr w:type="spellStart"/>
            <w:r w:rsidRPr="005A59E9">
              <w:rPr>
                <w:rFonts w:ascii="Times New Roman" w:hAnsi="Times New Roman" w:cs="Times New Roman"/>
                <w:sz w:val="20"/>
                <w:szCs w:val="20"/>
              </w:rPr>
              <w:t>fr.</w:t>
            </w:r>
            <w:proofErr w:type="spellEnd"/>
          </w:p>
        </w:tc>
      </w:tr>
      <w:tr w:rsidR="005A59E9" w:rsidRPr="005A59E9" w14:paraId="0675DCC9" w14:textId="77777777" w:rsidTr="005A59E9">
        <w:tc>
          <w:tcPr>
            <w:tcW w:w="1256" w:type="dxa"/>
            <w:tcBorders>
              <w:top w:val="single" w:sz="4" w:space="0" w:color="auto"/>
              <w:left w:val="single" w:sz="4" w:space="0" w:color="auto"/>
              <w:bottom w:val="single" w:sz="4" w:space="0" w:color="auto"/>
              <w:right w:val="single" w:sz="4" w:space="0" w:color="auto"/>
            </w:tcBorders>
            <w:hideMark/>
          </w:tcPr>
          <w:p w14:paraId="0E99E6B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Catafalque 2.3 :</w:t>
            </w:r>
          </w:p>
        </w:tc>
        <w:tc>
          <w:tcPr>
            <w:tcW w:w="6819" w:type="dxa"/>
            <w:tcBorders>
              <w:top w:val="single" w:sz="4" w:space="0" w:color="auto"/>
              <w:left w:val="single" w:sz="4" w:space="0" w:color="auto"/>
              <w:bottom w:val="single" w:sz="4" w:space="0" w:color="auto"/>
              <w:right w:val="single" w:sz="4" w:space="0" w:color="auto"/>
            </w:tcBorders>
            <w:hideMark/>
          </w:tcPr>
          <w:p w14:paraId="4135A1A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Estrade à 3 gradins avec tapis galonné en coton, surmontée d’une représentation. </w:t>
            </w:r>
          </w:p>
          <w:p w14:paraId="41863D1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Drap de représentation, en drap, orné d’étoiles brodées en argent, galonné et frangé en argent. </w:t>
            </w:r>
          </w:p>
        </w:tc>
        <w:tc>
          <w:tcPr>
            <w:tcW w:w="987" w:type="dxa"/>
            <w:tcBorders>
              <w:top w:val="single" w:sz="4" w:space="0" w:color="auto"/>
              <w:left w:val="single" w:sz="4" w:space="0" w:color="auto"/>
              <w:bottom w:val="single" w:sz="4" w:space="0" w:color="auto"/>
              <w:right w:val="single" w:sz="4" w:space="0" w:color="auto"/>
            </w:tcBorders>
            <w:hideMark/>
          </w:tcPr>
          <w:p w14:paraId="55E327A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1950 </w:t>
            </w:r>
            <w:proofErr w:type="spellStart"/>
            <w:r w:rsidRPr="005A59E9">
              <w:rPr>
                <w:rFonts w:ascii="Times New Roman" w:hAnsi="Times New Roman" w:cs="Times New Roman"/>
                <w:sz w:val="20"/>
                <w:szCs w:val="20"/>
              </w:rPr>
              <w:t>fr.</w:t>
            </w:r>
            <w:proofErr w:type="spellEnd"/>
          </w:p>
        </w:tc>
      </w:tr>
      <w:tr w:rsidR="005A59E9" w:rsidRPr="005A59E9" w14:paraId="60C3DDFA" w14:textId="77777777" w:rsidTr="005A59E9">
        <w:tc>
          <w:tcPr>
            <w:tcW w:w="1256" w:type="dxa"/>
            <w:tcBorders>
              <w:top w:val="single" w:sz="4" w:space="0" w:color="auto"/>
              <w:left w:val="single" w:sz="4" w:space="0" w:color="auto"/>
              <w:bottom w:val="single" w:sz="4" w:space="0" w:color="auto"/>
              <w:right w:val="single" w:sz="4" w:space="0" w:color="auto"/>
            </w:tcBorders>
            <w:hideMark/>
          </w:tcPr>
          <w:p w14:paraId="72A3C2B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Catafalque 3.1 :</w:t>
            </w:r>
          </w:p>
        </w:tc>
        <w:tc>
          <w:tcPr>
            <w:tcW w:w="6819" w:type="dxa"/>
            <w:tcBorders>
              <w:top w:val="single" w:sz="4" w:space="0" w:color="auto"/>
              <w:left w:val="single" w:sz="4" w:space="0" w:color="auto"/>
              <w:bottom w:val="single" w:sz="4" w:space="0" w:color="auto"/>
              <w:right w:val="single" w:sz="4" w:space="0" w:color="auto"/>
            </w:tcBorders>
            <w:hideMark/>
          </w:tcPr>
          <w:p w14:paraId="0F70D89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Estrade à 2 gradins avec tapis galonné en coton, surmontée d’une représentation. </w:t>
            </w:r>
          </w:p>
          <w:p w14:paraId="77310B9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Drap de représentation, en drap, galonné et frangé en argent. </w:t>
            </w:r>
          </w:p>
        </w:tc>
        <w:tc>
          <w:tcPr>
            <w:tcW w:w="987" w:type="dxa"/>
            <w:tcBorders>
              <w:top w:val="single" w:sz="4" w:space="0" w:color="auto"/>
              <w:left w:val="single" w:sz="4" w:space="0" w:color="auto"/>
              <w:bottom w:val="single" w:sz="4" w:space="0" w:color="auto"/>
              <w:right w:val="single" w:sz="4" w:space="0" w:color="auto"/>
            </w:tcBorders>
            <w:hideMark/>
          </w:tcPr>
          <w:p w14:paraId="2F97772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1040 </w:t>
            </w:r>
            <w:proofErr w:type="spellStart"/>
            <w:r w:rsidRPr="005A59E9">
              <w:rPr>
                <w:rFonts w:ascii="Times New Roman" w:hAnsi="Times New Roman" w:cs="Times New Roman"/>
                <w:sz w:val="20"/>
                <w:szCs w:val="20"/>
              </w:rPr>
              <w:t>fr.</w:t>
            </w:r>
            <w:proofErr w:type="spellEnd"/>
          </w:p>
        </w:tc>
      </w:tr>
      <w:tr w:rsidR="005A59E9" w:rsidRPr="005A59E9" w14:paraId="35E35AF8" w14:textId="77777777" w:rsidTr="005A59E9">
        <w:tc>
          <w:tcPr>
            <w:tcW w:w="1256" w:type="dxa"/>
            <w:tcBorders>
              <w:top w:val="single" w:sz="4" w:space="0" w:color="auto"/>
              <w:left w:val="single" w:sz="4" w:space="0" w:color="auto"/>
              <w:bottom w:val="single" w:sz="4" w:space="0" w:color="auto"/>
              <w:right w:val="single" w:sz="4" w:space="0" w:color="auto"/>
            </w:tcBorders>
            <w:hideMark/>
          </w:tcPr>
          <w:p w14:paraId="5527977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Catafalque 3.2 :</w:t>
            </w:r>
          </w:p>
        </w:tc>
        <w:tc>
          <w:tcPr>
            <w:tcW w:w="6819" w:type="dxa"/>
            <w:tcBorders>
              <w:top w:val="single" w:sz="4" w:space="0" w:color="auto"/>
              <w:left w:val="single" w:sz="4" w:space="0" w:color="auto"/>
              <w:bottom w:val="single" w:sz="4" w:space="0" w:color="auto"/>
              <w:right w:val="single" w:sz="4" w:space="0" w:color="auto"/>
            </w:tcBorders>
            <w:hideMark/>
          </w:tcPr>
          <w:p w14:paraId="6AEB5DD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Estrade à 1 gradin avec tapis galonné en coton, surmontée d’une représentation. </w:t>
            </w:r>
          </w:p>
          <w:p w14:paraId="627AF8B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Drap de représentation, en drap, galonné et frangé en argent. </w:t>
            </w:r>
          </w:p>
        </w:tc>
        <w:tc>
          <w:tcPr>
            <w:tcW w:w="987" w:type="dxa"/>
            <w:tcBorders>
              <w:top w:val="single" w:sz="4" w:space="0" w:color="auto"/>
              <w:left w:val="single" w:sz="4" w:space="0" w:color="auto"/>
              <w:bottom w:val="single" w:sz="4" w:space="0" w:color="auto"/>
              <w:right w:val="single" w:sz="4" w:space="0" w:color="auto"/>
            </w:tcBorders>
            <w:hideMark/>
          </w:tcPr>
          <w:p w14:paraId="22A52E0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650 </w:t>
            </w:r>
            <w:proofErr w:type="spellStart"/>
            <w:r w:rsidRPr="005A59E9">
              <w:rPr>
                <w:rFonts w:ascii="Times New Roman" w:hAnsi="Times New Roman" w:cs="Times New Roman"/>
                <w:sz w:val="20"/>
                <w:szCs w:val="20"/>
              </w:rPr>
              <w:t>fr.</w:t>
            </w:r>
            <w:proofErr w:type="spellEnd"/>
          </w:p>
        </w:tc>
      </w:tr>
    </w:tbl>
    <w:p w14:paraId="6E25BE2C" w14:textId="77777777" w:rsidR="005A59E9" w:rsidRPr="005A59E9" w:rsidRDefault="005A59E9" w:rsidP="005A59E9">
      <w:pPr>
        <w:rPr>
          <w:rFonts w:ascii="Times New Roman" w:hAnsi="Times New Roman"/>
          <w:sz w:val="20"/>
          <w:szCs w:val="20"/>
          <w:lang w:eastAsia="en-US"/>
        </w:rPr>
      </w:pPr>
    </w:p>
    <w:p w14:paraId="38FD9545"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ab/>
        <w:t xml:space="preserve">Décorations supplémentaires aux catafalques : </w:t>
      </w:r>
    </w:p>
    <w:tbl>
      <w:tblPr>
        <w:tblStyle w:val="Grilledutableau"/>
        <w:tblW w:w="0" w:type="auto"/>
        <w:tblInd w:w="0" w:type="dxa"/>
        <w:tblLook w:val="04A0" w:firstRow="1" w:lastRow="0" w:firstColumn="1" w:lastColumn="0" w:noHBand="0" w:noVBand="1"/>
      </w:tblPr>
      <w:tblGrid>
        <w:gridCol w:w="7124"/>
        <w:gridCol w:w="1172"/>
        <w:gridCol w:w="766"/>
      </w:tblGrid>
      <w:tr w:rsidR="005A59E9" w:rsidRPr="005A59E9" w14:paraId="7B4966B6"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7354587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Drap de représentation en velours au catafalque de 2.3 </w:t>
            </w:r>
          </w:p>
        </w:tc>
        <w:tc>
          <w:tcPr>
            <w:tcW w:w="778" w:type="dxa"/>
            <w:tcBorders>
              <w:top w:val="single" w:sz="4" w:space="0" w:color="auto"/>
              <w:left w:val="single" w:sz="4" w:space="0" w:color="auto"/>
              <w:bottom w:val="single" w:sz="4" w:space="0" w:color="auto"/>
              <w:right w:val="single" w:sz="4" w:space="0" w:color="auto"/>
            </w:tcBorders>
            <w:hideMark/>
          </w:tcPr>
          <w:p w14:paraId="05D3F79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Supplément</w:t>
            </w:r>
          </w:p>
        </w:tc>
        <w:tc>
          <w:tcPr>
            <w:tcW w:w="776" w:type="dxa"/>
            <w:tcBorders>
              <w:top w:val="single" w:sz="4" w:space="0" w:color="auto"/>
              <w:left w:val="single" w:sz="4" w:space="0" w:color="auto"/>
              <w:bottom w:val="single" w:sz="4" w:space="0" w:color="auto"/>
              <w:right w:val="single" w:sz="4" w:space="0" w:color="auto"/>
            </w:tcBorders>
            <w:hideMark/>
          </w:tcPr>
          <w:p w14:paraId="2FCD8A8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1040 </w:t>
            </w:r>
            <w:proofErr w:type="spellStart"/>
            <w:r w:rsidRPr="005A59E9">
              <w:rPr>
                <w:rFonts w:ascii="Times New Roman" w:hAnsi="Times New Roman" w:cs="Times New Roman"/>
                <w:sz w:val="20"/>
                <w:szCs w:val="20"/>
              </w:rPr>
              <w:t>fr.</w:t>
            </w:r>
            <w:proofErr w:type="spellEnd"/>
          </w:p>
        </w:tc>
      </w:tr>
      <w:tr w:rsidR="005A59E9" w:rsidRPr="005A59E9" w14:paraId="063AD60E"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49F6615B"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Ecusson de drap </w:t>
            </w:r>
          </w:p>
        </w:tc>
        <w:tc>
          <w:tcPr>
            <w:tcW w:w="778" w:type="dxa"/>
            <w:vMerge w:val="restart"/>
            <w:tcBorders>
              <w:top w:val="single" w:sz="4" w:space="0" w:color="auto"/>
              <w:left w:val="single" w:sz="4" w:space="0" w:color="auto"/>
              <w:bottom w:val="single" w:sz="4" w:space="0" w:color="auto"/>
              <w:right w:val="single" w:sz="4" w:space="0" w:color="auto"/>
            </w:tcBorders>
          </w:tcPr>
          <w:p w14:paraId="0C01C909" w14:textId="77777777" w:rsidR="005A59E9" w:rsidRPr="005A59E9" w:rsidRDefault="005A59E9">
            <w:pPr>
              <w:jc w:val="center"/>
              <w:rPr>
                <w:rFonts w:ascii="Times New Roman" w:hAnsi="Times New Roman" w:cs="Times New Roman"/>
                <w:sz w:val="20"/>
                <w:szCs w:val="20"/>
              </w:rPr>
            </w:pPr>
          </w:p>
          <w:p w14:paraId="3B8A241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w:t>
            </w:r>
          </w:p>
        </w:tc>
        <w:tc>
          <w:tcPr>
            <w:tcW w:w="776" w:type="dxa"/>
            <w:tcBorders>
              <w:top w:val="single" w:sz="4" w:space="0" w:color="auto"/>
              <w:left w:val="single" w:sz="4" w:space="0" w:color="auto"/>
              <w:bottom w:val="single" w:sz="4" w:space="0" w:color="auto"/>
              <w:right w:val="single" w:sz="4" w:space="0" w:color="auto"/>
            </w:tcBorders>
            <w:hideMark/>
          </w:tcPr>
          <w:p w14:paraId="3D97DE6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245 </w:t>
            </w:r>
            <w:proofErr w:type="spellStart"/>
            <w:r w:rsidRPr="005A59E9">
              <w:rPr>
                <w:rFonts w:ascii="Times New Roman" w:hAnsi="Times New Roman" w:cs="Times New Roman"/>
                <w:sz w:val="20"/>
                <w:szCs w:val="20"/>
              </w:rPr>
              <w:t>fr.</w:t>
            </w:r>
            <w:proofErr w:type="spellEnd"/>
          </w:p>
        </w:tc>
      </w:tr>
      <w:tr w:rsidR="005A59E9" w:rsidRPr="005A59E9" w14:paraId="61D0D9BD"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1A328E0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Ecusson de drap en velours, aux catafalques qui comportent un drap de représentation en velours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EC20A"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39E6AEE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325 </w:t>
            </w:r>
            <w:proofErr w:type="spellStart"/>
            <w:r w:rsidRPr="005A59E9">
              <w:rPr>
                <w:rFonts w:ascii="Times New Roman" w:hAnsi="Times New Roman" w:cs="Times New Roman"/>
                <w:sz w:val="20"/>
                <w:szCs w:val="20"/>
              </w:rPr>
              <w:t>fr.</w:t>
            </w:r>
            <w:proofErr w:type="spellEnd"/>
          </w:p>
        </w:tc>
      </w:tr>
      <w:tr w:rsidR="005A59E9" w:rsidRPr="005A59E9" w14:paraId="6DA90DC1"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243E113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Armoirie </w:t>
            </w:r>
          </w:p>
        </w:tc>
        <w:tc>
          <w:tcPr>
            <w:tcW w:w="778" w:type="dxa"/>
            <w:vMerge w:val="restart"/>
            <w:tcBorders>
              <w:top w:val="single" w:sz="4" w:space="0" w:color="auto"/>
              <w:left w:val="single" w:sz="4" w:space="0" w:color="auto"/>
              <w:bottom w:val="single" w:sz="4" w:space="0" w:color="auto"/>
              <w:right w:val="single" w:sz="4" w:space="0" w:color="auto"/>
            </w:tcBorders>
            <w:hideMark/>
          </w:tcPr>
          <w:p w14:paraId="7C280203"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L’une</w:t>
            </w:r>
          </w:p>
        </w:tc>
        <w:tc>
          <w:tcPr>
            <w:tcW w:w="776" w:type="dxa"/>
            <w:tcBorders>
              <w:top w:val="single" w:sz="4" w:space="0" w:color="auto"/>
              <w:left w:val="single" w:sz="4" w:space="0" w:color="auto"/>
              <w:bottom w:val="single" w:sz="4" w:space="0" w:color="auto"/>
              <w:right w:val="single" w:sz="4" w:space="0" w:color="auto"/>
            </w:tcBorders>
            <w:hideMark/>
          </w:tcPr>
          <w:p w14:paraId="25E2176A"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435 </w:t>
            </w:r>
            <w:proofErr w:type="spellStart"/>
            <w:r w:rsidRPr="005A59E9">
              <w:rPr>
                <w:rFonts w:ascii="Times New Roman" w:hAnsi="Times New Roman" w:cs="Times New Roman"/>
                <w:sz w:val="20"/>
                <w:szCs w:val="20"/>
              </w:rPr>
              <w:t>fr.</w:t>
            </w:r>
            <w:proofErr w:type="spellEnd"/>
          </w:p>
        </w:tc>
      </w:tr>
      <w:tr w:rsidR="005A59E9" w:rsidRPr="005A59E9" w14:paraId="2B8651E9"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0981939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Lettre peinte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6A4E6"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58F0DE2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270 </w:t>
            </w:r>
            <w:proofErr w:type="spellStart"/>
            <w:r w:rsidRPr="005A59E9">
              <w:rPr>
                <w:rFonts w:ascii="Times New Roman" w:hAnsi="Times New Roman" w:cs="Times New Roman"/>
                <w:sz w:val="20"/>
                <w:szCs w:val="20"/>
              </w:rPr>
              <w:t>fr.</w:t>
            </w:r>
            <w:proofErr w:type="spellEnd"/>
          </w:p>
        </w:tc>
      </w:tr>
      <w:tr w:rsidR="005A59E9" w:rsidRPr="005A59E9" w14:paraId="3DBD2596"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5B011AC7"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Pavillon tricolore en étamine, sur les draps de représentation en drap </w:t>
            </w:r>
          </w:p>
        </w:tc>
        <w:tc>
          <w:tcPr>
            <w:tcW w:w="778" w:type="dxa"/>
            <w:vMerge w:val="restart"/>
            <w:tcBorders>
              <w:top w:val="single" w:sz="4" w:space="0" w:color="auto"/>
              <w:left w:val="single" w:sz="4" w:space="0" w:color="auto"/>
              <w:bottom w:val="single" w:sz="4" w:space="0" w:color="auto"/>
              <w:right w:val="single" w:sz="4" w:space="0" w:color="auto"/>
            </w:tcBorders>
            <w:hideMark/>
          </w:tcPr>
          <w:p w14:paraId="546D3AE7"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w:t>
            </w:r>
          </w:p>
        </w:tc>
        <w:tc>
          <w:tcPr>
            <w:tcW w:w="776" w:type="dxa"/>
            <w:tcBorders>
              <w:top w:val="single" w:sz="4" w:space="0" w:color="auto"/>
              <w:left w:val="single" w:sz="4" w:space="0" w:color="auto"/>
              <w:bottom w:val="single" w:sz="4" w:space="0" w:color="auto"/>
              <w:right w:val="single" w:sz="4" w:space="0" w:color="auto"/>
            </w:tcBorders>
            <w:hideMark/>
          </w:tcPr>
          <w:p w14:paraId="7D799E5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325 </w:t>
            </w:r>
            <w:proofErr w:type="spellStart"/>
            <w:r w:rsidRPr="005A59E9">
              <w:rPr>
                <w:rFonts w:ascii="Times New Roman" w:hAnsi="Times New Roman" w:cs="Times New Roman"/>
                <w:sz w:val="20"/>
                <w:szCs w:val="20"/>
              </w:rPr>
              <w:t>fr.</w:t>
            </w:r>
            <w:proofErr w:type="spellEnd"/>
          </w:p>
        </w:tc>
      </w:tr>
      <w:tr w:rsidR="005A59E9" w:rsidRPr="005A59E9" w14:paraId="750D2527"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1C57B03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Pavillon tricolore en soie, sur les draps de représentation en velours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F8405"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4D48987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975 </w:t>
            </w:r>
            <w:proofErr w:type="spellStart"/>
            <w:r w:rsidRPr="005A59E9">
              <w:rPr>
                <w:rFonts w:ascii="Times New Roman" w:hAnsi="Times New Roman" w:cs="Times New Roman"/>
                <w:sz w:val="20"/>
                <w:szCs w:val="20"/>
              </w:rPr>
              <w:t>fr.</w:t>
            </w:r>
            <w:proofErr w:type="spellEnd"/>
          </w:p>
        </w:tc>
      </w:tr>
      <w:tr w:rsidR="005A59E9" w:rsidRPr="005A59E9" w14:paraId="2DFA1706"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14573DE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étamine (les quatre)</w:t>
            </w:r>
          </w:p>
        </w:tc>
        <w:tc>
          <w:tcPr>
            <w:tcW w:w="778" w:type="dxa"/>
            <w:vMerge w:val="restart"/>
            <w:tcBorders>
              <w:top w:val="single" w:sz="4" w:space="0" w:color="auto"/>
              <w:left w:val="single" w:sz="4" w:space="0" w:color="auto"/>
              <w:bottom w:val="single" w:sz="4" w:space="0" w:color="auto"/>
              <w:right w:val="single" w:sz="4" w:space="0" w:color="auto"/>
            </w:tcBorders>
          </w:tcPr>
          <w:p w14:paraId="71EEC71E" w14:textId="77777777" w:rsidR="005A59E9" w:rsidRPr="005A59E9" w:rsidRDefault="005A59E9">
            <w:pPr>
              <w:jc w:val="center"/>
              <w:rPr>
                <w:rFonts w:ascii="Times New Roman" w:hAnsi="Times New Roman" w:cs="Times New Roman"/>
                <w:sz w:val="20"/>
                <w:szCs w:val="20"/>
              </w:rPr>
            </w:pPr>
          </w:p>
          <w:p w14:paraId="7059C1E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Les quatre</w:t>
            </w:r>
          </w:p>
        </w:tc>
        <w:tc>
          <w:tcPr>
            <w:tcW w:w="776" w:type="dxa"/>
            <w:tcBorders>
              <w:top w:val="single" w:sz="4" w:space="0" w:color="auto"/>
              <w:left w:val="single" w:sz="4" w:space="0" w:color="auto"/>
              <w:bottom w:val="single" w:sz="4" w:space="0" w:color="auto"/>
              <w:right w:val="single" w:sz="4" w:space="0" w:color="auto"/>
            </w:tcBorders>
            <w:hideMark/>
          </w:tcPr>
          <w:p w14:paraId="3E71C75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1625 </w:t>
            </w:r>
            <w:proofErr w:type="spellStart"/>
            <w:r w:rsidRPr="005A59E9">
              <w:rPr>
                <w:rFonts w:ascii="Times New Roman" w:hAnsi="Times New Roman" w:cs="Times New Roman"/>
                <w:sz w:val="20"/>
                <w:szCs w:val="20"/>
              </w:rPr>
              <w:t>fr.</w:t>
            </w:r>
            <w:proofErr w:type="spellEnd"/>
          </w:p>
        </w:tc>
      </w:tr>
      <w:tr w:rsidR="005A59E9" w:rsidRPr="005A59E9" w14:paraId="7FE950FF"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6E520BA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étamine cravatés en 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61B00"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0596A94B"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1950 </w:t>
            </w:r>
            <w:proofErr w:type="spellStart"/>
            <w:r w:rsidRPr="005A59E9">
              <w:rPr>
                <w:rFonts w:ascii="Times New Roman" w:hAnsi="Times New Roman" w:cs="Times New Roman"/>
                <w:sz w:val="20"/>
                <w:szCs w:val="20"/>
              </w:rPr>
              <w:t>fr.</w:t>
            </w:r>
            <w:proofErr w:type="spellEnd"/>
          </w:p>
        </w:tc>
      </w:tr>
      <w:tr w:rsidR="005A59E9" w:rsidRPr="005A59E9" w14:paraId="27A22387"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34D55407"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étamine en soie, aux catafalques qui comportent un drap en velours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56116"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246A935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3250 </w:t>
            </w:r>
            <w:proofErr w:type="spellStart"/>
            <w:r w:rsidRPr="005A59E9">
              <w:rPr>
                <w:rFonts w:ascii="Times New Roman" w:hAnsi="Times New Roman" w:cs="Times New Roman"/>
                <w:sz w:val="20"/>
                <w:szCs w:val="20"/>
              </w:rPr>
              <w:t>fr.</w:t>
            </w:r>
            <w:proofErr w:type="spellEnd"/>
          </w:p>
        </w:tc>
      </w:tr>
      <w:tr w:rsidR="005A59E9" w:rsidRPr="005A59E9" w14:paraId="68518529"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1239C61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Chandeliers argentés ou dorés [la location des chandeliers n’a pas été comprise dans le prix des catafalques]</w:t>
            </w:r>
          </w:p>
        </w:tc>
        <w:tc>
          <w:tcPr>
            <w:tcW w:w="778" w:type="dxa"/>
            <w:vMerge w:val="restart"/>
            <w:tcBorders>
              <w:top w:val="single" w:sz="4" w:space="0" w:color="auto"/>
              <w:left w:val="single" w:sz="4" w:space="0" w:color="auto"/>
              <w:bottom w:val="single" w:sz="4" w:space="0" w:color="auto"/>
              <w:right w:val="single" w:sz="4" w:space="0" w:color="auto"/>
            </w:tcBorders>
          </w:tcPr>
          <w:p w14:paraId="4D7218BB" w14:textId="77777777" w:rsidR="005A59E9" w:rsidRPr="005A59E9" w:rsidRDefault="005A59E9">
            <w:pPr>
              <w:jc w:val="center"/>
              <w:rPr>
                <w:rFonts w:ascii="Times New Roman" w:hAnsi="Times New Roman" w:cs="Times New Roman"/>
                <w:sz w:val="20"/>
                <w:szCs w:val="20"/>
              </w:rPr>
            </w:pPr>
          </w:p>
          <w:p w14:paraId="2D2BA1BD" w14:textId="77777777" w:rsidR="005A59E9" w:rsidRPr="005A59E9" w:rsidRDefault="005A59E9">
            <w:pPr>
              <w:jc w:val="center"/>
              <w:rPr>
                <w:rFonts w:ascii="Times New Roman" w:hAnsi="Times New Roman" w:cs="Times New Roman"/>
                <w:sz w:val="20"/>
                <w:szCs w:val="20"/>
              </w:rPr>
            </w:pPr>
          </w:p>
          <w:p w14:paraId="7DE8A766" w14:textId="77777777" w:rsidR="005A59E9" w:rsidRPr="005A59E9" w:rsidRDefault="005A59E9">
            <w:pPr>
              <w:jc w:val="center"/>
              <w:rPr>
                <w:rFonts w:ascii="Times New Roman" w:hAnsi="Times New Roman" w:cs="Times New Roman"/>
                <w:sz w:val="20"/>
                <w:szCs w:val="20"/>
              </w:rPr>
            </w:pPr>
          </w:p>
          <w:p w14:paraId="616AE8CB"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w:t>
            </w:r>
          </w:p>
        </w:tc>
        <w:tc>
          <w:tcPr>
            <w:tcW w:w="776" w:type="dxa"/>
            <w:tcBorders>
              <w:top w:val="single" w:sz="4" w:space="0" w:color="auto"/>
              <w:left w:val="single" w:sz="4" w:space="0" w:color="auto"/>
              <w:bottom w:val="single" w:sz="4" w:space="0" w:color="auto"/>
              <w:right w:val="single" w:sz="4" w:space="0" w:color="auto"/>
            </w:tcBorders>
            <w:hideMark/>
          </w:tcPr>
          <w:p w14:paraId="5D718D9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25 </w:t>
            </w:r>
            <w:proofErr w:type="spellStart"/>
            <w:r w:rsidRPr="005A59E9">
              <w:rPr>
                <w:rFonts w:ascii="Times New Roman" w:hAnsi="Times New Roman" w:cs="Times New Roman"/>
                <w:sz w:val="20"/>
                <w:szCs w:val="20"/>
              </w:rPr>
              <w:t>fr.</w:t>
            </w:r>
            <w:proofErr w:type="spellEnd"/>
          </w:p>
        </w:tc>
      </w:tr>
      <w:tr w:rsidR="005A59E9" w:rsidRPr="005A59E9" w14:paraId="156A30E0"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1A6E75A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Candélabres argentés ou dorés à 21 ou 25 becs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A42F88"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27C0402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810 </w:t>
            </w:r>
            <w:proofErr w:type="spellStart"/>
            <w:r w:rsidRPr="005A59E9">
              <w:rPr>
                <w:rFonts w:ascii="Times New Roman" w:hAnsi="Times New Roman" w:cs="Times New Roman"/>
                <w:sz w:val="20"/>
                <w:szCs w:val="20"/>
              </w:rPr>
              <w:t>fr.</w:t>
            </w:r>
            <w:proofErr w:type="spellEnd"/>
          </w:p>
        </w:tc>
      </w:tr>
      <w:tr w:rsidR="005A59E9" w:rsidRPr="005A59E9" w14:paraId="669386EA"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25E1BBE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Cassolettes ou candélabres garnis de flammes au catafalque de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214B5"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65115FC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650 </w:t>
            </w:r>
            <w:proofErr w:type="spellStart"/>
            <w:r w:rsidRPr="005A59E9">
              <w:rPr>
                <w:rFonts w:ascii="Times New Roman" w:hAnsi="Times New Roman" w:cs="Times New Roman"/>
                <w:sz w:val="20"/>
                <w:szCs w:val="20"/>
              </w:rPr>
              <w:t>fr.</w:t>
            </w:r>
            <w:proofErr w:type="spellEnd"/>
          </w:p>
        </w:tc>
      </w:tr>
      <w:tr w:rsidR="005A59E9" w:rsidRPr="005A59E9" w14:paraId="0304C810"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44ABBF5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Coussin pour les insignes, en drap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90C09"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20AF600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485 </w:t>
            </w:r>
            <w:proofErr w:type="spellStart"/>
            <w:r w:rsidRPr="005A59E9">
              <w:rPr>
                <w:rFonts w:ascii="Times New Roman" w:hAnsi="Times New Roman" w:cs="Times New Roman"/>
                <w:sz w:val="20"/>
                <w:szCs w:val="20"/>
              </w:rPr>
              <w:t>fr.</w:t>
            </w:r>
            <w:proofErr w:type="spellEnd"/>
          </w:p>
        </w:tc>
      </w:tr>
      <w:tr w:rsidR="005A59E9" w:rsidRPr="005A59E9" w14:paraId="569A58FA"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697BD28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Coussin pour les insignes, en drap en velours aux catafalques qui comportent un drap en velours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827D0"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412C2BD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810 </w:t>
            </w:r>
            <w:proofErr w:type="spellStart"/>
            <w:r w:rsidRPr="005A59E9">
              <w:rPr>
                <w:rFonts w:ascii="Times New Roman" w:hAnsi="Times New Roman" w:cs="Times New Roman"/>
                <w:sz w:val="20"/>
                <w:szCs w:val="20"/>
              </w:rPr>
              <w:t>fr.</w:t>
            </w:r>
            <w:proofErr w:type="spellEnd"/>
          </w:p>
        </w:tc>
      </w:tr>
      <w:tr w:rsidR="005A59E9" w:rsidRPr="005A59E9" w14:paraId="737756EF" w14:textId="77777777" w:rsidTr="005A59E9">
        <w:tc>
          <w:tcPr>
            <w:tcW w:w="7508" w:type="dxa"/>
            <w:tcBorders>
              <w:top w:val="single" w:sz="4" w:space="0" w:color="auto"/>
              <w:left w:val="single" w:sz="4" w:space="0" w:color="auto"/>
              <w:bottom w:val="single" w:sz="4" w:space="0" w:color="auto"/>
              <w:right w:val="single" w:sz="4" w:space="0" w:color="auto"/>
            </w:tcBorders>
            <w:hideMark/>
          </w:tcPr>
          <w:p w14:paraId="7A545D6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Piédestal pour le coussin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0893F" w14:textId="77777777" w:rsidR="005A59E9" w:rsidRPr="005A59E9" w:rsidRDefault="005A59E9">
            <w:pPr>
              <w:jc w:val="left"/>
              <w:rPr>
                <w:rFonts w:ascii="Times New Roman" w:hAnsi="Times New Roman" w:cs="Times New Roman"/>
                <w:sz w:val="20"/>
                <w:szCs w:val="20"/>
              </w:rPr>
            </w:pPr>
          </w:p>
        </w:tc>
        <w:tc>
          <w:tcPr>
            <w:tcW w:w="776" w:type="dxa"/>
            <w:tcBorders>
              <w:top w:val="single" w:sz="4" w:space="0" w:color="auto"/>
              <w:left w:val="single" w:sz="4" w:space="0" w:color="auto"/>
              <w:bottom w:val="single" w:sz="4" w:space="0" w:color="auto"/>
              <w:right w:val="single" w:sz="4" w:space="0" w:color="auto"/>
            </w:tcBorders>
            <w:hideMark/>
          </w:tcPr>
          <w:p w14:paraId="70EDF25A"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390 </w:t>
            </w:r>
            <w:proofErr w:type="spellStart"/>
            <w:r w:rsidRPr="005A59E9">
              <w:rPr>
                <w:rFonts w:ascii="Times New Roman" w:hAnsi="Times New Roman" w:cs="Times New Roman"/>
                <w:sz w:val="20"/>
                <w:szCs w:val="20"/>
              </w:rPr>
              <w:t>fr.</w:t>
            </w:r>
            <w:proofErr w:type="spellEnd"/>
          </w:p>
        </w:tc>
      </w:tr>
    </w:tbl>
    <w:p w14:paraId="444F12EC" w14:textId="77777777" w:rsidR="005A59E9" w:rsidRPr="005A59E9" w:rsidRDefault="005A59E9" w:rsidP="005A59E9">
      <w:pPr>
        <w:rPr>
          <w:rFonts w:ascii="Times New Roman" w:hAnsi="Times New Roman"/>
          <w:sz w:val="20"/>
          <w:szCs w:val="20"/>
          <w:lang w:eastAsia="en-US"/>
        </w:rPr>
      </w:pPr>
    </w:p>
    <w:p w14:paraId="2895CA91" w14:textId="77777777" w:rsidR="005A59E9" w:rsidRPr="005A59E9" w:rsidRDefault="005A59E9" w:rsidP="005A59E9">
      <w:pPr>
        <w:rPr>
          <w:rFonts w:ascii="Times New Roman" w:hAnsi="Times New Roman"/>
          <w:b/>
          <w:sz w:val="20"/>
          <w:szCs w:val="20"/>
        </w:rPr>
      </w:pPr>
      <w:r w:rsidRPr="005A59E9">
        <w:rPr>
          <w:rFonts w:ascii="Times New Roman" w:hAnsi="Times New Roman"/>
          <w:b/>
          <w:sz w:val="20"/>
          <w:szCs w:val="20"/>
        </w:rPr>
        <w:t>Tentures intérieures</w:t>
      </w:r>
    </w:p>
    <w:p w14:paraId="1588E68F" w14:textId="77777777" w:rsidR="005A59E9" w:rsidRPr="005A59E9" w:rsidRDefault="005A59E9" w:rsidP="005A59E9">
      <w:pPr>
        <w:rPr>
          <w:rFonts w:ascii="Times New Roman" w:hAnsi="Times New Roman"/>
          <w:sz w:val="20"/>
          <w:szCs w:val="20"/>
        </w:rPr>
      </w:pPr>
    </w:p>
    <w:tbl>
      <w:tblPr>
        <w:tblStyle w:val="Grilledutableau"/>
        <w:tblW w:w="0" w:type="auto"/>
        <w:tblInd w:w="0" w:type="dxa"/>
        <w:tblLook w:val="04A0" w:firstRow="1" w:lastRow="0" w:firstColumn="1" w:lastColumn="0" w:noHBand="0" w:noVBand="1"/>
      </w:tblPr>
      <w:tblGrid>
        <w:gridCol w:w="6941"/>
        <w:gridCol w:w="1430"/>
        <w:gridCol w:w="691"/>
      </w:tblGrid>
      <w:tr w:rsidR="005A59E9" w:rsidRPr="005A59E9" w14:paraId="36D37223"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4001B32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Tenture unie</w:t>
            </w:r>
          </w:p>
        </w:tc>
        <w:tc>
          <w:tcPr>
            <w:tcW w:w="1430" w:type="dxa"/>
            <w:vMerge w:val="restart"/>
            <w:tcBorders>
              <w:top w:val="single" w:sz="4" w:space="0" w:color="auto"/>
              <w:left w:val="single" w:sz="4" w:space="0" w:color="auto"/>
              <w:bottom w:val="single" w:sz="4" w:space="0" w:color="auto"/>
              <w:right w:val="single" w:sz="4" w:space="0" w:color="auto"/>
            </w:tcBorders>
          </w:tcPr>
          <w:p w14:paraId="1C4373CE" w14:textId="77777777" w:rsidR="005A59E9" w:rsidRPr="005A59E9" w:rsidRDefault="005A59E9">
            <w:pPr>
              <w:jc w:val="center"/>
              <w:rPr>
                <w:rFonts w:ascii="Times New Roman" w:hAnsi="Times New Roman" w:cs="Times New Roman"/>
                <w:sz w:val="20"/>
                <w:szCs w:val="20"/>
              </w:rPr>
            </w:pPr>
          </w:p>
          <w:p w14:paraId="62BE70FD"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lastRenderedPageBreak/>
              <w:t>Le mètre superficiel</w:t>
            </w:r>
          </w:p>
        </w:tc>
        <w:tc>
          <w:tcPr>
            <w:tcW w:w="691" w:type="dxa"/>
            <w:vMerge w:val="restart"/>
            <w:tcBorders>
              <w:top w:val="single" w:sz="4" w:space="0" w:color="auto"/>
              <w:left w:val="single" w:sz="4" w:space="0" w:color="auto"/>
              <w:bottom w:val="single" w:sz="4" w:space="0" w:color="auto"/>
              <w:right w:val="single" w:sz="4" w:space="0" w:color="auto"/>
            </w:tcBorders>
            <w:hideMark/>
          </w:tcPr>
          <w:p w14:paraId="3F017AD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lastRenderedPageBreak/>
              <w:t xml:space="preserve">17 </w:t>
            </w:r>
            <w:proofErr w:type="spellStart"/>
            <w:r w:rsidRPr="005A59E9">
              <w:rPr>
                <w:rFonts w:ascii="Times New Roman" w:hAnsi="Times New Roman" w:cs="Times New Roman"/>
                <w:sz w:val="20"/>
                <w:szCs w:val="20"/>
              </w:rPr>
              <w:t>fr.</w:t>
            </w:r>
            <w:proofErr w:type="spellEnd"/>
          </w:p>
        </w:tc>
      </w:tr>
      <w:tr w:rsidR="005A59E9" w:rsidRPr="005A59E9" w14:paraId="0D27F1DF"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68CE7A3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lastRenderedPageBreak/>
              <w:t>Franges et galons en coton à la tenture (les 3/10 du prix de la tenture)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4419D" w14:textId="77777777" w:rsidR="005A59E9" w:rsidRPr="005A59E9" w:rsidRDefault="005A59E9">
            <w:pPr>
              <w:jc w:val="left"/>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5FA80" w14:textId="77777777" w:rsidR="005A59E9" w:rsidRPr="005A59E9" w:rsidRDefault="005A59E9">
            <w:pPr>
              <w:jc w:val="left"/>
              <w:rPr>
                <w:rFonts w:ascii="Times New Roman" w:hAnsi="Times New Roman" w:cs="Times New Roman"/>
                <w:sz w:val="20"/>
                <w:szCs w:val="20"/>
              </w:rPr>
            </w:pPr>
          </w:p>
        </w:tc>
      </w:tr>
      <w:tr w:rsidR="005A59E9" w:rsidRPr="005A59E9" w14:paraId="29AB0ADF"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5076A4B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Ornement en coton couronnant la tenture (les 4/10 du prix de la tenture)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AF7B8" w14:textId="77777777" w:rsidR="005A59E9" w:rsidRPr="005A59E9" w:rsidRDefault="005A59E9">
            <w:pPr>
              <w:jc w:val="left"/>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E40DC" w14:textId="77777777" w:rsidR="005A59E9" w:rsidRPr="005A59E9" w:rsidRDefault="005A59E9">
            <w:pPr>
              <w:jc w:val="left"/>
              <w:rPr>
                <w:rFonts w:ascii="Times New Roman" w:hAnsi="Times New Roman" w:cs="Times New Roman"/>
                <w:sz w:val="20"/>
                <w:szCs w:val="20"/>
              </w:rPr>
            </w:pPr>
          </w:p>
        </w:tc>
      </w:tr>
      <w:tr w:rsidR="005A59E9" w:rsidRPr="005A59E9" w14:paraId="7935DDF2"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21CCC36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Ouverture de la tenture avec câblés et patères</w:t>
            </w:r>
          </w:p>
        </w:tc>
        <w:tc>
          <w:tcPr>
            <w:tcW w:w="1430" w:type="dxa"/>
            <w:vMerge w:val="restart"/>
            <w:tcBorders>
              <w:top w:val="single" w:sz="4" w:space="0" w:color="auto"/>
              <w:left w:val="single" w:sz="4" w:space="0" w:color="auto"/>
              <w:bottom w:val="single" w:sz="4" w:space="0" w:color="auto"/>
              <w:right w:val="single" w:sz="4" w:space="0" w:color="auto"/>
            </w:tcBorders>
            <w:hideMark/>
          </w:tcPr>
          <w:p w14:paraId="4771680A"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Par ouverture</w:t>
            </w:r>
          </w:p>
        </w:tc>
        <w:tc>
          <w:tcPr>
            <w:tcW w:w="691" w:type="dxa"/>
            <w:tcBorders>
              <w:top w:val="single" w:sz="4" w:space="0" w:color="auto"/>
              <w:left w:val="single" w:sz="4" w:space="0" w:color="auto"/>
              <w:bottom w:val="single" w:sz="4" w:space="0" w:color="auto"/>
              <w:right w:val="single" w:sz="4" w:space="0" w:color="auto"/>
            </w:tcBorders>
            <w:hideMark/>
          </w:tcPr>
          <w:p w14:paraId="64B119C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100 </w:t>
            </w:r>
            <w:proofErr w:type="spellStart"/>
            <w:r w:rsidRPr="005A59E9">
              <w:rPr>
                <w:rFonts w:ascii="Times New Roman" w:hAnsi="Times New Roman" w:cs="Times New Roman"/>
                <w:sz w:val="20"/>
                <w:szCs w:val="20"/>
              </w:rPr>
              <w:t>fr.</w:t>
            </w:r>
            <w:proofErr w:type="spellEnd"/>
          </w:p>
        </w:tc>
      </w:tr>
      <w:tr w:rsidR="005A59E9" w:rsidRPr="005A59E9" w14:paraId="5E92B671"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22908F24"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Ouverture de la tenture en rideaux frangés et galonnés en coton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0263B"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32576A38"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390 </w:t>
            </w:r>
            <w:proofErr w:type="spellStart"/>
            <w:r w:rsidRPr="005A59E9">
              <w:rPr>
                <w:rFonts w:ascii="Times New Roman" w:hAnsi="Times New Roman" w:cs="Times New Roman"/>
                <w:sz w:val="20"/>
                <w:szCs w:val="20"/>
              </w:rPr>
              <w:t>fr.</w:t>
            </w:r>
            <w:proofErr w:type="spellEnd"/>
          </w:p>
        </w:tc>
      </w:tr>
      <w:tr w:rsidR="005A59E9" w:rsidRPr="005A59E9" w14:paraId="0928C01A"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3D6DED8F"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Draperie à l’antique appliquée sur la tenture</w:t>
            </w:r>
          </w:p>
        </w:tc>
        <w:tc>
          <w:tcPr>
            <w:tcW w:w="1430" w:type="dxa"/>
            <w:vMerge w:val="restart"/>
            <w:tcBorders>
              <w:top w:val="single" w:sz="4" w:space="0" w:color="auto"/>
              <w:left w:val="single" w:sz="4" w:space="0" w:color="auto"/>
              <w:bottom w:val="single" w:sz="4" w:space="0" w:color="auto"/>
              <w:right w:val="single" w:sz="4" w:space="0" w:color="auto"/>
            </w:tcBorders>
            <w:hideMark/>
          </w:tcPr>
          <w:p w14:paraId="3D3F5EF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Le mètre courant</w:t>
            </w:r>
          </w:p>
        </w:tc>
        <w:tc>
          <w:tcPr>
            <w:tcW w:w="691" w:type="dxa"/>
            <w:tcBorders>
              <w:top w:val="single" w:sz="4" w:space="0" w:color="auto"/>
              <w:left w:val="single" w:sz="4" w:space="0" w:color="auto"/>
              <w:bottom w:val="single" w:sz="4" w:space="0" w:color="auto"/>
              <w:right w:val="single" w:sz="4" w:space="0" w:color="auto"/>
            </w:tcBorders>
            <w:hideMark/>
          </w:tcPr>
          <w:p w14:paraId="432BFA2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100 </w:t>
            </w:r>
            <w:proofErr w:type="spellStart"/>
            <w:r w:rsidRPr="005A59E9">
              <w:rPr>
                <w:rFonts w:ascii="Times New Roman" w:hAnsi="Times New Roman" w:cs="Times New Roman"/>
                <w:sz w:val="20"/>
                <w:szCs w:val="20"/>
              </w:rPr>
              <w:t>fr.</w:t>
            </w:r>
            <w:proofErr w:type="spellEnd"/>
          </w:p>
        </w:tc>
      </w:tr>
      <w:tr w:rsidR="005A59E9" w:rsidRPr="005A59E9" w14:paraId="5CAA7836"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7B5E6AA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Litre en velours, galonnée et frangée en argent ou brodé d’hermine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2F68C1"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65D2A25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100 </w:t>
            </w:r>
            <w:proofErr w:type="spellStart"/>
            <w:r w:rsidRPr="005A59E9">
              <w:rPr>
                <w:rFonts w:ascii="Times New Roman" w:hAnsi="Times New Roman" w:cs="Times New Roman"/>
                <w:sz w:val="20"/>
                <w:szCs w:val="20"/>
              </w:rPr>
              <w:t>fr.</w:t>
            </w:r>
            <w:proofErr w:type="spellEnd"/>
          </w:p>
        </w:tc>
      </w:tr>
      <w:tr w:rsidR="005A59E9" w:rsidRPr="005A59E9" w14:paraId="24A87DD1"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12D2879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Grand écussons en drap</w:t>
            </w:r>
          </w:p>
        </w:tc>
        <w:tc>
          <w:tcPr>
            <w:tcW w:w="1430" w:type="dxa"/>
            <w:vMerge w:val="restart"/>
            <w:tcBorders>
              <w:top w:val="single" w:sz="4" w:space="0" w:color="auto"/>
              <w:left w:val="single" w:sz="4" w:space="0" w:color="auto"/>
              <w:bottom w:val="single" w:sz="4" w:space="0" w:color="auto"/>
              <w:right w:val="single" w:sz="4" w:space="0" w:color="auto"/>
            </w:tcBorders>
            <w:hideMark/>
          </w:tcPr>
          <w:p w14:paraId="31A8426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w:t>
            </w:r>
          </w:p>
        </w:tc>
        <w:tc>
          <w:tcPr>
            <w:tcW w:w="691" w:type="dxa"/>
            <w:tcBorders>
              <w:top w:val="single" w:sz="4" w:space="0" w:color="auto"/>
              <w:left w:val="single" w:sz="4" w:space="0" w:color="auto"/>
              <w:bottom w:val="single" w:sz="4" w:space="0" w:color="auto"/>
              <w:right w:val="single" w:sz="4" w:space="0" w:color="auto"/>
            </w:tcBorders>
            <w:hideMark/>
          </w:tcPr>
          <w:p w14:paraId="1F08837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325 </w:t>
            </w:r>
            <w:proofErr w:type="spellStart"/>
            <w:r w:rsidRPr="005A59E9">
              <w:rPr>
                <w:rFonts w:ascii="Times New Roman" w:hAnsi="Times New Roman" w:cs="Times New Roman"/>
                <w:sz w:val="20"/>
                <w:szCs w:val="20"/>
              </w:rPr>
              <w:t>fr.</w:t>
            </w:r>
            <w:proofErr w:type="spellEnd"/>
          </w:p>
        </w:tc>
      </w:tr>
      <w:tr w:rsidR="005A59E9" w:rsidRPr="005A59E9" w14:paraId="009B8BE0"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6EEF91F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Grand écussons en drap en velours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099A8"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32D3C0E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485 </w:t>
            </w:r>
            <w:proofErr w:type="spellStart"/>
            <w:r w:rsidRPr="005A59E9">
              <w:rPr>
                <w:rFonts w:ascii="Times New Roman" w:hAnsi="Times New Roman" w:cs="Times New Roman"/>
                <w:sz w:val="20"/>
                <w:szCs w:val="20"/>
              </w:rPr>
              <w:t>fr.</w:t>
            </w:r>
            <w:proofErr w:type="spellEnd"/>
          </w:p>
        </w:tc>
      </w:tr>
      <w:tr w:rsidR="005A59E9" w:rsidRPr="005A59E9" w14:paraId="1FFAC5D2"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6A51C7D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Triples palmes sur la tenture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BAD03"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63D93CB5"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390 </w:t>
            </w:r>
            <w:proofErr w:type="spellStart"/>
            <w:r w:rsidRPr="005A59E9">
              <w:rPr>
                <w:rFonts w:ascii="Times New Roman" w:hAnsi="Times New Roman" w:cs="Times New Roman"/>
                <w:sz w:val="20"/>
                <w:szCs w:val="20"/>
              </w:rPr>
              <w:t>fr.</w:t>
            </w:r>
            <w:proofErr w:type="spellEnd"/>
          </w:p>
        </w:tc>
      </w:tr>
      <w:tr w:rsidR="005A59E9" w:rsidRPr="005A59E9" w14:paraId="74724DE5"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7283C980"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étamine</w:t>
            </w:r>
          </w:p>
        </w:tc>
        <w:tc>
          <w:tcPr>
            <w:tcW w:w="1430" w:type="dxa"/>
            <w:vMerge w:val="restart"/>
            <w:tcBorders>
              <w:top w:val="single" w:sz="4" w:space="0" w:color="auto"/>
              <w:left w:val="single" w:sz="4" w:space="0" w:color="auto"/>
              <w:bottom w:val="single" w:sz="4" w:space="0" w:color="auto"/>
              <w:right w:val="single" w:sz="4" w:space="0" w:color="auto"/>
            </w:tcBorders>
            <w:hideMark/>
          </w:tcPr>
          <w:p w14:paraId="44D626E4"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Par trophée</w:t>
            </w:r>
          </w:p>
        </w:tc>
        <w:tc>
          <w:tcPr>
            <w:tcW w:w="691" w:type="dxa"/>
            <w:tcBorders>
              <w:top w:val="single" w:sz="4" w:space="0" w:color="auto"/>
              <w:left w:val="single" w:sz="4" w:space="0" w:color="auto"/>
              <w:bottom w:val="single" w:sz="4" w:space="0" w:color="auto"/>
              <w:right w:val="single" w:sz="4" w:space="0" w:color="auto"/>
            </w:tcBorders>
            <w:hideMark/>
          </w:tcPr>
          <w:p w14:paraId="669EC82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405 </w:t>
            </w:r>
            <w:proofErr w:type="spellStart"/>
            <w:r w:rsidRPr="005A59E9">
              <w:rPr>
                <w:rFonts w:ascii="Times New Roman" w:hAnsi="Times New Roman" w:cs="Times New Roman"/>
                <w:sz w:val="20"/>
                <w:szCs w:val="20"/>
              </w:rPr>
              <w:t>fr.</w:t>
            </w:r>
            <w:proofErr w:type="spellEnd"/>
          </w:p>
        </w:tc>
      </w:tr>
      <w:tr w:rsidR="005A59E9" w:rsidRPr="005A59E9" w14:paraId="72AE644D"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60234B71"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étamine cravatés en 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214A1"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61AE318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485 </w:t>
            </w:r>
            <w:proofErr w:type="spellStart"/>
            <w:r w:rsidRPr="005A59E9">
              <w:rPr>
                <w:rFonts w:ascii="Times New Roman" w:hAnsi="Times New Roman" w:cs="Times New Roman"/>
                <w:sz w:val="20"/>
                <w:szCs w:val="20"/>
              </w:rPr>
              <w:t>fr.</w:t>
            </w:r>
            <w:proofErr w:type="spellEnd"/>
          </w:p>
        </w:tc>
      </w:tr>
      <w:tr w:rsidR="005A59E9" w:rsidRPr="005A59E9" w14:paraId="72C77BB3"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274AC587"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Trophées de drapeaux en soie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880B7"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61BEE0EB"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810 </w:t>
            </w:r>
            <w:proofErr w:type="spellStart"/>
            <w:r w:rsidRPr="005A59E9">
              <w:rPr>
                <w:rFonts w:ascii="Times New Roman" w:hAnsi="Times New Roman" w:cs="Times New Roman"/>
                <w:sz w:val="20"/>
                <w:szCs w:val="20"/>
              </w:rPr>
              <w:t>fr.</w:t>
            </w:r>
            <w:proofErr w:type="spellEnd"/>
          </w:p>
        </w:tc>
      </w:tr>
      <w:tr w:rsidR="005A59E9" w:rsidRPr="005A59E9" w14:paraId="61F71139"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69E1642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Barrières</w:t>
            </w:r>
          </w:p>
        </w:tc>
        <w:tc>
          <w:tcPr>
            <w:tcW w:w="1430" w:type="dxa"/>
            <w:vMerge w:val="restart"/>
            <w:tcBorders>
              <w:top w:val="single" w:sz="4" w:space="0" w:color="auto"/>
              <w:left w:val="single" w:sz="4" w:space="0" w:color="auto"/>
              <w:bottom w:val="single" w:sz="4" w:space="0" w:color="auto"/>
              <w:right w:val="single" w:sz="4" w:space="0" w:color="auto"/>
            </w:tcBorders>
            <w:hideMark/>
          </w:tcPr>
          <w:p w14:paraId="06CD371E"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Le mètre courant</w:t>
            </w:r>
          </w:p>
        </w:tc>
        <w:tc>
          <w:tcPr>
            <w:tcW w:w="691" w:type="dxa"/>
            <w:tcBorders>
              <w:top w:val="single" w:sz="4" w:space="0" w:color="auto"/>
              <w:left w:val="single" w:sz="4" w:space="0" w:color="auto"/>
              <w:bottom w:val="single" w:sz="4" w:space="0" w:color="auto"/>
              <w:right w:val="single" w:sz="4" w:space="0" w:color="auto"/>
            </w:tcBorders>
            <w:hideMark/>
          </w:tcPr>
          <w:p w14:paraId="09C83DC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50 </w:t>
            </w:r>
            <w:proofErr w:type="spellStart"/>
            <w:r w:rsidRPr="005A59E9">
              <w:rPr>
                <w:rFonts w:ascii="Times New Roman" w:hAnsi="Times New Roman" w:cs="Times New Roman"/>
                <w:sz w:val="20"/>
                <w:szCs w:val="20"/>
              </w:rPr>
              <w:t>fr.</w:t>
            </w:r>
            <w:proofErr w:type="spellEnd"/>
          </w:p>
        </w:tc>
      </w:tr>
      <w:tr w:rsidR="005A59E9" w:rsidRPr="005A59E9" w14:paraId="13BBB365"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5E5CA34D"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Draperie galonnée et frangée en coton, pour la table de communion et les barrières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1BAE2"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2E9B37E2"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50 </w:t>
            </w:r>
            <w:proofErr w:type="spellStart"/>
            <w:r w:rsidRPr="005A59E9">
              <w:rPr>
                <w:rFonts w:ascii="Times New Roman" w:hAnsi="Times New Roman" w:cs="Times New Roman"/>
                <w:sz w:val="20"/>
                <w:szCs w:val="20"/>
              </w:rPr>
              <w:t>fr.</w:t>
            </w:r>
            <w:proofErr w:type="spellEnd"/>
          </w:p>
        </w:tc>
      </w:tr>
      <w:tr w:rsidR="005A59E9" w:rsidRPr="005A59E9" w14:paraId="57F568AA"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22DDD873"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Draperie galonnée et frangée en argent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57471" w14:textId="77777777" w:rsidR="005A59E9" w:rsidRPr="005A59E9" w:rsidRDefault="005A59E9">
            <w:pPr>
              <w:jc w:val="left"/>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3910E38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400 </w:t>
            </w:r>
            <w:proofErr w:type="spellStart"/>
            <w:r w:rsidRPr="005A59E9">
              <w:rPr>
                <w:rFonts w:ascii="Times New Roman" w:hAnsi="Times New Roman" w:cs="Times New Roman"/>
                <w:sz w:val="20"/>
                <w:szCs w:val="20"/>
              </w:rPr>
              <w:t>fr.</w:t>
            </w:r>
            <w:proofErr w:type="spellEnd"/>
          </w:p>
        </w:tc>
      </w:tr>
      <w:tr w:rsidR="005A59E9" w:rsidRPr="005A59E9" w14:paraId="2D0AE8A7"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7CBD2B8E"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Tapis de pied, tapis chemin</w:t>
            </w:r>
          </w:p>
        </w:tc>
        <w:tc>
          <w:tcPr>
            <w:tcW w:w="1430" w:type="dxa"/>
            <w:tcBorders>
              <w:top w:val="single" w:sz="4" w:space="0" w:color="auto"/>
              <w:left w:val="single" w:sz="4" w:space="0" w:color="auto"/>
              <w:bottom w:val="single" w:sz="4" w:space="0" w:color="auto"/>
              <w:right w:val="single" w:sz="4" w:space="0" w:color="auto"/>
            </w:tcBorders>
            <w:hideMark/>
          </w:tcPr>
          <w:p w14:paraId="003CD2B6"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Le mètre superficiel</w:t>
            </w:r>
          </w:p>
        </w:tc>
        <w:tc>
          <w:tcPr>
            <w:tcW w:w="691" w:type="dxa"/>
            <w:tcBorders>
              <w:top w:val="single" w:sz="4" w:space="0" w:color="auto"/>
              <w:left w:val="single" w:sz="4" w:space="0" w:color="auto"/>
              <w:bottom w:val="single" w:sz="4" w:space="0" w:color="auto"/>
              <w:right w:val="single" w:sz="4" w:space="0" w:color="auto"/>
            </w:tcBorders>
            <w:hideMark/>
          </w:tcPr>
          <w:p w14:paraId="386C47CA"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25 </w:t>
            </w:r>
            <w:proofErr w:type="spellStart"/>
            <w:r w:rsidRPr="005A59E9">
              <w:rPr>
                <w:rFonts w:ascii="Times New Roman" w:hAnsi="Times New Roman" w:cs="Times New Roman"/>
                <w:sz w:val="20"/>
                <w:szCs w:val="20"/>
              </w:rPr>
              <w:t>fr.</w:t>
            </w:r>
            <w:proofErr w:type="spellEnd"/>
          </w:p>
        </w:tc>
      </w:tr>
      <w:tr w:rsidR="005A59E9" w:rsidRPr="005A59E9" w14:paraId="7424F26A"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168C0F7C"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Housses noires galonnées en coton pour les prie-Dieu et les chaises</w:t>
            </w:r>
          </w:p>
        </w:tc>
        <w:tc>
          <w:tcPr>
            <w:tcW w:w="1430" w:type="dxa"/>
            <w:tcBorders>
              <w:top w:val="single" w:sz="4" w:space="0" w:color="auto"/>
              <w:left w:val="single" w:sz="4" w:space="0" w:color="auto"/>
              <w:bottom w:val="single" w:sz="4" w:space="0" w:color="auto"/>
              <w:right w:val="single" w:sz="4" w:space="0" w:color="auto"/>
            </w:tcBorders>
            <w:hideMark/>
          </w:tcPr>
          <w:p w14:paraId="163AC019" w14:textId="77777777" w:rsidR="005A59E9" w:rsidRPr="005A59E9" w:rsidRDefault="005A59E9">
            <w:pPr>
              <w:jc w:val="center"/>
              <w:rPr>
                <w:rFonts w:ascii="Times New Roman" w:hAnsi="Times New Roman" w:cs="Times New Roman"/>
                <w:sz w:val="20"/>
                <w:szCs w:val="20"/>
              </w:rPr>
            </w:pPr>
            <w:r w:rsidRPr="005A59E9">
              <w:rPr>
                <w:rFonts w:ascii="Times New Roman" w:hAnsi="Times New Roman" w:cs="Times New Roman"/>
                <w:sz w:val="20"/>
                <w:szCs w:val="20"/>
              </w:rPr>
              <w:t>L’une</w:t>
            </w:r>
          </w:p>
        </w:tc>
        <w:tc>
          <w:tcPr>
            <w:tcW w:w="691" w:type="dxa"/>
            <w:tcBorders>
              <w:top w:val="single" w:sz="4" w:space="0" w:color="auto"/>
              <w:left w:val="single" w:sz="4" w:space="0" w:color="auto"/>
              <w:bottom w:val="single" w:sz="4" w:space="0" w:color="auto"/>
              <w:right w:val="single" w:sz="4" w:space="0" w:color="auto"/>
            </w:tcBorders>
            <w:hideMark/>
          </w:tcPr>
          <w:p w14:paraId="66E82D7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25 </w:t>
            </w:r>
            <w:proofErr w:type="spellStart"/>
            <w:r w:rsidRPr="005A59E9">
              <w:rPr>
                <w:rFonts w:ascii="Times New Roman" w:hAnsi="Times New Roman" w:cs="Times New Roman"/>
                <w:sz w:val="20"/>
                <w:szCs w:val="20"/>
              </w:rPr>
              <w:t>fr.</w:t>
            </w:r>
            <w:proofErr w:type="spellEnd"/>
          </w:p>
        </w:tc>
      </w:tr>
      <w:tr w:rsidR="005A59E9" w:rsidRPr="005A59E9" w14:paraId="06C26BA6" w14:textId="77777777" w:rsidTr="005A59E9">
        <w:tc>
          <w:tcPr>
            <w:tcW w:w="6941" w:type="dxa"/>
            <w:tcBorders>
              <w:top w:val="single" w:sz="4" w:space="0" w:color="auto"/>
              <w:left w:val="single" w:sz="4" w:space="0" w:color="auto"/>
              <w:bottom w:val="single" w:sz="4" w:space="0" w:color="auto"/>
              <w:right w:val="single" w:sz="4" w:space="0" w:color="auto"/>
            </w:tcBorders>
            <w:hideMark/>
          </w:tcPr>
          <w:p w14:paraId="4874B196"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Table drapée pour les signatures</w:t>
            </w:r>
          </w:p>
        </w:tc>
        <w:tc>
          <w:tcPr>
            <w:tcW w:w="1430" w:type="dxa"/>
            <w:tcBorders>
              <w:top w:val="single" w:sz="4" w:space="0" w:color="auto"/>
              <w:left w:val="single" w:sz="4" w:space="0" w:color="auto"/>
              <w:bottom w:val="single" w:sz="4" w:space="0" w:color="auto"/>
              <w:right w:val="single" w:sz="4" w:space="0" w:color="auto"/>
            </w:tcBorders>
          </w:tcPr>
          <w:p w14:paraId="3FCDA2AE" w14:textId="77777777" w:rsidR="005A59E9" w:rsidRPr="005A59E9" w:rsidRDefault="005A59E9">
            <w:pPr>
              <w:rPr>
                <w:rFonts w:ascii="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hideMark/>
          </w:tcPr>
          <w:p w14:paraId="4EE6C939" w14:textId="77777777" w:rsidR="005A59E9" w:rsidRPr="005A59E9" w:rsidRDefault="005A59E9">
            <w:pPr>
              <w:rPr>
                <w:rFonts w:ascii="Times New Roman" w:hAnsi="Times New Roman" w:cs="Times New Roman"/>
                <w:sz w:val="20"/>
                <w:szCs w:val="20"/>
              </w:rPr>
            </w:pPr>
            <w:r w:rsidRPr="005A59E9">
              <w:rPr>
                <w:rFonts w:ascii="Times New Roman" w:hAnsi="Times New Roman" w:cs="Times New Roman"/>
                <w:sz w:val="20"/>
                <w:szCs w:val="20"/>
              </w:rPr>
              <w:t xml:space="preserve">485 </w:t>
            </w:r>
            <w:proofErr w:type="spellStart"/>
            <w:r w:rsidRPr="005A59E9">
              <w:rPr>
                <w:rFonts w:ascii="Times New Roman" w:hAnsi="Times New Roman" w:cs="Times New Roman"/>
                <w:sz w:val="20"/>
                <w:szCs w:val="20"/>
              </w:rPr>
              <w:t>fr.</w:t>
            </w:r>
            <w:proofErr w:type="spellEnd"/>
          </w:p>
        </w:tc>
      </w:tr>
    </w:tbl>
    <w:p w14:paraId="6BA86DE8" w14:textId="77777777" w:rsidR="005A59E9" w:rsidRPr="005A59E9" w:rsidRDefault="005A59E9" w:rsidP="005A59E9">
      <w:pPr>
        <w:rPr>
          <w:rFonts w:ascii="Times New Roman" w:hAnsi="Times New Roman"/>
          <w:sz w:val="20"/>
          <w:szCs w:val="20"/>
          <w:lang w:eastAsia="en-US"/>
        </w:rPr>
      </w:pPr>
    </w:p>
    <w:p w14:paraId="378D5CBC" w14:textId="77777777" w:rsidR="005A59E9" w:rsidRPr="005A59E9" w:rsidRDefault="005A59E9" w:rsidP="005A59E9">
      <w:pPr>
        <w:rPr>
          <w:rFonts w:ascii="Times New Roman" w:hAnsi="Times New Roman"/>
          <w:sz w:val="20"/>
          <w:szCs w:val="20"/>
        </w:rPr>
      </w:pPr>
      <w:r w:rsidRPr="005A59E9">
        <w:rPr>
          <w:rFonts w:ascii="Times New Roman" w:hAnsi="Times New Roman"/>
          <w:sz w:val="20"/>
          <w:szCs w:val="20"/>
        </w:rPr>
        <w:t>Source : Tarifs adoptés par l’archevêché de Paris le 23 mai 1951, applicables au 1</w:t>
      </w:r>
      <w:r w:rsidRPr="005A59E9">
        <w:rPr>
          <w:rFonts w:ascii="Times New Roman" w:hAnsi="Times New Roman"/>
          <w:sz w:val="20"/>
          <w:szCs w:val="20"/>
          <w:vertAlign w:val="superscript"/>
        </w:rPr>
        <w:t>er</w:t>
      </w:r>
      <w:r w:rsidRPr="005A59E9">
        <w:rPr>
          <w:rFonts w:ascii="Times New Roman" w:hAnsi="Times New Roman"/>
          <w:sz w:val="20"/>
          <w:szCs w:val="20"/>
        </w:rPr>
        <w:t xml:space="preserve"> juillet (Archives historiques de l’archevêché de Paris, 4G10 2.2, « Pompes Funèbres 1951 »).</w:t>
      </w:r>
    </w:p>
    <w:p w14:paraId="452B7116" w14:textId="77777777" w:rsidR="005A59E9" w:rsidRPr="005A59E9" w:rsidRDefault="005A59E9" w:rsidP="005A59E9">
      <w:pPr>
        <w:rPr>
          <w:rFonts w:ascii="Times New Roman" w:hAnsi="Times New Roman"/>
          <w:sz w:val="20"/>
          <w:szCs w:val="20"/>
        </w:rPr>
      </w:pPr>
    </w:p>
    <w:p w14:paraId="2E9E3C33" w14:textId="77777777" w:rsidR="005A59E9" w:rsidRPr="005A59E9" w:rsidRDefault="005A59E9" w:rsidP="005A59E9">
      <w:pPr>
        <w:jc w:val="left"/>
        <w:rPr>
          <w:rFonts w:ascii="Times New Roman" w:hAnsi="Times New Roman"/>
          <w:b/>
          <w:sz w:val="20"/>
          <w:szCs w:val="20"/>
        </w:rPr>
      </w:pPr>
    </w:p>
    <w:p w14:paraId="077836E4" w14:textId="77777777" w:rsidR="005A59E9" w:rsidRPr="005A59E9" w:rsidRDefault="005A59E9" w:rsidP="005A59E9">
      <w:pPr>
        <w:pStyle w:val="Paragraphedeliste"/>
        <w:numPr>
          <w:ilvl w:val="0"/>
          <w:numId w:val="24"/>
        </w:numPr>
        <w:rPr>
          <w:b/>
          <w:sz w:val="20"/>
          <w:szCs w:val="20"/>
        </w:rPr>
      </w:pPr>
      <w:r w:rsidRPr="005A59E9">
        <w:rPr>
          <w:b/>
          <w:sz w:val="20"/>
          <w:szCs w:val="20"/>
        </w:rPr>
        <w:t>Illustrations</w:t>
      </w:r>
    </w:p>
    <w:p w14:paraId="29DE6B72" w14:textId="77777777" w:rsidR="005A59E9" w:rsidRPr="005A59E9" w:rsidRDefault="005A59E9" w:rsidP="005A59E9">
      <w:pPr>
        <w:jc w:val="left"/>
        <w:rPr>
          <w:rFonts w:ascii="Times New Roman" w:hAnsi="Times New Roman"/>
          <w:b/>
          <w:sz w:val="20"/>
          <w:szCs w:val="20"/>
        </w:rPr>
      </w:pPr>
    </w:p>
    <w:p w14:paraId="54CCCB1B" w14:textId="77777777" w:rsidR="005A59E9" w:rsidRPr="005A59E9" w:rsidRDefault="00496875" w:rsidP="005A59E9">
      <w:pPr>
        <w:jc w:val="left"/>
        <w:rPr>
          <w:rFonts w:ascii="Times New Roman" w:hAnsi="Times New Roman"/>
          <w:sz w:val="20"/>
          <w:szCs w:val="20"/>
        </w:rPr>
      </w:pPr>
      <w:r>
        <w:rPr>
          <w:rFonts w:ascii="Times New Roman" w:hAnsi="Times New Roman"/>
          <w:sz w:val="20"/>
          <w:szCs w:val="20"/>
        </w:rPr>
        <w:t>Les p</w:t>
      </w:r>
      <w:r w:rsidR="005A59E9" w:rsidRPr="005A59E9">
        <w:rPr>
          <w:rFonts w:ascii="Times New Roman" w:hAnsi="Times New Roman"/>
          <w:sz w:val="20"/>
          <w:szCs w:val="20"/>
        </w:rPr>
        <w:t xml:space="preserve">hotographies </w:t>
      </w:r>
      <w:r>
        <w:rPr>
          <w:rFonts w:ascii="Times New Roman" w:hAnsi="Times New Roman"/>
          <w:sz w:val="20"/>
          <w:szCs w:val="20"/>
        </w:rPr>
        <w:t xml:space="preserve">sont </w:t>
      </w:r>
      <w:r w:rsidR="005A59E9" w:rsidRPr="005A59E9">
        <w:rPr>
          <w:rFonts w:ascii="Times New Roman" w:hAnsi="Times New Roman"/>
          <w:sz w:val="20"/>
          <w:szCs w:val="20"/>
        </w:rPr>
        <w:t>de 1908 mais le matériel était encore en usage dans les années 1950.</w:t>
      </w:r>
    </w:p>
    <w:p w14:paraId="4F98AAB7" w14:textId="77777777" w:rsidR="00496875" w:rsidRDefault="00496875" w:rsidP="005A59E9">
      <w:pPr>
        <w:jc w:val="left"/>
        <w:rPr>
          <w:rFonts w:ascii="Times New Roman" w:hAnsi="Times New Roman"/>
          <w:sz w:val="20"/>
          <w:szCs w:val="20"/>
        </w:rPr>
      </w:pPr>
    </w:p>
    <w:p w14:paraId="2EDA1B81" w14:textId="77777777" w:rsidR="00496875" w:rsidRDefault="00496875" w:rsidP="005A59E9">
      <w:pPr>
        <w:jc w:val="left"/>
        <w:rPr>
          <w:rFonts w:ascii="Times New Roman" w:hAnsi="Times New Roman"/>
          <w:sz w:val="20"/>
          <w:szCs w:val="20"/>
        </w:rPr>
      </w:pPr>
    </w:p>
    <w:p w14:paraId="005DE25C" w14:textId="77777777" w:rsidR="00496875" w:rsidRDefault="00496875" w:rsidP="005A59E9">
      <w:pPr>
        <w:jc w:val="left"/>
        <w:rPr>
          <w:rFonts w:ascii="Times New Roman" w:hAnsi="Times New Roman"/>
          <w:sz w:val="20"/>
          <w:szCs w:val="20"/>
        </w:rPr>
      </w:pPr>
    </w:p>
    <w:p w14:paraId="2CC18345" w14:textId="77777777" w:rsidR="00496875" w:rsidRDefault="00496875" w:rsidP="005A59E9">
      <w:pPr>
        <w:jc w:val="left"/>
        <w:rPr>
          <w:rFonts w:ascii="Times New Roman" w:hAnsi="Times New Roman"/>
          <w:sz w:val="20"/>
          <w:szCs w:val="20"/>
        </w:rPr>
      </w:pPr>
    </w:p>
    <w:p w14:paraId="16D5A91D" w14:textId="77777777" w:rsidR="00496875" w:rsidRDefault="00496875" w:rsidP="005A59E9">
      <w:pPr>
        <w:jc w:val="left"/>
        <w:rPr>
          <w:rFonts w:ascii="Times New Roman" w:hAnsi="Times New Roman"/>
          <w:sz w:val="20"/>
          <w:szCs w:val="20"/>
        </w:rPr>
      </w:pPr>
    </w:p>
    <w:p w14:paraId="1DC5847F" w14:textId="77777777" w:rsidR="00496875" w:rsidRDefault="00496875" w:rsidP="005A59E9">
      <w:pPr>
        <w:jc w:val="left"/>
        <w:rPr>
          <w:rFonts w:ascii="Times New Roman" w:hAnsi="Times New Roman"/>
          <w:sz w:val="20"/>
          <w:szCs w:val="20"/>
        </w:rPr>
      </w:pPr>
    </w:p>
    <w:p w14:paraId="3D78B023" w14:textId="77777777" w:rsidR="00496875" w:rsidRDefault="00496875" w:rsidP="005A59E9">
      <w:pPr>
        <w:jc w:val="left"/>
        <w:rPr>
          <w:rFonts w:ascii="Times New Roman" w:hAnsi="Times New Roman"/>
          <w:sz w:val="20"/>
          <w:szCs w:val="20"/>
        </w:rPr>
      </w:pPr>
    </w:p>
    <w:p w14:paraId="5A0A0ACD" w14:textId="77777777" w:rsidR="00496875" w:rsidRDefault="00496875" w:rsidP="005A59E9">
      <w:pPr>
        <w:jc w:val="left"/>
        <w:rPr>
          <w:rFonts w:ascii="Times New Roman" w:hAnsi="Times New Roman"/>
          <w:sz w:val="20"/>
          <w:szCs w:val="20"/>
        </w:rPr>
      </w:pPr>
    </w:p>
    <w:p w14:paraId="4E4D3D61" w14:textId="77777777" w:rsidR="00496875" w:rsidRDefault="00496875" w:rsidP="005A59E9">
      <w:pPr>
        <w:jc w:val="left"/>
        <w:rPr>
          <w:rFonts w:ascii="Times New Roman" w:hAnsi="Times New Roman"/>
          <w:sz w:val="20"/>
          <w:szCs w:val="20"/>
        </w:rPr>
      </w:pPr>
    </w:p>
    <w:p w14:paraId="04388317" w14:textId="77777777" w:rsidR="00496875" w:rsidRDefault="00496875" w:rsidP="005A59E9">
      <w:pPr>
        <w:jc w:val="left"/>
        <w:rPr>
          <w:rFonts w:ascii="Times New Roman" w:hAnsi="Times New Roman"/>
          <w:sz w:val="20"/>
          <w:szCs w:val="20"/>
        </w:rPr>
      </w:pPr>
    </w:p>
    <w:p w14:paraId="0709BC76" w14:textId="77777777" w:rsidR="00496875" w:rsidRDefault="00496875" w:rsidP="005A59E9">
      <w:pPr>
        <w:jc w:val="left"/>
        <w:rPr>
          <w:rFonts w:ascii="Times New Roman" w:hAnsi="Times New Roman"/>
          <w:sz w:val="20"/>
          <w:szCs w:val="20"/>
        </w:rPr>
      </w:pPr>
    </w:p>
    <w:p w14:paraId="1B8FA9B3" w14:textId="77777777" w:rsidR="00496875" w:rsidRDefault="00496875" w:rsidP="005A59E9">
      <w:pPr>
        <w:jc w:val="left"/>
        <w:rPr>
          <w:rFonts w:ascii="Times New Roman" w:hAnsi="Times New Roman"/>
          <w:sz w:val="20"/>
          <w:szCs w:val="20"/>
        </w:rPr>
      </w:pPr>
    </w:p>
    <w:p w14:paraId="716DFFA8" w14:textId="77777777" w:rsidR="00496875" w:rsidRDefault="00496875" w:rsidP="005A59E9">
      <w:pPr>
        <w:jc w:val="left"/>
        <w:rPr>
          <w:rFonts w:ascii="Times New Roman" w:hAnsi="Times New Roman"/>
          <w:sz w:val="20"/>
          <w:szCs w:val="20"/>
        </w:rPr>
      </w:pPr>
    </w:p>
    <w:p w14:paraId="23F5C2C0" w14:textId="77777777" w:rsidR="00496875" w:rsidRDefault="00496875" w:rsidP="005A59E9">
      <w:pPr>
        <w:jc w:val="left"/>
        <w:rPr>
          <w:rFonts w:ascii="Times New Roman" w:hAnsi="Times New Roman"/>
          <w:sz w:val="20"/>
          <w:szCs w:val="20"/>
        </w:rPr>
      </w:pPr>
    </w:p>
    <w:p w14:paraId="263CF6D3" w14:textId="77777777" w:rsidR="00496875" w:rsidRDefault="00496875" w:rsidP="005A59E9">
      <w:pPr>
        <w:jc w:val="left"/>
        <w:rPr>
          <w:rFonts w:ascii="Times New Roman" w:hAnsi="Times New Roman"/>
          <w:sz w:val="20"/>
          <w:szCs w:val="20"/>
        </w:rPr>
      </w:pPr>
    </w:p>
    <w:p w14:paraId="0BD5C38A" w14:textId="77777777" w:rsidR="00496875" w:rsidRDefault="00496875" w:rsidP="005A59E9">
      <w:pPr>
        <w:jc w:val="left"/>
        <w:rPr>
          <w:rFonts w:ascii="Times New Roman" w:hAnsi="Times New Roman"/>
          <w:sz w:val="20"/>
          <w:szCs w:val="20"/>
        </w:rPr>
      </w:pPr>
    </w:p>
    <w:p w14:paraId="22BB322B" w14:textId="77777777" w:rsidR="00496875" w:rsidRDefault="00496875" w:rsidP="005A59E9">
      <w:pPr>
        <w:jc w:val="left"/>
        <w:rPr>
          <w:rFonts w:ascii="Times New Roman" w:hAnsi="Times New Roman"/>
          <w:sz w:val="20"/>
          <w:szCs w:val="20"/>
        </w:rPr>
      </w:pPr>
    </w:p>
    <w:p w14:paraId="02805578" w14:textId="77777777" w:rsidR="00496875" w:rsidRDefault="00496875" w:rsidP="005A59E9">
      <w:pPr>
        <w:jc w:val="left"/>
        <w:rPr>
          <w:rFonts w:ascii="Times New Roman" w:hAnsi="Times New Roman"/>
          <w:sz w:val="20"/>
          <w:szCs w:val="20"/>
        </w:rPr>
      </w:pPr>
    </w:p>
    <w:p w14:paraId="105B98C4" w14:textId="77777777" w:rsidR="005A59E9" w:rsidRPr="005A59E9" w:rsidRDefault="005A59E9" w:rsidP="005A59E9">
      <w:pPr>
        <w:jc w:val="left"/>
        <w:rPr>
          <w:rFonts w:ascii="Times New Roman" w:hAnsi="Times New Roman"/>
          <w:sz w:val="20"/>
          <w:szCs w:val="20"/>
        </w:rPr>
      </w:pPr>
      <w:r w:rsidRPr="005A59E9">
        <w:rPr>
          <w:rFonts w:ascii="Times New Roman" w:hAnsi="Times New Roman"/>
          <w:sz w:val="20"/>
          <w:szCs w:val="20"/>
        </w:rPr>
        <w:lastRenderedPageBreak/>
        <w:t>Catafalques :</w:t>
      </w:r>
    </w:p>
    <w:p w14:paraId="25004537" w14:textId="77777777" w:rsidR="005A59E9" w:rsidRPr="005A59E9" w:rsidRDefault="005A59E9" w:rsidP="005A59E9">
      <w:pPr>
        <w:jc w:val="left"/>
        <w:rPr>
          <w:rFonts w:ascii="Times New Roman" w:hAnsi="Times New Roman"/>
          <w:sz w:val="20"/>
          <w:szCs w:val="20"/>
        </w:rPr>
      </w:pPr>
    </w:p>
    <w:p w14:paraId="166C0754" w14:textId="77777777" w:rsidR="005A59E9" w:rsidRPr="005A59E9" w:rsidRDefault="005A59E9" w:rsidP="005A59E9">
      <w:pPr>
        <w:jc w:val="left"/>
        <w:rPr>
          <w:rFonts w:ascii="Times New Roman" w:hAnsi="Times New Roman"/>
          <w:sz w:val="20"/>
          <w:szCs w:val="20"/>
        </w:rPr>
      </w:pPr>
      <w:r w:rsidRPr="005A59E9">
        <w:rPr>
          <w:rFonts w:ascii="Times New Roman" w:hAnsi="Times New Roman"/>
          <w:noProof/>
          <w:sz w:val="20"/>
          <w:szCs w:val="20"/>
        </w:rPr>
        <w:drawing>
          <wp:anchor distT="0" distB="0" distL="114300" distR="114300" simplePos="0" relativeHeight="251658240" behindDoc="1" locked="0" layoutInCell="1" allowOverlap="1" wp14:anchorId="25144B70" wp14:editId="169ECCED">
            <wp:simplePos x="0" y="0"/>
            <wp:positionH relativeFrom="column">
              <wp:posOffset>0</wp:posOffset>
            </wp:positionH>
            <wp:positionV relativeFrom="paragraph">
              <wp:posOffset>160655</wp:posOffset>
            </wp:positionV>
            <wp:extent cx="4428490" cy="3337560"/>
            <wp:effectExtent l="0" t="0" r="0" b="0"/>
            <wp:wrapTight wrapText="bothSides">
              <wp:wrapPolygon edited="0">
                <wp:start x="0" y="0"/>
                <wp:lineTo x="0" y="21452"/>
                <wp:lineTo x="21464" y="21452"/>
                <wp:lineTo x="2146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8490" cy="3337560"/>
                    </a:xfrm>
                    <a:prstGeom prst="rect">
                      <a:avLst/>
                    </a:prstGeom>
                    <a:noFill/>
                  </pic:spPr>
                </pic:pic>
              </a:graphicData>
            </a:graphic>
            <wp14:sizeRelH relativeFrom="margin">
              <wp14:pctWidth>0</wp14:pctWidth>
            </wp14:sizeRelH>
            <wp14:sizeRelV relativeFrom="margin">
              <wp14:pctHeight>0</wp14:pctHeight>
            </wp14:sizeRelV>
          </wp:anchor>
        </w:drawing>
      </w:r>
    </w:p>
    <w:p w14:paraId="4961EBC5" w14:textId="77777777" w:rsidR="005A59E9" w:rsidRPr="005A59E9" w:rsidRDefault="005A59E9" w:rsidP="005A59E9">
      <w:pPr>
        <w:jc w:val="left"/>
        <w:rPr>
          <w:rFonts w:ascii="Times New Roman" w:hAnsi="Times New Roman"/>
          <w:sz w:val="20"/>
          <w:szCs w:val="20"/>
        </w:rPr>
      </w:pPr>
    </w:p>
    <w:p w14:paraId="4C9EBEA1" w14:textId="77777777" w:rsidR="005A59E9" w:rsidRPr="005A59E9" w:rsidRDefault="005A59E9" w:rsidP="005A59E9">
      <w:pPr>
        <w:jc w:val="left"/>
        <w:rPr>
          <w:rFonts w:ascii="Times New Roman" w:hAnsi="Times New Roman"/>
          <w:sz w:val="20"/>
          <w:szCs w:val="20"/>
        </w:rPr>
      </w:pPr>
    </w:p>
    <w:p w14:paraId="01040D12" w14:textId="77777777" w:rsidR="005A59E9" w:rsidRPr="005A59E9" w:rsidRDefault="005A59E9" w:rsidP="005A59E9">
      <w:pPr>
        <w:jc w:val="left"/>
        <w:rPr>
          <w:rFonts w:ascii="Times New Roman" w:hAnsi="Times New Roman"/>
          <w:sz w:val="20"/>
          <w:szCs w:val="20"/>
        </w:rPr>
      </w:pPr>
    </w:p>
    <w:p w14:paraId="13761235" w14:textId="77777777" w:rsidR="005A59E9" w:rsidRPr="005A59E9" w:rsidRDefault="005A59E9" w:rsidP="005A59E9">
      <w:pPr>
        <w:jc w:val="left"/>
        <w:rPr>
          <w:rFonts w:ascii="Times New Roman" w:hAnsi="Times New Roman"/>
          <w:sz w:val="20"/>
          <w:szCs w:val="20"/>
        </w:rPr>
      </w:pPr>
    </w:p>
    <w:p w14:paraId="33A5243E" w14:textId="77777777" w:rsidR="005A59E9" w:rsidRPr="005A59E9" w:rsidRDefault="005A59E9" w:rsidP="005A59E9">
      <w:pPr>
        <w:jc w:val="left"/>
        <w:rPr>
          <w:rFonts w:ascii="Times New Roman" w:hAnsi="Times New Roman"/>
          <w:sz w:val="20"/>
          <w:szCs w:val="20"/>
        </w:rPr>
      </w:pPr>
    </w:p>
    <w:p w14:paraId="616C2B36" w14:textId="77777777" w:rsidR="005A59E9" w:rsidRPr="005A59E9" w:rsidRDefault="005A59E9" w:rsidP="005A59E9">
      <w:pPr>
        <w:jc w:val="left"/>
        <w:rPr>
          <w:rFonts w:ascii="Times New Roman" w:hAnsi="Times New Roman"/>
          <w:sz w:val="20"/>
          <w:szCs w:val="20"/>
        </w:rPr>
      </w:pPr>
    </w:p>
    <w:p w14:paraId="0DC2A028" w14:textId="77777777" w:rsidR="005A59E9" w:rsidRPr="005A59E9" w:rsidRDefault="005A59E9" w:rsidP="005A59E9">
      <w:pPr>
        <w:jc w:val="left"/>
        <w:rPr>
          <w:rFonts w:ascii="Times New Roman" w:hAnsi="Times New Roman"/>
          <w:sz w:val="20"/>
          <w:szCs w:val="20"/>
        </w:rPr>
      </w:pPr>
    </w:p>
    <w:p w14:paraId="7E86DF1E" w14:textId="77777777" w:rsidR="005A59E9" w:rsidRPr="005A59E9" w:rsidRDefault="005A59E9" w:rsidP="005A59E9">
      <w:pPr>
        <w:jc w:val="left"/>
        <w:rPr>
          <w:rFonts w:ascii="Times New Roman" w:hAnsi="Times New Roman"/>
          <w:sz w:val="20"/>
          <w:szCs w:val="20"/>
        </w:rPr>
      </w:pPr>
    </w:p>
    <w:p w14:paraId="172A71C5" w14:textId="77777777" w:rsidR="005A59E9" w:rsidRPr="005A59E9" w:rsidRDefault="005A59E9" w:rsidP="005A59E9">
      <w:pPr>
        <w:jc w:val="left"/>
        <w:rPr>
          <w:rFonts w:ascii="Times New Roman" w:hAnsi="Times New Roman"/>
          <w:sz w:val="20"/>
          <w:szCs w:val="20"/>
        </w:rPr>
      </w:pPr>
    </w:p>
    <w:p w14:paraId="525B4D62" w14:textId="77777777" w:rsidR="005A59E9" w:rsidRPr="005A59E9" w:rsidRDefault="005A59E9" w:rsidP="005A59E9">
      <w:pPr>
        <w:jc w:val="left"/>
        <w:rPr>
          <w:rFonts w:ascii="Times New Roman" w:hAnsi="Times New Roman"/>
          <w:sz w:val="20"/>
          <w:szCs w:val="20"/>
        </w:rPr>
      </w:pPr>
    </w:p>
    <w:p w14:paraId="13B498FF" w14:textId="77777777" w:rsidR="005A59E9" w:rsidRPr="005A59E9" w:rsidRDefault="005A59E9" w:rsidP="005A59E9">
      <w:pPr>
        <w:jc w:val="left"/>
        <w:rPr>
          <w:rFonts w:ascii="Times New Roman" w:hAnsi="Times New Roman"/>
          <w:sz w:val="20"/>
          <w:szCs w:val="20"/>
        </w:rPr>
      </w:pPr>
    </w:p>
    <w:p w14:paraId="125E33CC" w14:textId="77777777" w:rsidR="005A59E9" w:rsidRPr="005A59E9" w:rsidRDefault="005A59E9" w:rsidP="005A59E9">
      <w:pPr>
        <w:jc w:val="left"/>
        <w:rPr>
          <w:rFonts w:ascii="Times New Roman" w:hAnsi="Times New Roman"/>
          <w:sz w:val="20"/>
          <w:szCs w:val="20"/>
        </w:rPr>
      </w:pPr>
    </w:p>
    <w:p w14:paraId="42F5E5B0" w14:textId="77777777" w:rsidR="005A59E9" w:rsidRPr="005A59E9" w:rsidRDefault="005A59E9" w:rsidP="005A59E9">
      <w:pPr>
        <w:jc w:val="left"/>
        <w:rPr>
          <w:rFonts w:ascii="Times New Roman" w:hAnsi="Times New Roman"/>
          <w:sz w:val="20"/>
          <w:szCs w:val="20"/>
        </w:rPr>
      </w:pPr>
    </w:p>
    <w:p w14:paraId="6E795CD6" w14:textId="77777777" w:rsidR="005A59E9" w:rsidRPr="005A59E9" w:rsidRDefault="005A59E9" w:rsidP="005A59E9">
      <w:pPr>
        <w:jc w:val="left"/>
        <w:rPr>
          <w:rFonts w:ascii="Times New Roman" w:hAnsi="Times New Roman"/>
          <w:sz w:val="20"/>
          <w:szCs w:val="20"/>
        </w:rPr>
      </w:pPr>
    </w:p>
    <w:p w14:paraId="40EB7E05" w14:textId="77777777" w:rsidR="005A59E9" w:rsidRPr="005A59E9" w:rsidRDefault="005A59E9" w:rsidP="005A59E9">
      <w:pPr>
        <w:jc w:val="left"/>
        <w:rPr>
          <w:rFonts w:ascii="Times New Roman" w:hAnsi="Times New Roman"/>
          <w:sz w:val="20"/>
          <w:szCs w:val="20"/>
        </w:rPr>
      </w:pPr>
    </w:p>
    <w:p w14:paraId="254E5E75" w14:textId="77777777" w:rsidR="005A59E9" w:rsidRPr="005A59E9" w:rsidRDefault="005A59E9" w:rsidP="005A59E9">
      <w:pPr>
        <w:jc w:val="left"/>
        <w:rPr>
          <w:rFonts w:ascii="Times New Roman" w:hAnsi="Times New Roman"/>
          <w:sz w:val="20"/>
          <w:szCs w:val="20"/>
        </w:rPr>
      </w:pPr>
    </w:p>
    <w:p w14:paraId="4A8A83C6" w14:textId="77777777" w:rsidR="005A59E9" w:rsidRPr="005A59E9" w:rsidRDefault="005A59E9" w:rsidP="005A59E9">
      <w:pPr>
        <w:jc w:val="left"/>
        <w:rPr>
          <w:rFonts w:ascii="Times New Roman" w:hAnsi="Times New Roman"/>
          <w:sz w:val="20"/>
          <w:szCs w:val="20"/>
        </w:rPr>
      </w:pPr>
    </w:p>
    <w:p w14:paraId="3EEE1188" w14:textId="77777777" w:rsidR="005A59E9" w:rsidRPr="005A59E9" w:rsidRDefault="005A59E9" w:rsidP="005A59E9">
      <w:pPr>
        <w:jc w:val="left"/>
        <w:rPr>
          <w:rFonts w:ascii="Times New Roman" w:hAnsi="Times New Roman"/>
          <w:sz w:val="20"/>
          <w:szCs w:val="20"/>
        </w:rPr>
      </w:pPr>
    </w:p>
    <w:p w14:paraId="4E2356A3" w14:textId="77777777" w:rsidR="005A59E9" w:rsidRPr="005A59E9" w:rsidRDefault="005A59E9" w:rsidP="005A59E9">
      <w:pPr>
        <w:jc w:val="left"/>
        <w:rPr>
          <w:rFonts w:ascii="Times New Roman" w:hAnsi="Times New Roman"/>
          <w:sz w:val="20"/>
          <w:szCs w:val="20"/>
        </w:rPr>
      </w:pPr>
    </w:p>
    <w:p w14:paraId="3CBF88F3" w14:textId="77777777" w:rsidR="005A59E9" w:rsidRPr="005A59E9" w:rsidRDefault="005A59E9" w:rsidP="005A59E9">
      <w:pPr>
        <w:jc w:val="left"/>
        <w:rPr>
          <w:rFonts w:ascii="Times New Roman" w:hAnsi="Times New Roman"/>
          <w:sz w:val="20"/>
          <w:szCs w:val="20"/>
        </w:rPr>
      </w:pPr>
    </w:p>
    <w:p w14:paraId="1AF5B509" w14:textId="77777777" w:rsidR="005A59E9" w:rsidRPr="005A59E9" w:rsidRDefault="005A59E9" w:rsidP="005A59E9">
      <w:pPr>
        <w:jc w:val="left"/>
        <w:rPr>
          <w:rFonts w:ascii="Times New Roman" w:hAnsi="Times New Roman"/>
          <w:sz w:val="20"/>
          <w:szCs w:val="20"/>
        </w:rPr>
      </w:pPr>
    </w:p>
    <w:p w14:paraId="5F2EDD2E" w14:textId="77777777" w:rsidR="005A59E9" w:rsidRPr="005A59E9" w:rsidRDefault="005A59E9" w:rsidP="005A59E9">
      <w:pPr>
        <w:jc w:val="left"/>
        <w:rPr>
          <w:rFonts w:ascii="Times New Roman" w:hAnsi="Times New Roman"/>
          <w:sz w:val="20"/>
          <w:szCs w:val="20"/>
        </w:rPr>
      </w:pPr>
    </w:p>
    <w:p w14:paraId="23E80F6B" w14:textId="77777777" w:rsidR="005A59E9" w:rsidRPr="005A59E9" w:rsidRDefault="005A59E9" w:rsidP="005A59E9">
      <w:pPr>
        <w:jc w:val="left"/>
        <w:rPr>
          <w:rFonts w:ascii="Times New Roman" w:hAnsi="Times New Roman"/>
          <w:sz w:val="20"/>
          <w:szCs w:val="20"/>
        </w:rPr>
      </w:pPr>
    </w:p>
    <w:p w14:paraId="18A45051" w14:textId="77777777" w:rsidR="005A59E9" w:rsidRPr="005A59E9" w:rsidRDefault="005A59E9" w:rsidP="005A59E9">
      <w:pPr>
        <w:jc w:val="left"/>
        <w:rPr>
          <w:rFonts w:ascii="Times New Roman" w:hAnsi="Times New Roman"/>
          <w:sz w:val="20"/>
          <w:szCs w:val="20"/>
        </w:rPr>
      </w:pPr>
    </w:p>
    <w:p w14:paraId="72AA0219" w14:textId="77777777" w:rsidR="005A59E9" w:rsidRPr="005A59E9" w:rsidRDefault="005A59E9" w:rsidP="005A59E9">
      <w:pPr>
        <w:jc w:val="left"/>
        <w:rPr>
          <w:rFonts w:ascii="Times New Roman" w:hAnsi="Times New Roman"/>
          <w:sz w:val="20"/>
          <w:szCs w:val="20"/>
        </w:rPr>
      </w:pPr>
    </w:p>
    <w:p w14:paraId="7F1F6EA4" w14:textId="77777777" w:rsidR="005A59E9" w:rsidRPr="005A59E9" w:rsidRDefault="005A59E9" w:rsidP="005A59E9">
      <w:pPr>
        <w:jc w:val="left"/>
        <w:rPr>
          <w:rFonts w:ascii="Times New Roman" w:hAnsi="Times New Roman"/>
          <w:sz w:val="20"/>
          <w:szCs w:val="20"/>
        </w:rPr>
      </w:pPr>
    </w:p>
    <w:p w14:paraId="73E489A1" w14:textId="77777777" w:rsidR="005A59E9" w:rsidRPr="005A59E9" w:rsidRDefault="005A59E9" w:rsidP="005A59E9">
      <w:pPr>
        <w:jc w:val="left"/>
        <w:rPr>
          <w:rFonts w:ascii="Times New Roman" w:hAnsi="Times New Roman"/>
          <w:sz w:val="20"/>
          <w:szCs w:val="20"/>
        </w:rPr>
      </w:pPr>
      <w:r w:rsidRPr="005A59E9">
        <w:rPr>
          <w:rFonts w:ascii="Times New Roman" w:hAnsi="Times New Roman"/>
          <w:sz w:val="20"/>
          <w:szCs w:val="20"/>
        </w:rPr>
        <w:t>Portails :</w:t>
      </w:r>
    </w:p>
    <w:p w14:paraId="2180CFAA" w14:textId="77777777" w:rsidR="005A59E9" w:rsidRPr="005A59E9" w:rsidRDefault="005A59E9" w:rsidP="005A59E9">
      <w:pPr>
        <w:jc w:val="left"/>
        <w:rPr>
          <w:rFonts w:ascii="Times New Roman" w:hAnsi="Times New Roman"/>
          <w:sz w:val="20"/>
          <w:szCs w:val="20"/>
        </w:rPr>
      </w:pPr>
      <w:r w:rsidRPr="005A59E9">
        <w:rPr>
          <w:rFonts w:ascii="Times New Roman" w:hAnsi="Times New Roman"/>
          <w:noProof/>
          <w:sz w:val="20"/>
          <w:szCs w:val="20"/>
        </w:rPr>
        <w:drawing>
          <wp:anchor distT="0" distB="0" distL="114300" distR="114300" simplePos="0" relativeHeight="251659264" behindDoc="1" locked="0" layoutInCell="1" allowOverlap="1" wp14:anchorId="65284D47" wp14:editId="56298AF0">
            <wp:simplePos x="0" y="0"/>
            <wp:positionH relativeFrom="column">
              <wp:posOffset>0</wp:posOffset>
            </wp:positionH>
            <wp:positionV relativeFrom="paragraph">
              <wp:posOffset>160655</wp:posOffset>
            </wp:positionV>
            <wp:extent cx="4402455" cy="2777490"/>
            <wp:effectExtent l="0" t="0" r="0" b="3810"/>
            <wp:wrapTight wrapText="bothSides">
              <wp:wrapPolygon edited="0">
                <wp:start x="0" y="0"/>
                <wp:lineTo x="0" y="21481"/>
                <wp:lineTo x="21497" y="21481"/>
                <wp:lineTo x="21497" y="0"/>
                <wp:lineTo x="0" y="0"/>
              </wp:wrapPolygon>
            </wp:wrapTight>
            <wp:docPr id="3" name="Image 3" descr="Une image contenant texte, bâtiment,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 bâtiment, vieux&#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l="7848" t="12207" r="10628" b="19199"/>
                    <a:stretch>
                      <a:fillRect/>
                    </a:stretch>
                  </pic:blipFill>
                  <pic:spPr bwMode="auto">
                    <a:xfrm>
                      <a:off x="0" y="0"/>
                      <a:ext cx="4402455" cy="2777490"/>
                    </a:xfrm>
                    <a:prstGeom prst="rect">
                      <a:avLst/>
                    </a:prstGeom>
                    <a:noFill/>
                  </pic:spPr>
                </pic:pic>
              </a:graphicData>
            </a:graphic>
            <wp14:sizeRelH relativeFrom="margin">
              <wp14:pctWidth>0</wp14:pctWidth>
            </wp14:sizeRelH>
            <wp14:sizeRelV relativeFrom="margin">
              <wp14:pctHeight>0</wp14:pctHeight>
            </wp14:sizeRelV>
          </wp:anchor>
        </w:drawing>
      </w:r>
    </w:p>
    <w:p w14:paraId="65AB6F11" w14:textId="77777777" w:rsidR="005A59E9" w:rsidRDefault="005A59E9" w:rsidP="005A59E9">
      <w:pPr>
        <w:rPr>
          <w:sz w:val="20"/>
          <w:szCs w:val="20"/>
        </w:rPr>
      </w:pPr>
    </w:p>
    <w:p w14:paraId="7CD0D5DC" w14:textId="77777777" w:rsidR="005A59E9" w:rsidRDefault="005A59E9" w:rsidP="005A59E9">
      <w:pPr>
        <w:rPr>
          <w:sz w:val="20"/>
          <w:szCs w:val="20"/>
        </w:rPr>
      </w:pPr>
    </w:p>
    <w:p w14:paraId="72A94E55" w14:textId="77777777" w:rsidR="005A59E9" w:rsidRDefault="005A59E9" w:rsidP="005A59E9">
      <w:pPr>
        <w:rPr>
          <w:sz w:val="20"/>
          <w:szCs w:val="20"/>
        </w:rPr>
      </w:pPr>
    </w:p>
    <w:p w14:paraId="642F04FE" w14:textId="77777777" w:rsidR="005A59E9" w:rsidRDefault="005A59E9" w:rsidP="005A59E9">
      <w:pPr>
        <w:rPr>
          <w:sz w:val="20"/>
          <w:szCs w:val="20"/>
        </w:rPr>
      </w:pPr>
    </w:p>
    <w:p w14:paraId="7ADF76B0" w14:textId="77777777" w:rsidR="005A59E9" w:rsidRDefault="005A59E9" w:rsidP="005A59E9">
      <w:pPr>
        <w:rPr>
          <w:sz w:val="20"/>
          <w:szCs w:val="20"/>
        </w:rPr>
      </w:pPr>
    </w:p>
    <w:p w14:paraId="69D925C9" w14:textId="77777777" w:rsidR="005A59E9" w:rsidRDefault="005A59E9" w:rsidP="005A59E9">
      <w:pPr>
        <w:rPr>
          <w:sz w:val="20"/>
          <w:szCs w:val="20"/>
        </w:rPr>
      </w:pPr>
    </w:p>
    <w:p w14:paraId="4A8B86EE" w14:textId="77777777" w:rsidR="005A59E9" w:rsidRDefault="005A59E9" w:rsidP="005A59E9">
      <w:pPr>
        <w:rPr>
          <w:sz w:val="20"/>
          <w:szCs w:val="20"/>
        </w:rPr>
      </w:pPr>
    </w:p>
    <w:p w14:paraId="65C43C6A" w14:textId="77777777" w:rsidR="005A59E9" w:rsidRDefault="005A59E9" w:rsidP="005A59E9">
      <w:pPr>
        <w:rPr>
          <w:sz w:val="20"/>
          <w:szCs w:val="20"/>
        </w:rPr>
      </w:pPr>
    </w:p>
    <w:p w14:paraId="344E9430" w14:textId="77777777" w:rsidR="005A59E9" w:rsidRDefault="005A59E9" w:rsidP="005A59E9">
      <w:pPr>
        <w:rPr>
          <w:sz w:val="20"/>
          <w:szCs w:val="20"/>
        </w:rPr>
      </w:pPr>
    </w:p>
    <w:p w14:paraId="4597BB92" w14:textId="77777777" w:rsidR="005A59E9" w:rsidRDefault="005A59E9" w:rsidP="005A59E9">
      <w:pPr>
        <w:rPr>
          <w:sz w:val="20"/>
          <w:szCs w:val="20"/>
        </w:rPr>
      </w:pPr>
    </w:p>
    <w:p w14:paraId="6903AA7A" w14:textId="77777777" w:rsidR="005A59E9" w:rsidRDefault="005A59E9" w:rsidP="005A59E9">
      <w:pPr>
        <w:rPr>
          <w:sz w:val="20"/>
          <w:szCs w:val="20"/>
        </w:rPr>
      </w:pPr>
    </w:p>
    <w:p w14:paraId="4CAFED60" w14:textId="77777777" w:rsidR="005A59E9" w:rsidRDefault="005A59E9" w:rsidP="005A59E9">
      <w:pPr>
        <w:rPr>
          <w:sz w:val="20"/>
          <w:szCs w:val="20"/>
        </w:rPr>
      </w:pPr>
    </w:p>
    <w:p w14:paraId="14325AAA" w14:textId="77777777" w:rsidR="005A59E9" w:rsidRDefault="005A59E9" w:rsidP="005A59E9">
      <w:pPr>
        <w:rPr>
          <w:sz w:val="20"/>
          <w:szCs w:val="20"/>
        </w:rPr>
      </w:pPr>
    </w:p>
    <w:p w14:paraId="6ACCD69D" w14:textId="77777777" w:rsidR="005A59E9" w:rsidRDefault="005A59E9" w:rsidP="005A59E9">
      <w:pPr>
        <w:rPr>
          <w:sz w:val="20"/>
          <w:szCs w:val="20"/>
        </w:rPr>
      </w:pPr>
    </w:p>
    <w:p w14:paraId="4F524157" w14:textId="77777777" w:rsidR="005A59E9" w:rsidRDefault="005A59E9" w:rsidP="005A59E9">
      <w:pPr>
        <w:rPr>
          <w:sz w:val="20"/>
          <w:szCs w:val="20"/>
        </w:rPr>
      </w:pPr>
    </w:p>
    <w:p w14:paraId="21A18DA2" w14:textId="77777777" w:rsidR="005A59E9" w:rsidRDefault="005A59E9" w:rsidP="005A59E9">
      <w:pPr>
        <w:rPr>
          <w:sz w:val="20"/>
          <w:szCs w:val="20"/>
        </w:rPr>
      </w:pPr>
    </w:p>
    <w:p w14:paraId="4DC35053" w14:textId="77777777" w:rsidR="005A59E9" w:rsidRDefault="005A59E9" w:rsidP="005A59E9">
      <w:pPr>
        <w:rPr>
          <w:sz w:val="20"/>
          <w:szCs w:val="20"/>
        </w:rPr>
      </w:pPr>
    </w:p>
    <w:p w14:paraId="58ED5D23" w14:textId="77777777" w:rsidR="005A59E9" w:rsidRDefault="005A59E9" w:rsidP="005A59E9">
      <w:pPr>
        <w:rPr>
          <w:sz w:val="20"/>
          <w:szCs w:val="20"/>
        </w:rPr>
      </w:pPr>
    </w:p>
    <w:p w14:paraId="251AF184" w14:textId="77777777" w:rsidR="005A59E9" w:rsidRDefault="005A59E9" w:rsidP="005A59E9">
      <w:pPr>
        <w:rPr>
          <w:sz w:val="20"/>
          <w:szCs w:val="20"/>
        </w:rPr>
      </w:pPr>
    </w:p>
    <w:p w14:paraId="15B01AB7" w14:textId="77777777" w:rsidR="005A59E9" w:rsidRDefault="005A59E9" w:rsidP="005A59E9">
      <w:pPr>
        <w:rPr>
          <w:sz w:val="20"/>
          <w:szCs w:val="20"/>
        </w:rPr>
      </w:pPr>
    </w:p>
    <w:p w14:paraId="1FFD9614" w14:textId="77777777" w:rsidR="000E53AF" w:rsidRDefault="000E53AF" w:rsidP="001E77CA">
      <w:pPr>
        <w:spacing w:line="240" w:lineRule="auto"/>
        <w:rPr>
          <w:rFonts w:ascii="Times New Roman" w:hAnsi="Times New Roman"/>
          <w:sz w:val="20"/>
          <w:szCs w:val="20"/>
        </w:rPr>
      </w:pPr>
      <w:r>
        <w:rPr>
          <w:rFonts w:ascii="Times New Roman" w:hAnsi="Times New Roman"/>
          <w:sz w:val="20"/>
          <w:szCs w:val="20"/>
        </w:rPr>
        <w:br w:type="page"/>
      </w:r>
    </w:p>
    <w:p w14:paraId="5E734E90" w14:textId="77777777" w:rsidR="000E53AF" w:rsidRPr="009F6CB8" w:rsidRDefault="000E53AF" w:rsidP="000E53AF">
      <w:pPr>
        <w:jc w:val="center"/>
        <w:rPr>
          <w:rFonts w:ascii="Times New Roman" w:hAnsi="Times New Roman"/>
          <w:b/>
          <w:bCs/>
          <w:sz w:val="20"/>
          <w:szCs w:val="20"/>
        </w:rPr>
      </w:pPr>
      <w:r w:rsidRPr="009F6CB8">
        <w:rPr>
          <w:rFonts w:ascii="Times New Roman" w:hAnsi="Times New Roman"/>
          <w:b/>
          <w:bCs/>
          <w:sz w:val="20"/>
          <w:szCs w:val="20"/>
        </w:rPr>
        <w:lastRenderedPageBreak/>
        <w:t xml:space="preserve">Un </w:t>
      </w:r>
      <w:r>
        <w:rPr>
          <w:rFonts w:ascii="Times New Roman" w:hAnsi="Times New Roman"/>
          <w:b/>
          <w:bCs/>
          <w:sz w:val="20"/>
          <w:szCs w:val="20"/>
        </w:rPr>
        <w:t>modèle</w:t>
      </w:r>
      <w:r w:rsidRPr="009F6CB8">
        <w:rPr>
          <w:rFonts w:ascii="Times New Roman" w:hAnsi="Times New Roman"/>
          <w:b/>
          <w:bCs/>
          <w:sz w:val="20"/>
          <w:szCs w:val="20"/>
        </w:rPr>
        <w:t xml:space="preserve"> britannique</w:t>
      </w:r>
      <w:r>
        <w:rPr>
          <w:rFonts w:ascii="Times New Roman" w:hAnsi="Times New Roman"/>
          <w:b/>
          <w:bCs/>
          <w:sz w:val="20"/>
          <w:szCs w:val="20"/>
        </w:rPr>
        <w:t xml:space="preserve"> des attitudes devant la mort</w:t>
      </w:r>
      <w:r w:rsidRPr="009F6CB8">
        <w:rPr>
          <w:rFonts w:ascii="Times New Roman" w:hAnsi="Times New Roman"/>
          <w:b/>
          <w:bCs/>
          <w:sz w:val="20"/>
          <w:szCs w:val="20"/>
        </w:rPr>
        <w:t> ?</w:t>
      </w:r>
    </w:p>
    <w:p w14:paraId="0899C73A" w14:textId="77777777" w:rsidR="000E53AF" w:rsidRPr="009F6CB8" w:rsidRDefault="000E53AF" w:rsidP="000E53AF">
      <w:pPr>
        <w:rPr>
          <w:rFonts w:ascii="Times New Roman" w:hAnsi="Times New Roman"/>
          <w:sz w:val="20"/>
          <w:szCs w:val="20"/>
        </w:rPr>
      </w:pPr>
    </w:p>
    <w:p w14:paraId="0E7CB88A"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 Les données recueillies suffisent à démontrer que, dans sa majorité, la population britannique se trouve aujourd’hui dépourvue de toute ligne de conduite dans l’abord de la mort et du deuil. Face à l’épreuve, elle se trouve démunie de tout secours de la part de la société et sans moyens de surmonter l’affliction et le deuil qui sont les inévitables réactions des êtres humains à la mort d’un être cher. […]</w:t>
      </w:r>
    </w:p>
    <w:p w14:paraId="61C05003"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Les résultats prouvent aussi qu’une minorité seulement de Britanniques sont d’actifs pratiquants de leur religion – moins d’un tiers assistent à un service religieux une fois par mois, et moins de la moitié font une prière quotidienne. […]</w:t>
      </w:r>
    </w:p>
    <w:p w14:paraId="29CA60AD"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Pour autant que je sache, cette situation, qui laisse la majorité de la population sans ligne de conduite ni rituel pour faire face aux crises inhérentes à la condition biologique de l’homme, est sans équivalent tant dans les sociétés anciennes que dans les sociétés actuelles non judéo-chrétiennes. […]</w:t>
      </w:r>
    </w:p>
    <w:p w14:paraId="53EBA1AA"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 xml:space="preserve">De nos jours, la mort et l’affliction sont traitées avec à peu près la même pudibonderie que l’étaient les pulsions sexuelles il y a un siècle. On soutenait alors que les femmes bien, les dames, n’avaient pas de pulsions sexuelles et que les hommes bien, les </w:t>
      </w:r>
      <w:r w:rsidRPr="009F6CB8">
        <w:rPr>
          <w:rFonts w:ascii="Times New Roman" w:hAnsi="Times New Roman"/>
          <w:i/>
          <w:iCs/>
          <w:sz w:val="20"/>
          <w:szCs w:val="20"/>
        </w:rPr>
        <w:t>gentlemen</w:t>
      </w:r>
      <w:r w:rsidRPr="009F6CB8">
        <w:rPr>
          <w:rFonts w:ascii="Times New Roman" w:hAnsi="Times New Roman"/>
          <w:sz w:val="20"/>
          <w:szCs w:val="20"/>
        </w:rPr>
        <w:t>, pouvaient totalement contrôler les leurs par la force de leur volonté ou de leur caractère. Aujourd’hui, il semblerait que l’on croie, tout aussi sincèrement, que les hommes et les femmes sensées et raisonnables peuvent totalement contrôler leur affliction par la force de leur volonté ou de leur caractère de façon à ne pas en donner de manifestation publique, quitte à se laisser aller dans la mesure du possible en privé, aussi furtivement que si c’était un équivalent de masturbation. […]</w:t>
      </w:r>
    </w:p>
    <w:p w14:paraId="11A5E847"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[En matière de deuil], tout se passe comme si la plupart des adultes endeuillés passaient par trois étapes : une courte période de choc, qui généralement débute avec la survenue de la mort et s’achève avec la disparition du corps ; une période d’intense douleur accompagnée d’un désintérêt général et d’indifférence au monde extérieur, et de troubles physiologiques tels un sommeil perturbé et non récupérateur (souvent peuplé de rêves relativement précis), une perte d’appétit et de poids ; et une dernière période où l’équilibre homéostatique se rétablit – récupération du sommeil et du poids et renouveau d’intérêt à l’égard du monde extérieur.</w:t>
      </w:r>
    </w:p>
    <w:p w14:paraId="24CCA664"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Il semble exister une certaine reconnaissance sociale de la première phase de deuil. La parentèle entoure les endeuillés dans les réunions de famille, les cérémonies religieuses et, souvent, au cours des repas rituels en Grande-Bretagne […]. Passés les obsèques et, éventuellement, le repas d’après les funérailles, le rituel qui pouvait réconforter les endeuillés est aussi terminé, et on les laisse affronter la période d’intense douleur sans autre soutien ni secours.</w:t>
      </w:r>
    </w:p>
    <w:p w14:paraId="5A17FF73"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Les coutumes traditionnelles […] imposent généralement avec force détails le costume et le comportement appropriés aux endeuillés pour la période de douleur intense qui suit les obsèques. Elles imposent aussi assez formellement un protocole à tous ceux qui sont en contact avec les endeuillés. Elles déterminent habituellement le nombre de jours, de semaines, de mois ou d’années pendant lesquels ce comportement doit être adopté. C’est ce modèle que j’ai qualifié de « deuil limité dans le temps » ; […]</w:t>
      </w:r>
    </w:p>
    <w:p w14:paraId="65AFD6A9"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la réaction la plus typique pour la majorité des Britanniques aujourd’hui (et, pour autant que j’en aie fait l’expérience, dans tous les pays anglophones de tradition protestante) est le déni de la douleur, dans la période qui suit les obsèques. Il est certain que la reconnaissance sociale du deuil a pratiquement disparu : nous ne savons plus reconnaître une personne endeuillée – une cravate noire peut être portée par souci d’élégance, sans aucune intention symbolique – et sommes désorientés et gênés pour peu qu’on rencontre quelqu’un dont on sait qu’il est en deuil. S’abandonner à son affliction est considérée comme morbide, malsain, démoralisant – ce sont tout à fait les mêmes termes qui sont utilisés pour réprouver le deuil que ceux qu’on employait pour réprouver le sexe. […]</w:t>
      </w:r>
    </w:p>
    <w:p w14:paraId="25CB0336"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Bien des gens, évidemment, peuvent s’adapter à cette attitude sociale en la traitant comme s’il s’agissait d’une extension du règne de la pudeur : on fait son deuil en privé comme on se déshabille ou on se laisser aller dans l’intimité, de manière à ne pas choquer les autres. […]</w:t>
      </w:r>
    </w:p>
    <w:p w14:paraId="78470515"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Si quelqu’un peut dénier son propre chagrin, ô combien plus facile ce lui sera de dénier l’affliction des autres. Ce déni social du deuil pourrait bien avoir pour résultat une majoration importante de l’indifférence des gens les uns envers les autres. […] les moyens nouveaux de communication médiatique ont tellement élargi l’univers dans lequel la plupart des gens vivent que l’égocentrisme dévorant est peut-être bien la seule réaction possible au nombre toujours croissant de malheurs et de cruautés dont tout un chacun se trouve informé de nos jours. Quoi qu’il en soit, j’aurais tendance à considérer que la résignation, voire la complaisance, avec laquelle le tribut quotidien de morts et de mutilations dû aux accidents de voiture est accepté, signe une progression de l’indifférence qui est, en tout cas, contemporaine du déclin de la reconnaissance sociale du deuil.</w:t>
      </w:r>
    </w:p>
    <w:p w14:paraId="579AE7FF"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 xml:space="preserve">L’autre aspect de cette indifférence – son revers – est l’excessive pruderie concernant les références à la mort, la douleur ou le deuil, comme si ces expériences humaines étaient obscènes, de sorte que toute mention ou représentation qui s’y réfère est jugée désagréable pour l’adulte et même dangereuse pour la jeunesse. Les constantes récriminations contre les scènes de « violence » sur les écrans de télévision et de cinéma sont aussi symptomatiques que la place prépondérante faite à la mort et aux sévices dans les « films d’horreur », dans les </w:t>
      </w:r>
      <w:r w:rsidRPr="009F6CB8">
        <w:rPr>
          <w:rFonts w:ascii="Times New Roman" w:hAnsi="Times New Roman"/>
          <w:sz w:val="20"/>
          <w:szCs w:val="20"/>
        </w:rPr>
        <w:lastRenderedPageBreak/>
        <w:t>« bandes dessinées d’épouvante » et dans l’interminable avalanche de livres de poche mal écrits sur les horreurs de la guerre et les camps de concentration. La « pornographie de la mort », qu’elle soit furtivement dégustée ou condamnée avec l’autosatisfaction du pharisien, est la preuve de l’irrationalité du déni du deuil et de l’attitude actuelle face à la mort.</w:t>
      </w:r>
    </w:p>
    <w:p w14:paraId="6CC2F4BB" w14:textId="77777777" w:rsidR="000E53AF" w:rsidRPr="009F6CB8" w:rsidRDefault="000E53AF" w:rsidP="000E53AF">
      <w:pPr>
        <w:rPr>
          <w:rFonts w:ascii="Times New Roman" w:hAnsi="Times New Roman"/>
          <w:sz w:val="20"/>
          <w:szCs w:val="20"/>
        </w:rPr>
      </w:pPr>
      <w:r w:rsidRPr="009F6CB8">
        <w:rPr>
          <w:rFonts w:ascii="Times New Roman" w:hAnsi="Times New Roman"/>
          <w:sz w:val="20"/>
          <w:szCs w:val="20"/>
        </w:rPr>
        <w:t>Une autre obsession contemporaine, que j’aurais tendance à mettre en relation avec le déni du deuil, est la peur excessive de mourir. Cette angoisse s’exprime publiquement chez les militants anti-nucléaires et, plus récemment, dans les campagnes anti-tabac […] »</w:t>
      </w:r>
    </w:p>
    <w:p w14:paraId="0E3394A3" w14:textId="77777777" w:rsidR="000E53AF" w:rsidRPr="009F6CB8" w:rsidRDefault="000E53AF" w:rsidP="000E53AF">
      <w:pPr>
        <w:rPr>
          <w:rFonts w:ascii="Times New Roman" w:hAnsi="Times New Roman"/>
          <w:sz w:val="20"/>
          <w:szCs w:val="20"/>
        </w:rPr>
      </w:pPr>
    </w:p>
    <w:p w14:paraId="6BD9D780" w14:textId="77777777" w:rsidR="0016482F" w:rsidRPr="001E77CA" w:rsidRDefault="000E53AF" w:rsidP="000E53AF">
      <w:pPr>
        <w:spacing w:line="240" w:lineRule="auto"/>
        <w:rPr>
          <w:rFonts w:ascii="Times New Roman" w:hAnsi="Times New Roman"/>
          <w:sz w:val="20"/>
          <w:szCs w:val="20"/>
        </w:rPr>
      </w:pPr>
      <w:r w:rsidRPr="009F6CB8">
        <w:rPr>
          <w:rFonts w:ascii="Times New Roman" w:hAnsi="Times New Roman"/>
          <w:sz w:val="20"/>
          <w:szCs w:val="20"/>
        </w:rPr>
        <w:t xml:space="preserve">Geoffrey </w:t>
      </w:r>
      <w:proofErr w:type="spellStart"/>
      <w:r w:rsidRPr="009F6CB8">
        <w:rPr>
          <w:rFonts w:ascii="Times New Roman" w:hAnsi="Times New Roman"/>
          <w:sz w:val="20"/>
          <w:szCs w:val="20"/>
        </w:rPr>
        <w:t>Gorer</w:t>
      </w:r>
      <w:proofErr w:type="spellEnd"/>
      <w:r w:rsidRPr="009F6CB8">
        <w:rPr>
          <w:rFonts w:ascii="Times New Roman" w:hAnsi="Times New Roman"/>
          <w:sz w:val="20"/>
          <w:szCs w:val="20"/>
        </w:rPr>
        <w:t xml:space="preserve">, </w:t>
      </w:r>
      <w:proofErr w:type="spellStart"/>
      <w:r w:rsidRPr="009F6CB8">
        <w:rPr>
          <w:rFonts w:ascii="Times New Roman" w:hAnsi="Times New Roman"/>
          <w:i/>
          <w:iCs/>
          <w:sz w:val="20"/>
          <w:szCs w:val="20"/>
        </w:rPr>
        <w:t>Death</w:t>
      </w:r>
      <w:proofErr w:type="spellEnd"/>
      <w:r w:rsidRPr="009F6CB8">
        <w:rPr>
          <w:rFonts w:ascii="Times New Roman" w:hAnsi="Times New Roman"/>
          <w:i/>
          <w:iCs/>
          <w:sz w:val="20"/>
          <w:szCs w:val="20"/>
        </w:rPr>
        <w:t xml:space="preserve">, Grief and </w:t>
      </w:r>
      <w:proofErr w:type="spellStart"/>
      <w:r w:rsidRPr="009F6CB8">
        <w:rPr>
          <w:rFonts w:ascii="Times New Roman" w:hAnsi="Times New Roman"/>
          <w:i/>
          <w:iCs/>
          <w:sz w:val="20"/>
          <w:szCs w:val="20"/>
        </w:rPr>
        <w:t>Mourning</w:t>
      </w:r>
      <w:proofErr w:type="spellEnd"/>
      <w:r w:rsidRPr="009F6CB8">
        <w:rPr>
          <w:rFonts w:ascii="Times New Roman" w:hAnsi="Times New Roman"/>
          <w:i/>
          <w:iCs/>
          <w:sz w:val="20"/>
          <w:szCs w:val="20"/>
        </w:rPr>
        <w:t xml:space="preserve"> in </w:t>
      </w:r>
      <w:proofErr w:type="spellStart"/>
      <w:r w:rsidRPr="009F6CB8">
        <w:rPr>
          <w:rFonts w:ascii="Times New Roman" w:hAnsi="Times New Roman"/>
          <w:i/>
          <w:iCs/>
          <w:sz w:val="20"/>
          <w:szCs w:val="20"/>
        </w:rPr>
        <w:t>Contemporary</w:t>
      </w:r>
      <w:proofErr w:type="spellEnd"/>
      <w:r w:rsidRPr="009F6CB8">
        <w:rPr>
          <w:rFonts w:ascii="Times New Roman" w:hAnsi="Times New Roman"/>
          <w:i/>
          <w:iCs/>
          <w:sz w:val="20"/>
          <w:szCs w:val="20"/>
        </w:rPr>
        <w:t xml:space="preserve"> </w:t>
      </w:r>
      <w:proofErr w:type="spellStart"/>
      <w:r w:rsidRPr="009F6CB8">
        <w:rPr>
          <w:rFonts w:ascii="Times New Roman" w:hAnsi="Times New Roman"/>
          <w:i/>
          <w:iCs/>
          <w:sz w:val="20"/>
          <w:szCs w:val="20"/>
        </w:rPr>
        <w:t>Britain</w:t>
      </w:r>
      <w:proofErr w:type="spellEnd"/>
      <w:r w:rsidRPr="009F6CB8">
        <w:rPr>
          <w:rFonts w:ascii="Times New Roman" w:hAnsi="Times New Roman"/>
          <w:i/>
          <w:sz w:val="20"/>
          <w:szCs w:val="20"/>
        </w:rPr>
        <w:t xml:space="preserve"> </w:t>
      </w:r>
      <w:r w:rsidRPr="009F6CB8">
        <w:rPr>
          <w:rFonts w:ascii="Times New Roman" w:hAnsi="Times New Roman"/>
          <w:iCs/>
          <w:sz w:val="20"/>
          <w:szCs w:val="20"/>
        </w:rPr>
        <w:t xml:space="preserve">(1965), traduction française : </w:t>
      </w:r>
      <w:r w:rsidRPr="009F6CB8">
        <w:rPr>
          <w:rFonts w:ascii="Times New Roman" w:hAnsi="Times New Roman"/>
          <w:i/>
          <w:sz w:val="20"/>
          <w:szCs w:val="20"/>
        </w:rPr>
        <w:t xml:space="preserve">Ni </w:t>
      </w:r>
      <w:proofErr w:type="spellStart"/>
      <w:r w:rsidRPr="009F6CB8">
        <w:rPr>
          <w:rFonts w:ascii="Times New Roman" w:hAnsi="Times New Roman"/>
          <w:i/>
          <w:sz w:val="20"/>
          <w:szCs w:val="20"/>
        </w:rPr>
        <w:t>pleurs</w:t>
      </w:r>
      <w:proofErr w:type="spellEnd"/>
      <w:r w:rsidRPr="009F6CB8">
        <w:rPr>
          <w:rFonts w:ascii="Times New Roman" w:hAnsi="Times New Roman"/>
          <w:i/>
          <w:sz w:val="20"/>
          <w:szCs w:val="20"/>
        </w:rPr>
        <w:t xml:space="preserve"> ni couronnes</w:t>
      </w:r>
      <w:r w:rsidRPr="009F6CB8">
        <w:rPr>
          <w:rFonts w:ascii="Times New Roman" w:hAnsi="Times New Roman"/>
          <w:sz w:val="20"/>
          <w:szCs w:val="20"/>
        </w:rPr>
        <w:t xml:space="preserve">, précédé de « Pornographie de la mort », préface de Michel </w:t>
      </w:r>
      <w:proofErr w:type="spellStart"/>
      <w:r w:rsidRPr="009F6CB8">
        <w:rPr>
          <w:rFonts w:ascii="Times New Roman" w:hAnsi="Times New Roman"/>
          <w:sz w:val="20"/>
          <w:szCs w:val="20"/>
        </w:rPr>
        <w:t>Vovelle</w:t>
      </w:r>
      <w:proofErr w:type="spellEnd"/>
      <w:r w:rsidRPr="009F6CB8">
        <w:rPr>
          <w:rFonts w:ascii="Times New Roman" w:hAnsi="Times New Roman"/>
          <w:sz w:val="20"/>
          <w:szCs w:val="20"/>
        </w:rPr>
        <w:t>, Paris, E.P.E.L., 1995, p. 147-152.</w:t>
      </w:r>
      <w:r>
        <w:rPr>
          <w:rFonts w:ascii="Times New Roman" w:hAnsi="Times New Roman"/>
          <w:sz w:val="20"/>
          <w:szCs w:val="20"/>
        </w:rPr>
        <w:br w:type="page"/>
      </w:r>
    </w:p>
    <w:p w14:paraId="1F2D42BC" w14:textId="77777777" w:rsidR="00C96465" w:rsidRPr="00C96465" w:rsidRDefault="00C96465" w:rsidP="000E53AF">
      <w:pPr>
        <w:spacing w:line="360" w:lineRule="auto"/>
        <w:jc w:val="center"/>
        <w:rPr>
          <w:rFonts w:ascii="Times New Roman" w:hAnsi="Times New Roman"/>
          <w:sz w:val="24"/>
        </w:rPr>
      </w:pPr>
      <w:r>
        <w:rPr>
          <w:rFonts w:ascii="Times New Roman" w:hAnsi="Times New Roman"/>
          <w:b/>
          <w:sz w:val="20"/>
          <w:szCs w:val="20"/>
        </w:rPr>
        <w:lastRenderedPageBreak/>
        <w:t>L’autorisation sous condition de l’« incinération » par l’Église</w:t>
      </w:r>
      <w:r w:rsidR="00496875">
        <w:rPr>
          <w:rFonts w:ascii="Times New Roman" w:hAnsi="Times New Roman"/>
          <w:b/>
          <w:sz w:val="20"/>
          <w:szCs w:val="20"/>
        </w:rPr>
        <w:t xml:space="preserve"> catholique</w:t>
      </w:r>
      <w:r>
        <w:rPr>
          <w:rFonts w:ascii="Times New Roman" w:hAnsi="Times New Roman"/>
          <w:b/>
          <w:sz w:val="20"/>
          <w:szCs w:val="20"/>
        </w:rPr>
        <w:t xml:space="preserve"> (1964)</w:t>
      </w:r>
    </w:p>
    <w:p w14:paraId="2665FC3E" w14:textId="77777777" w:rsidR="00C96465" w:rsidRDefault="00C96465" w:rsidP="00C96465">
      <w:pPr>
        <w:spacing w:line="240" w:lineRule="auto"/>
        <w:rPr>
          <w:rFonts w:ascii="Times New Roman" w:hAnsi="Times New Roman"/>
          <w:sz w:val="20"/>
          <w:szCs w:val="20"/>
        </w:rPr>
      </w:pPr>
    </w:p>
    <w:p w14:paraId="318A971D" w14:textId="77777777" w:rsidR="00C96465" w:rsidRDefault="00C96465" w:rsidP="00C96465">
      <w:pPr>
        <w:spacing w:line="240" w:lineRule="auto"/>
        <w:rPr>
          <w:rFonts w:ascii="Times New Roman" w:hAnsi="Times New Roman"/>
          <w:sz w:val="20"/>
          <w:szCs w:val="20"/>
        </w:rPr>
      </w:pPr>
      <w:r>
        <w:rPr>
          <w:rFonts w:ascii="Times New Roman" w:hAnsi="Times New Roman"/>
          <w:sz w:val="20"/>
          <w:szCs w:val="20"/>
        </w:rPr>
        <w:t>« L’Eglise a toujours voulu encourager la pieuse et constante coutume chrétienne d’ensevelir les corps, soit en entourant cet acte de rites destinés à en mettre en relief le sens symbolique et religieux, soit en prononçant des peines canoniques contre ceux qui s’insurgeaient contre une pratique aussi salutaire, spécialement lorsque l’opposition était inspirée par un esprit ennemi des coutumes chrétiennes et des traditions ecclésiastiques, suscitée par un sectarisme qui se proposait de substituer à l’inhumation l’incinération en signe de violente négation des dogmes chrétiens, spécialement celui de la résurrection des morts et de l’immortalité de l’âme.</w:t>
      </w:r>
    </w:p>
    <w:p w14:paraId="2CD3FD0B" w14:textId="77777777" w:rsidR="00C96465" w:rsidRDefault="00C96465" w:rsidP="00C96465">
      <w:pPr>
        <w:spacing w:line="240" w:lineRule="auto"/>
        <w:rPr>
          <w:rFonts w:ascii="Times New Roman" w:hAnsi="Times New Roman"/>
          <w:sz w:val="20"/>
          <w:szCs w:val="20"/>
        </w:rPr>
      </w:pPr>
      <w:r>
        <w:rPr>
          <w:rFonts w:ascii="Times New Roman" w:hAnsi="Times New Roman"/>
          <w:sz w:val="20"/>
          <w:szCs w:val="20"/>
        </w:rPr>
        <w:t>Cette attitude était évidemment un fait subjectif dans l’esprit des partisans de l’incinération, et nullement inséparable, objectivement, de l’incinération elle-même. L’incinération des corps, en effet, ne touche pas à l’âme, elle n’empêche pas la toute-puissance divine de reconstituer le corps. Elle ne contient donc pas, en soi, la négation objective de ces dogmes.</w:t>
      </w:r>
    </w:p>
    <w:p w14:paraId="5B9F49BD" w14:textId="77777777" w:rsidR="00C96465" w:rsidRDefault="00C96465" w:rsidP="00C96465">
      <w:pPr>
        <w:spacing w:line="240" w:lineRule="auto"/>
        <w:rPr>
          <w:rFonts w:ascii="Times New Roman" w:hAnsi="Times New Roman"/>
          <w:sz w:val="20"/>
          <w:szCs w:val="20"/>
        </w:rPr>
      </w:pPr>
      <w:r>
        <w:rPr>
          <w:rFonts w:ascii="Times New Roman" w:hAnsi="Times New Roman"/>
          <w:sz w:val="20"/>
          <w:szCs w:val="20"/>
        </w:rPr>
        <w:t>Il ne s’agit donc pas de quelque chose d’intrinsèquement mauvais ou contraire en soi à la religion chrétienne. L’Eglise en a toujours usé ainsi, comme le prouve le fait que, lorsque dans certaines circonstances l’incinération était demandée en toute loyauté et pour des motifs sérieux, spécialement d’ordre public, elle avait et elle a toujours l’habitude de l’autoriser.</w:t>
      </w:r>
    </w:p>
    <w:p w14:paraId="08DCC117" w14:textId="77777777" w:rsidR="00C96465" w:rsidRDefault="00C96465" w:rsidP="00C96465">
      <w:pPr>
        <w:spacing w:line="240" w:lineRule="auto"/>
        <w:rPr>
          <w:rFonts w:ascii="Times New Roman" w:hAnsi="Times New Roman"/>
          <w:sz w:val="20"/>
          <w:szCs w:val="20"/>
        </w:rPr>
      </w:pPr>
      <w:r>
        <w:rPr>
          <w:rFonts w:ascii="Times New Roman" w:hAnsi="Times New Roman"/>
          <w:sz w:val="20"/>
          <w:szCs w:val="20"/>
        </w:rPr>
        <w:t>L’amélioration dudit état d’esprit, joint à la répétition de plus en plus fréquente aujourd’hui de circonstances manifestes qui s’opposent à l’inhumation, explique que de nombreuses demandes aient été adressées au Saint-Siège pour que soit assouplie la discipline ecclésiastique relative à l’incinération, souvent demandée aujourd’hui, non par haine de l’Eglise ou pour protester contre les usages chrétiens, mais uniquement pour des raisons d’hygiène, d’économie ou autres, d’ordre public ou privé.</w:t>
      </w:r>
    </w:p>
    <w:p w14:paraId="17E83246" w14:textId="77777777" w:rsidR="00C96465" w:rsidRDefault="00C96465" w:rsidP="00C96465">
      <w:pPr>
        <w:spacing w:line="240" w:lineRule="auto"/>
        <w:rPr>
          <w:rFonts w:ascii="Times New Roman" w:hAnsi="Times New Roman"/>
          <w:sz w:val="20"/>
          <w:szCs w:val="20"/>
        </w:rPr>
      </w:pPr>
      <w:r>
        <w:rPr>
          <w:rFonts w:ascii="Times New Roman" w:hAnsi="Times New Roman"/>
          <w:sz w:val="20"/>
          <w:szCs w:val="20"/>
        </w:rPr>
        <w:t>Notre sainte Mère l’Eglise, soucieuse du bien spirituel des fidèles, mais consciente des autres nécessités, a décidé d’accueillir favorablement ces demandes en décidant ce qui suit :</w:t>
      </w:r>
    </w:p>
    <w:p w14:paraId="41DD73A2" w14:textId="77777777" w:rsidR="00C96465" w:rsidRDefault="00C96465" w:rsidP="00C96465">
      <w:pPr>
        <w:pStyle w:val="Paragraphedeliste"/>
        <w:numPr>
          <w:ilvl w:val="0"/>
          <w:numId w:val="20"/>
        </w:numPr>
        <w:ind w:left="0" w:firstLine="360"/>
        <w:rPr>
          <w:sz w:val="20"/>
          <w:szCs w:val="20"/>
        </w:rPr>
      </w:pPr>
      <w:r>
        <w:rPr>
          <w:sz w:val="20"/>
          <w:szCs w:val="20"/>
        </w:rPr>
        <w:t>On veillera soigneusement à maintenir fidèlement la coutume d’ensevelir les corps des fidèles défunts. Les ordinaires [les évêques], par des instructions et des avertissements opportuns, veilleront donc à ce que le peuple chrétien ne pratique pas l’incinération et n’abandonne pas, sauf en cas de véritable nécessité, l’usage de l’inhumation, auquel l’Eglise a toujours été attachée et qu’elle a consacrée par des rites solennels.</w:t>
      </w:r>
    </w:p>
    <w:p w14:paraId="67A9DD46" w14:textId="77777777" w:rsidR="00C96465" w:rsidRDefault="00C96465" w:rsidP="00C96465">
      <w:pPr>
        <w:pStyle w:val="Paragraphedeliste"/>
        <w:numPr>
          <w:ilvl w:val="0"/>
          <w:numId w:val="20"/>
        </w:numPr>
        <w:ind w:left="0" w:firstLine="360"/>
        <w:rPr>
          <w:sz w:val="20"/>
          <w:szCs w:val="20"/>
        </w:rPr>
      </w:pPr>
      <w:r>
        <w:rPr>
          <w:sz w:val="20"/>
          <w:szCs w:val="20"/>
        </w:rPr>
        <w:t>Toutefois, pour ne pas accroître plus qu’il ne faut les difficultés qui sont nées des circonstances actuelles et ne pas multiplier les cas de dispense des lois en vigueur, il semble opportun d’apporter quelques adoucissements aux prescriptions du droit canonique concernant l’incinération. C’est ainsi que, désormais, les prescriptions des canons 1203, &amp; 2 (interdiction d’exécuter un mandat d’incinération) et 1240, &amp; 1, n. 5 (refus de sépulture ecclésiastique à celui qui a demandé l’incinération), ne seront plus à observer dans tous les cas, mais seulement lorsqu’il est constaté que l’incinération est désirée comme une négation des dogmes chrétiens, dans un esprit sectaire ou par haine de la religion catholique ou de l’Eglise.</w:t>
      </w:r>
    </w:p>
    <w:p w14:paraId="7A9AB4F2" w14:textId="77777777" w:rsidR="00C96465" w:rsidRDefault="00C96465" w:rsidP="00C96465">
      <w:pPr>
        <w:pStyle w:val="Paragraphedeliste"/>
        <w:numPr>
          <w:ilvl w:val="0"/>
          <w:numId w:val="20"/>
        </w:numPr>
        <w:ind w:left="0" w:firstLine="360"/>
        <w:rPr>
          <w:sz w:val="20"/>
          <w:szCs w:val="20"/>
        </w:rPr>
      </w:pPr>
      <w:r>
        <w:rPr>
          <w:sz w:val="20"/>
          <w:szCs w:val="20"/>
        </w:rPr>
        <w:t>Il s’ensuit que les sacrements et les prières publiques ne devront pas être refusées, de ce fait, à ceux qui n’auront demandé l’incinération de leur corps, à moins qu’il ne soit évident que cette demande ait été faite pour les motifs indiqués ci-dessus, contraires à la vie chrétienne.</w:t>
      </w:r>
    </w:p>
    <w:p w14:paraId="1C1CA50C" w14:textId="77777777" w:rsidR="00C96465" w:rsidRDefault="00C96465" w:rsidP="00C96465">
      <w:pPr>
        <w:pStyle w:val="Paragraphedeliste"/>
        <w:numPr>
          <w:ilvl w:val="0"/>
          <w:numId w:val="20"/>
        </w:numPr>
        <w:ind w:left="0" w:firstLine="360"/>
        <w:rPr>
          <w:sz w:val="20"/>
          <w:szCs w:val="20"/>
        </w:rPr>
      </w:pPr>
      <w:r>
        <w:rPr>
          <w:sz w:val="20"/>
          <w:szCs w:val="20"/>
        </w:rPr>
        <w:t>Pour ne pas affaiblir l’attachement du peuple chrétien à la tradition ecclésiastique et pour montrer l’aversion de l’Eglise envers l’incinération, les rites de la sépulture ecclésiastique et des suffrages ultérieurs ne pourront jamais se célébrer à l’endroit où a lieu l’incinération. On ne devra pas non plus y accompagner le corps.</w:t>
      </w:r>
    </w:p>
    <w:p w14:paraId="11F47E07" w14:textId="77777777" w:rsidR="00C96465" w:rsidRDefault="00C96465" w:rsidP="00C96465">
      <w:pPr>
        <w:spacing w:line="240" w:lineRule="auto"/>
        <w:ind w:firstLine="360"/>
        <w:rPr>
          <w:rFonts w:ascii="Times New Roman" w:hAnsi="Times New Roman"/>
          <w:sz w:val="20"/>
          <w:szCs w:val="20"/>
        </w:rPr>
      </w:pPr>
      <w:r>
        <w:rPr>
          <w:rFonts w:ascii="Times New Roman" w:hAnsi="Times New Roman"/>
          <w:sz w:val="20"/>
          <w:szCs w:val="20"/>
        </w:rPr>
        <w:t xml:space="preserve">Après avoir été examinée en assemblée plénière, le 8 mai 1963, par LL. </w:t>
      </w:r>
      <w:proofErr w:type="spellStart"/>
      <w:r>
        <w:rPr>
          <w:rFonts w:ascii="Times New Roman" w:hAnsi="Times New Roman"/>
          <w:sz w:val="20"/>
          <w:szCs w:val="20"/>
        </w:rPr>
        <w:t>EEm</w:t>
      </w:r>
      <w:proofErr w:type="spellEnd"/>
      <w:r>
        <w:rPr>
          <w:rFonts w:ascii="Times New Roman" w:hAnsi="Times New Roman"/>
          <w:sz w:val="20"/>
          <w:szCs w:val="20"/>
        </w:rPr>
        <w:t xml:space="preserve">. les Pères chargés de veiller sur les questions touchant la foi et les mœurs, S. S. Paul VI, Pape, a daigné approuver cette instruction au cours de l’audience qu’il a accordée à S. </w:t>
      </w:r>
      <w:proofErr w:type="spellStart"/>
      <w:r>
        <w:rPr>
          <w:rFonts w:ascii="Times New Roman" w:hAnsi="Times New Roman"/>
          <w:sz w:val="20"/>
          <w:szCs w:val="20"/>
        </w:rPr>
        <w:t>Em</w:t>
      </w:r>
      <w:proofErr w:type="spellEnd"/>
      <w:r>
        <w:rPr>
          <w:rFonts w:ascii="Times New Roman" w:hAnsi="Times New Roman"/>
          <w:sz w:val="20"/>
          <w:szCs w:val="20"/>
        </w:rPr>
        <w:t>. le secrétaire du Saint-Office, le 5 juillet de la même année. »</w:t>
      </w:r>
    </w:p>
    <w:p w14:paraId="6B937CA6" w14:textId="77777777" w:rsidR="00C96465" w:rsidRDefault="00C96465" w:rsidP="00C96465">
      <w:pPr>
        <w:spacing w:line="240" w:lineRule="auto"/>
        <w:rPr>
          <w:rFonts w:ascii="Times New Roman" w:hAnsi="Times New Roman"/>
          <w:sz w:val="20"/>
          <w:szCs w:val="20"/>
        </w:rPr>
      </w:pPr>
    </w:p>
    <w:p w14:paraId="1421EFA8" w14:textId="77777777" w:rsidR="008D516B" w:rsidRDefault="00C96465" w:rsidP="00C96465">
      <w:pPr>
        <w:spacing w:line="240" w:lineRule="auto"/>
        <w:jc w:val="left"/>
        <w:rPr>
          <w:rFonts w:ascii="Times New Roman" w:hAnsi="Times New Roman"/>
          <w:sz w:val="20"/>
          <w:szCs w:val="20"/>
        </w:rPr>
      </w:pPr>
      <w:r>
        <w:rPr>
          <w:rFonts w:ascii="Times New Roman" w:hAnsi="Times New Roman"/>
          <w:sz w:val="20"/>
          <w:szCs w:val="20"/>
        </w:rPr>
        <w:t xml:space="preserve">Instruction </w:t>
      </w:r>
      <w:proofErr w:type="spellStart"/>
      <w:r>
        <w:rPr>
          <w:rFonts w:ascii="Times New Roman" w:hAnsi="Times New Roman"/>
          <w:i/>
          <w:sz w:val="20"/>
          <w:szCs w:val="20"/>
        </w:rPr>
        <w:t>Piam</w:t>
      </w:r>
      <w:proofErr w:type="spellEnd"/>
      <w:r>
        <w:rPr>
          <w:rFonts w:ascii="Times New Roman" w:hAnsi="Times New Roman"/>
          <w:i/>
          <w:sz w:val="20"/>
          <w:szCs w:val="20"/>
        </w:rPr>
        <w:t xml:space="preserve"> et </w:t>
      </w:r>
      <w:proofErr w:type="spellStart"/>
      <w:r>
        <w:rPr>
          <w:rFonts w:ascii="Times New Roman" w:hAnsi="Times New Roman"/>
          <w:i/>
          <w:sz w:val="20"/>
          <w:szCs w:val="20"/>
        </w:rPr>
        <w:t>constantem</w:t>
      </w:r>
      <w:proofErr w:type="spellEnd"/>
      <w:r>
        <w:rPr>
          <w:rFonts w:ascii="Times New Roman" w:hAnsi="Times New Roman"/>
          <w:sz w:val="20"/>
          <w:szCs w:val="20"/>
        </w:rPr>
        <w:t xml:space="preserve"> du Saint-Office sur l’incinération du 5 juillet 1963 rendue publique en octobre 1964 (publication du texte latin dans les </w:t>
      </w:r>
      <w:r>
        <w:rPr>
          <w:rFonts w:ascii="Times New Roman" w:hAnsi="Times New Roman"/>
          <w:i/>
          <w:sz w:val="20"/>
          <w:szCs w:val="20"/>
        </w:rPr>
        <w:t xml:space="preserve">Acta </w:t>
      </w:r>
      <w:proofErr w:type="spellStart"/>
      <w:r>
        <w:rPr>
          <w:rFonts w:ascii="Times New Roman" w:hAnsi="Times New Roman"/>
          <w:i/>
          <w:sz w:val="20"/>
          <w:szCs w:val="20"/>
        </w:rPr>
        <w:t>Apostolicae</w:t>
      </w:r>
      <w:proofErr w:type="spellEnd"/>
      <w:r>
        <w:rPr>
          <w:rFonts w:ascii="Times New Roman" w:hAnsi="Times New Roman"/>
          <w:i/>
          <w:sz w:val="20"/>
          <w:szCs w:val="20"/>
        </w:rPr>
        <w:t xml:space="preserve"> </w:t>
      </w:r>
      <w:proofErr w:type="spellStart"/>
      <w:r>
        <w:rPr>
          <w:rFonts w:ascii="Times New Roman" w:hAnsi="Times New Roman"/>
          <w:i/>
          <w:sz w:val="20"/>
          <w:szCs w:val="20"/>
        </w:rPr>
        <w:t>Sedis</w:t>
      </w:r>
      <w:proofErr w:type="spellEnd"/>
      <w:r>
        <w:rPr>
          <w:rFonts w:ascii="Times New Roman" w:hAnsi="Times New Roman"/>
          <w:sz w:val="20"/>
          <w:szCs w:val="20"/>
        </w:rPr>
        <w:t xml:space="preserve"> du 24 octobre), </w:t>
      </w:r>
      <w:r>
        <w:rPr>
          <w:rFonts w:ascii="Times New Roman" w:hAnsi="Times New Roman"/>
          <w:i/>
          <w:sz w:val="20"/>
          <w:szCs w:val="20"/>
        </w:rPr>
        <w:t>La Documentation catholique</w:t>
      </w:r>
      <w:r>
        <w:rPr>
          <w:rFonts w:ascii="Times New Roman" w:hAnsi="Times New Roman"/>
          <w:sz w:val="20"/>
          <w:szCs w:val="20"/>
        </w:rPr>
        <w:t>, n</w:t>
      </w:r>
      <w:r>
        <w:rPr>
          <w:rFonts w:ascii="Times New Roman" w:hAnsi="Times New Roman"/>
          <w:sz w:val="20"/>
          <w:szCs w:val="20"/>
          <w:vertAlign w:val="superscript"/>
        </w:rPr>
        <w:t>o</w:t>
      </w:r>
      <w:r>
        <w:rPr>
          <w:rFonts w:ascii="Times New Roman" w:hAnsi="Times New Roman"/>
          <w:sz w:val="20"/>
          <w:szCs w:val="20"/>
        </w:rPr>
        <w:t xml:space="preserve"> 1438, 20 décembre 1964, col. 1711-1712.</w:t>
      </w:r>
      <w:r w:rsidR="008D516B">
        <w:rPr>
          <w:rFonts w:ascii="Times New Roman" w:hAnsi="Times New Roman"/>
          <w:sz w:val="20"/>
          <w:szCs w:val="20"/>
        </w:rPr>
        <w:br w:type="page"/>
      </w:r>
    </w:p>
    <w:p w14:paraId="74F3C38A" w14:textId="77777777" w:rsidR="0016482F" w:rsidRPr="001E77CA" w:rsidRDefault="0016482F" w:rsidP="001E77CA">
      <w:pPr>
        <w:spacing w:line="240" w:lineRule="auto"/>
        <w:ind w:firstLine="708"/>
        <w:jc w:val="center"/>
        <w:rPr>
          <w:rFonts w:ascii="Times New Roman" w:hAnsi="Times New Roman"/>
          <w:b/>
          <w:sz w:val="20"/>
          <w:szCs w:val="20"/>
        </w:rPr>
      </w:pPr>
      <w:r w:rsidRPr="001E77CA">
        <w:rPr>
          <w:rFonts w:ascii="Times New Roman" w:hAnsi="Times New Roman"/>
          <w:b/>
          <w:sz w:val="20"/>
          <w:szCs w:val="20"/>
        </w:rPr>
        <w:lastRenderedPageBreak/>
        <w:t>Les étapes de l’approche de la mort</w:t>
      </w:r>
    </w:p>
    <w:p w14:paraId="46A17839" w14:textId="77777777" w:rsidR="0016482F" w:rsidRPr="001E77CA" w:rsidRDefault="0016482F" w:rsidP="001E77CA">
      <w:pPr>
        <w:spacing w:line="240" w:lineRule="auto"/>
        <w:ind w:firstLine="708"/>
        <w:rPr>
          <w:rFonts w:ascii="Times New Roman" w:hAnsi="Times New Roman"/>
          <w:sz w:val="20"/>
          <w:szCs w:val="20"/>
        </w:rPr>
      </w:pPr>
    </w:p>
    <w:p w14:paraId="3B8DFC8C"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 xml:space="preserve">« Nous parlons de la mort – sujet socialement proscrit – d’une manière franche et sans complications, ouvrant ainsi la porte à une grande diversité de discussions, permettant un refus total, si cela semble nécessaire, ou une conversation franche sur les craintes et les soucis du malade, si c’est cela qu’il choisit. Le fait que </w:t>
      </w:r>
      <w:r w:rsidRPr="001E77CA">
        <w:rPr>
          <w:rFonts w:ascii="Times New Roman" w:hAnsi="Times New Roman"/>
          <w:i/>
          <w:sz w:val="20"/>
          <w:szCs w:val="20"/>
        </w:rPr>
        <w:t>nous</w:t>
      </w:r>
      <w:r w:rsidRPr="001E77CA">
        <w:rPr>
          <w:rFonts w:ascii="Times New Roman" w:hAnsi="Times New Roman"/>
          <w:sz w:val="20"/>
          <w:szCs w:val="20"/>
        </w:rPr>
        <w:t xml:space="preserve"> ne pratiquions pas le refus, que nous soyons prêts à employer les mots de mort, d’agonie, est peut-être la communication la plus favorablement accueillie par la plupart de nos patients.</w:t>
      </w:r>
    </w:p>
    <w:p w14:paraId="511E5888"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Si nous essayons de résumer brièvement ce que ces malades nous ont enseigné, le fait qui ressort à mon avis est qu’ils sont tous conscients de la gravité de leur maladie, qu’on le leur ait dit ou non. Ils ne font pas toujours part de cette certitude à leur médecin ou à leurs proches. La raison de cette attitude est qu’il est pénible de penser à cette réalité ; tout conseil implicite ou explicite de ne pas en parler est perçu par le malade qui, pour le moment, l’accepte avec soulagement. Cependant, il vient un moment où tous nos patients ont senti le besoin de parler à quelqu’un de leurs préoccupations, d’ôter le masque, de regarder la réalité en face, de régler certaines affaires d’importance vitale pendant qu’il en est encore temps. Ils ont accueilli avec reconnaissance une percée dans leurs défenses, ils ont apprécié notre disponibilité, le fait que nous étions prêts à parler avec eux de leur mort prochaine et des tâches qu’ils n’avaient pas terminées. Ils désiraient partager avec une personne compréhensive certains de leurs sentiments, en particulier celui de colère, de rage, d’envie, de culpabilité, d’isolement. Ils ont clairement fait comprendre qu’ils pratiquaient la dénégation, lorsque le médecin ou un membre de la famille s’attendait à la dénégation, à cause de leur dépendance à leur égard et de leur besoin de conserver une relation humaine.</w:t>
      </w:r>
    </w:p>
    <w:p w14:paraId="143732CC"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Les malades n’avaient pas d’objection à ce que le personnel ne les confronte pas avec les faits de manière directe, mais ils étaient vexés d’être traités comme des enfants et de ne pas être respectés lorsque des décisions importantes devaient être prises. Ils ont tous perçu un changement d’attitude et de comportement lorsque le diagnostic de cancer était posé et ils ont pris conscience de leur état à cause de ce changement d’attitude de leur entourage. Autrement dit, ceux à qui on ne disait pas directement ce qu’ils avaient l’apprenaient de toute manière par le message implicite et le changement de comportement de la parenté ou du personnel soignant. Ceux à qui l’on disait les choses explicitement ont été presque unanimes à approuver cette circonstance, à l’exception de ceux qui ont été mis au courant brutalement, dans un couloir, un hall, sans préparation ni suite, ou encore d’une manière qui brisait tout espoir.</w:t>
      </w:r>
    </w:p>
    <w:p w14:paraId="24A48A56"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Tous nos malades ont réagi aux mauvaises nouvelles d’une façon presque identique, typique non seulement de l’annonce d’une maladie inguérissable, mais de toute réaction humaine en face d’un coup très brutal et inattendu : choc et incrédulité. La dénégation a été le fait de la plupart de nos patients, durant de quelques secondes à plusieurs mois […]. Cette dénégation n’est jamais totale. Après elle, ce qui domine est la colère et la rage. Elles s’expriment sous des formes multiples, comme une envie à l’égard de ceux qui sont encore capables de vivre et d’agir. Cette colère était partiellement justifiée et amplifiée par les réactions du personnel et de la famille, souvent presque irrationnelles, et par la répétition de certaines expériences antérieures […]. Lorsque l’entourage était capable de supporter cette colère sans en faire une question de personne, le malade était très efficacement aidé à atteindre le stade de la récrimination temporaire suivi d’une dépression, qui est une étape conduisant à l’acceptation finale. Le diagramme suivant [</w:t>
      </w:r>
      <w:r w:rsidRPr="001E77CA">
        <w:rPr>
          <w:rFonts w:ascii="Times New Roman" w:hAnsi="Times New Roman"/>
          <w:b/>
          <w:sz w:val="20"/>
          <w:szCs w:val="20"/>
        </w:rPr>
        <w:t>voir ci-dessous</w:t>
      </w:r>
      <w:r w:rsidRPr="001E77CA">
        <w:rPr>
          <w:rFonts w:ascii="Times New Roman" w:hAnsi="Times New Roman"/>
          <w:sz w:val="20"/>
          <w:szCs w:val="20"/>
        </w:rPr>
        <w:t>] montre comment ces étapes ne se remplacent pas l’une l’autre, mais peuvent coexister et se chevaucher parfois.</w:t>
      </w:r>
    </w:p>
    <w:p w14:paraId="575BD0FE"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L’acceptation finale a été atteinte par beaucoup de malades sans aide externe, d’autres ont eu besoin d’aide pour passer à travers ces différentes étapes et mourir en paix avec dignité.</w:t>
      </w:r>
    </w:p>
    <w:p w14:paraId="786D929C"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Quels qu’aient été le degré de maladie ou les mécanismes par lesquels ils ont assumé leur état, tous nos malades ont conservé une forme de l’espoir jusqu’au dernier moment. Les patients qui ont été informés du diagnostic fatal les concernant, sans qu’on leur laisse entrevoir la moindre chance, sans une lueur d’espoir, sont ceux qui ont le plus mal réagi et n’ont jamais pu se réconcilier complètement avec la personne qui leur a donné cette information de manière trop brutale. Pour ce qui concerne nos malades, tous ont conservé quelque espoir et il est bon pour nous de nous en souvenir ! Cet espoir peut consister dans l’attente d’une nouvelle découverte, de résultats nouveaux dans quelque laboratoire de recherches, d’un nouveau remède, d’un nouveau sérum, il peut provenir d’un miracle de Dieu ou de la découverte que les radiographies ou les coupes pathologiques concernaient en réalité un autre malade. Il peut provenir d’une rémission survenant naturellement […] mais c’est cet espoir qui devrait subsister, que nous soyons ou non d’accord avec la forme qu’il a prise.</w:t>
      </w:r>
    </w:p>
    <w:p w14:paraId="1E9E71EB"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w:t>
      </w:r>
    </w:p>
    <w:p w14:paraId="3F8518F7"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 xml:space="preserve">Des conflits et des mécanismes de défense antérieurs nous permettent de prédire jusqu’à un certain point les mécanismes de défense qu’un patient utilisera de préférence au moment de cette crise. Les gens simples, ayant moins de conventions sociales, moins d’attitudes compliquées, moins de liens avec la société, moins d’obligations professionnelles, semblent avoir relativement moins de difficultés à faire face à cette crise finale que ceux qui vivent dans l’aisance et qui perdent beaucoup plus du point de vue du luxe matériel, du confort et du nombre de leurs relations personnelles. Il semble que ceux qui ont vécu une vie de souffrances, de travail épuisant, de peines, qui ont élevé leurs enfants et ont eu des satisfactions dans leur travail, montrent plus de facilité à accepter la mort paisiblement et dignement que ceux qui ont dominé ambitieusement leur entourage, accumulé des biens matériels, </w:t>
      </w:r>
      <w:r w:rsidRPr="001E77CA">
        <w:rPr>
          <w:rFonts w:ascii="Times New Roman" w:hAnsi="Times New Roman"/>
          <w:sz w:val="20"/>
          <w:szCs w:val="20"/>
        </w:rPr>
        <w:lastRenderedPageBreak/>
        <w:t>entretenu un grand nombre de relations sociales, mais moins de relations personnelles, si nécessaires à la fin d’une vie. […]</w:t>
      </w:r>
    </w:p>
    <w:p w14:paraId="701B9857"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Les malades religieux semblent peu différents de ceux qui n’ont pas de religion. […] nous n’avons trouvé que très peu de personnes vraiment religieuses ayant une foi personnelle profonde. Ces rares personnes ont été aidées par leur foi et la meilleure comparaison est celle qu’on peut faire entre eux et les rares patients qui étaient de vrais athées. La majorité des malades était entre les deux, ils avaient certaines formes de croyance religieuse, mais pas assez pour les préserver des conflits et de la peur.</w:t>
      </w:r>
    </w:p>
    <w:p w14:paraId="6DB02EEC" w14:textId="77777777" w:rsidR="0016482F" w:rsidRPr="001E77CA" w:rsidRDefault="0016482F" w:rsidP="001E77CA">
      <w:pPr>
        <w:spacing w:line="240" w:lineRule="auto"/>
        <w:ind w:firstLine="708"/>
        <w:rPr>
          <w:rFonts w:ascii="Times New Roman" w:hAnsi="Times New Roman"/>
          <w:sz w:val="20"/>
          <w:szCs w:val="20"/>
        </w:rPr>
      </w:pPr>
      <w:r w:rsidRPr="001E77CA">
        <w:rPr>
          <w:rFonts w:ascii="Times New Roman" w:hAnsi="Times New Roman"/>
          <w:sz w:val="20"/>
          <w:szCs w:val="20"/>
        </w:rPr>
        <w:t xml:space="preserve">Lorsque nos malades atteignent l’étape de l’acceptation et de la décontraction, des interventions de l’extérieur étaient considérées comme le trouble le plus grand et elles ont empêché plusieurs malades de mourir en paix dans la dignité. C’est le signal de la mort imminente et cela nous a permis de prévoir la mort prochaine alors qu’il n’y avait pas ou peu d’indices de celle-ci au plan médical. Le malade réagit à un système de signaux internes qui l’avertit de sa mort imminente. Nous sommes capables de percevoir ces signaux sans connaître réellement les signes psychosomatiques que perçoit le patient. Lorsqu’on interroge le malade, il peut reconnaître cette prise de conscience et nous la communique souvent en nous demandant de nous asseoir à son chevet maintenant, parce qu’il sait que demain, ce sera trop tard. Nous devrions être très attentifs à cette insistance de la part de nos malades, parce que nous risquons de manquer la chance unique de les écouter pendant qu’il est encore temps. » </w:t>
      </w:r>
    </w:p>
    <w:p w14:paraId="1B05148A" w14:textId="77777777" w:rsidR="0016482F" w:rsidRPr="001E77CA" w:rsidRDefault="0016482F" w:rsidP="001E77CA">
      <w:pPr>
        <w:spacing w:line="360" w:lineRule="auto"/>
        <w:rPr>
          <w:rFonts w:ascii="Times New Roman" w:hAnsi="Times New Roman"/>
          <w:sz w:val="24"/>
        </w:rPr>
      </w:pPr>
    </w:p>
    <w:p w14:paraId="2CF1AEE7" w14:textId="77777777" w:rsidR="0016482F" w:rsidRPr="001E77CA" w:rsidRDefault="0016482F" w:rsidP="001E77CA">
      <w:pPr>
        <w:spacing w:line="360" w:lineRule="auto"/>
        <w:jc w:val="center"/>
        <w:rPr>
          <w:rFonts w:ascii="Times New Roman" w:hAnsi="Times New Roman"/>
          <w:sz w:val="24"/>
        </w:rPr>
      </w:pPr>
      <w:r w:rsidRPr="001E77CA">
        <w:rPr>
          <w:rFonts w:ascii="Times New Roman" w:hAnsi="Times New Roman"/>
          <w:b/>
          <w:noProof/>
          <w:sz w:val="24"/>
        </w:rPr>
        <w:lastRenderedPageBreak/>
        <w:drawing>
          <wp:inline distT="0" distB="0" distL="0" distR="0" wp14:anchorId="12C3F37B" wp14:editId="02606471">
            <wp:extent cx="4766421" cy="6355228"/>
            <wp:effectExtent l="0" t="0" r="0" b="7620"/>
            <wp:docPr id="1" name="Image 1" descr="C:\Users\Guillaume Cuchet\AppData\Local\Microsoft\Windows\Temporary Internet Files\Content.Outlook\LWYWOUTG\IMG_20211208_11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aume Cuchet\AppData\Local\Microsoft\Windows\Temporary Internet Files\Content.Outlook\LWYWOUTG\IMG_20211208_1159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8619" cy="6358159"/>
                    </a:xfrm>
                    <a:prstGeom prst="rect">
                      <a:avLst/>
                    </a:prstGeom>
                    <a:noFill/>
                    <a:ln>
                      <a:noFill/>
                    </a:ln>
                  </pic:spPr>
                </pic:pic>
              </a:graphicData>
            </a:graphic>
          </wp:inline>
        </w:drawing>
      </w:r>
    </w:p>
    <w:p w14:paraId="4ECF934F" w14:textId="77777777" w:rsidR="0016482F" w:rsidRPr="001E77CA" w:rsidRDefault="0016482F" w:rsidP="001E77CA">
      <w:pPr>
        <w:spacing w:line="360" w:lineRule="auto"/>
        <w:rPr>
          <w:rFonts w:ascii="Times New Roman" w:hAnsi="Times New Roman"/>
          <w:sz w:val="24"/>
          <w:lang w:val="en-US"/>
        </w:rPr>
      </w:pPr>
    </w:p>
    <w:p w14:paraId="0C530ACE" w14:textId="77777777" w:rsidR="0060196D" w:rsidRPr="001E77CA" w:rsidRDefault="0016482F" w:rsidP="001E77CA">
      <w:pPr>
        <w:spacing w:line="240" w:lineRule="auto"/>
        <w:rPr>
          <w:rFonts w:ascii="Times New Roman" w:hAnsi="Times New Roman"/>
          <w:sz w:val="20"/>
          <w:szCs w:val="20"/>
        </w:rPr>
      </w:pPr>
      <w:r w:rsidRPr="001E77CA">
        <w:rPr>
          <w:rFonts w:ascii="Times New Roman" w:hAnsi="Times New Roman"/>
          <w:sz w:val="20"/>
          <w:szCs w:val="20"/>
          <w:lang w:val="en-US"/>
        </w:rPr>
        <w:t xml:space="preserve">Elisabeth Kübler-Ross (1926-2004), </w:t>
      </w:r>
      <w:r w:rsidRPr="001E77CA">
        <w:rPr>
          <w:rFonts w:ascii="Times New Roman" w:hAnsi="Times New Roman"/>
          <w:i/>
          <w:sz w:val="20"/>
          <w:szCs w:val="20"/>
          <w:lang w:val="en-US"/>
        </w:rPr>
        <w:t>On Death and Dying</w:t>
      </w:r>
      <w:r w:rsidRPr="001E77CA">
        <w:rPr>
          <w:rFonts w:ascii="Times New Roman" w:hAnsi="Times New Roman"/>
          <w:sz w:val="20"/>
          <w:szCs w:val="20"/>
          <w:lang w:val="en-US"/>
        </w:rPr>
        <w:t xml:space="preserve">, New York, The Macmillan Company, 1969. </w:t>
      </w:r>
      <w:r w:rsidRPr="001E77CA">
        <w:rPr>
          <w:rFonts w:ascii="Times New Roman" w:hAnsi="Times New Roman"/>
          <w:sz w:val="20"/>
          <w:szCs w:val="20"/>
        </w:rPr>
        <w:t xml:space="preserve">Traduction française : </w:t>
      </w:r>
      <w:r w:rsidRPr="001E77CA">
        <w:rPr>
          <w:rFonts w:ascii="Times New Roman" w:hAnsi="Times New Roman"/>
          <w:i/>
          <w:sz w:val="20"/>
          <w:szCs w:val="20"/>
        </w:rPr>
        <w:t>Les derniers instants de la vie</w:t>
      </w:r>
      <w:r w:rsidRPr="001E77CA">
        <w:rPr>
          <w:rFonts w:ascii="Times New Roman" w:hAnsi="Times New Roman"/>
          <w:sz w:val="20"/>
          <w:szCs w:val="20"/>
        </w:rPr>
        <w:t xml:space="preserve">, Genève, Labor et Fides, 1975, p.264-268. Psychiatre américaine qui, à partir de 1965, a organisé dans un hôpital de Chicago un séminaire interdisciplinaire et des entretiens avec des malades en fin de vie, qui ont fourni la matière de son </w:t>
      </w:r>
      <w:r w:rsidRPr="001E77CA">
        <w:rPr>
          <w:rFonts w:ascii="Times New Roman" w:hAnsi="Times New Roman"/>
          <w:i/>
          <w:sz w:val="20"/>
          <w:szCs w:val="20"/>
        </w:rPr>
        <w:t>best-seller</w:t>
      </w:r>
      <w:r w:rsidRPr="001E77CA">
        <w:rPr>
          <w:rFonts w:ascii="Times New Roman" w:hAnsi="Times New Roman"/>
          <w:sz w:val="20"/>
          <w:szCs w:val="20"/>
        </w:rPr>
        <w:t xml:space="preserve"> de 1969.</w:t>
      </w:r>
    </w:p>
    <w:p w14:paraId="68D230CA" w14:textId="77777777" w:rsidR="0060196D" w:rsidRPr="001E77CA" w:rsidRDefault="0060196D" w:rsidP="001E77CA">
      <w:pPr>
        <w:spacing w:line="360" w:lineRule="auto"/>
        <w:rPr>
          <w:rFonts w:ascii="Times New Roman" w:hAnsi="Times New Roman"/>
          <w:sz w:val="24"/>
        </w:rPr>
      </w:pPr>
    </w:p>
    <w:p w14:paraId="62A698D0" w14:textId="77777777" w:rsidR="00C55D9D" w:rsidRPr="00570097" w:rsidRDefault="00D1640D" w:rsidP="00570097">
      <w:pPr>
        <w:spacing w:line="240" w:lineRule="auto"/>
        <w:jc w:val="left"/>
        <w:rPr>
          <w:rFonts w:ascii="Times New Roman" w:hAnsi="Times New Roman"/>
          <w:b/>
          <w:sz w:val="24"/>
        </w:rPr>
      </w:pPr>
      <w:r w:rsidRPr="001E77CA">
        <w:rPr>
          <w:rFonts w:ascii="Times New Roman" w:hAnsi="Times New Roman"/>
          <w:b/>
          <w:sz w:val="24"/>
        </w:rPr>
        <w:br w:type="page"/>
      </w:r>
      <w:r w:rsidR="00C55D9D">
        <w:rPr>
          <w:rFonts w:ascii="Times New Roman" w:hAnsi="Times New Roman"/>
          <w:sz w:val="24"/>
        </w:rPr>
        <w:lastRenderedPageBreak/>
        <w:br w:type="page"/>
      </w:r>
    </w:p>
    <w:p w14:paraId="0EDCE87C" w14:textId="77777777" w:rsidR="001B370C" w:rsidRPr="00347144" w:rsidRDefault="001B370C" w:rsidP="001B370C">
      <w:pPr>
        <w:spacing w:line="240" w:lineRule="auto"/>
        <w:jc w:val="center"/>
        <w:rPr>
          <w:rFonts w:ascii="Times New Roman" w:hAnsi="Times New Roman"/>
          <w:b/>
          <w:sz w:val="20"/>
          <w:szCs w:val="20"/>
        </w:rPr>
      </w:pPr>
      <w:r w:rsidRPr="00347144">
        <w:rPr>
          <w:rFonts w:ascii="Times New Roman" w:hAnsi="Times New Roman"/>
          <w:b/>
          <w:sz w:val="20"/>
          <w:szCs w:val="20"/>
        </w:rPr>
        <w:lastRenderedPageBreak/>
        <w:t>Les récits d’expériences de mort imminente</w:t>
      </w:r>
    </w:p>
    <w:p w14:paraId="4BCF9372" w14:textId="77777777" w:rsidR="001B370C" w:rsidRPr="00347144" w:rsidRDefault="001B370C" w:rsidP="001B370C">
      <w:pPr>
        <w:spacing w:line="240" w:lineRule="auto"/>
        <w:rPr>
          <w:rFonts w:ascii="Times New Roman" w:hAnsi="Times New Roman"/>
          <w:sz w:val="20"/>
          <w:szCs w:val="20"/>
        </w:rPr>
      </w:pPr>
    </w:p>
    <w:p w14:paraId="7558514E" w14:textId="77777777" w:rsidR="00401461" w:rsidRPr="009A00B6" w:rsidRDefault="00401461" w:rsidP="00401461">
      <w:pPr>
        <w:spacing w:line="240" w:lineRule="auto"/>
        <w:rPr>
          <w:rFonts w:ascii="Times New Roman" w:hAnsi="Times New Roman"/>
          <w:sz w:val="20"/>
          <w:szCs w:val="20"/>
        </w:rPr>
      </w:pPr>
      <w:r w:rsidRPr="009A00B6">
        <w:rPr>
          <w:rFonts w:ascii="Times New Roman" w:hAnsi="Times New Roman"/>
          <w:sz w:val="20"/>
          <w:szCs w:val="20"/>
        </w:rPr>
        <w:t>« Voici donc un homme qui meurt</w:t>
      </w:r>
      <w:r>
        <w:rPr>
          <w:rFonts w:ascii="Times New Roman" w:hAnsi="Times New Roman"/>
          <w:sz w:val="20"/>
          <w:szCs w:val="20"/>
        </w:rPr>
        <w:t xml:space="preserve"> [</w:t>
      </w:r>
      <w:r w:rsidRPr="00FC077C">
        <w:rPr>
          <w:rFonts w:ascii="Times New Roman" w:hAnsi="Times New Roman"/>
          <w:i/>
          <w:sz w:val="20"/>
          <w:szCs w:val="20"/>
        </w:rPr>
        <w:t xml:space="preserve">A man </w:t>
      </w:r>
      <w:proofErr w:type="spellStart"/>
      <w:r w:rsidRPr="00FC077C">
        <w:rPr>
          <w:rFonts w:ascii="Times New Roman" w:hAnsi="Times New Roman"/>
          <w:i/>
          <w:sz w:val="20"/>
          <w:szCs w:val="20"/>
        </w:rPr>
        <w:t>is</w:t>
      </w:r>
      <w:proofErr w:type="spellEnd"/>
      <w:r w:rsidRPr="00FC077C">
        <w:rPr>
          <w:rFonts w:ascii="Times New Roman" w:hAnsi="Times New Roman"/>
          <w:i/>
          <w:sz w:val="20"/>
          <w:szCs w:val="20"/>
        </w:rPr>
        <w:t xml:space="preserve"> </w:t>
      </w:r>
      <w:proofErr w:type="spellStart"/>
      <w:r w:rsidRPr="00FC077C">
        <w:rPr>
          <w:rFonts w:ascii="Times New Roman" w:hAnsi="Times New Roman"/>
          <w:i/>
          <w:sz w:val="20"/>
          <w:szCs w:val="20"/>
        </w:rPr>
        <w:t>dying</w:t>
      </w:r>
      <w:proofErr w:type="spellEnd"/>
      <w:r>
        <w:rPr>
          <w:rFonts w:ascii="Times New Roman" w:hAnsi="Times New Roman"/>
          <w:sz w:val="20"/>
          <w:szCs w:val="20"/>
        </w:rPr>
        <w:t>]</w:t>
      </w:r>
      <w:r w:rsidRPr="009A00B6">
        <w:rPr>
          <w:rFonts w:ascii="Times New Roman" w:hAnsi="Times New Roman"/>
          <w:sz w:val="20"/>
          <w:szCs w:val="20"/>
        </w:rPr>
        <w:t>, et, tandis qu’il atteint le paroxysme de la détresse physique, il entend le médecin constater son décès. Il commence alors à percevoir un bruit désagréable, comme un fort timbre de sonnerie ou un bourdonnement, et dans le même temps il se sent emporté avec une grande rapidité à travers un obscur et long tunnel</w:t>
      </w:r>
      <w:r>
        <w:rPr>
          <w:rFonts w:ascii="Times New Roman" w:hAnsi="Times New Roman"/>
          <w:sz w:val="20"/>
          <w:szCs w:val="20"/>
        </w:rPr>
        <w:t xml:space="preserve"> [</w:t>
      </w:r>
      <w:r w:rsidRPr="00FC077C">
        <w:rPr>
          <w:rFonts w:ascii="Times New Roman" w:hAnsi="Times New Roman"/>
          <w:i/>
          <w:sz w:val="20"/>
          <w:szCs w:val="20"/>
        </w:rPr>
        <w:t xml:space="preserve">long </w:t>
      </w:r>
      <w:proofErr w:type="spellStart"/>
      <w:r w:rsidRPr="00FC077C">
        <w:rPr>
          <w:rFonts w:ascii="Times New Roman" w:hAnsi="Times New Roman"/>
          <w:i/>
          <w:sz w:val="20"/>
          <w:szCs w:val="20"/>
        </w:rPr>
        <w:t>dark</w:t>
      </w:r>
      <w:proofErr w:type="spellEnd"/>
      <w:r w:rsidRPr="00FC077C">
        <w:rPr>
          <w:rFonts w:ascii="Times New Roman" w:hAnsi="Times New Roman"/>
          <w:i/>
          <w:sz w:val="20"/>
          <w:szCs w:val="20"/>
        </w:rPr>
        <w:t xml:space="preserve"> tunnel</w:t>
      </w:r>
      <w:r>
        <w:rPr>
          <w:rFonts w:ascii="Times New Roman" w:hAnsi="Times New Roman"/>
          <w:sz w:val="20"/>
          <w:szCs w:val="20"/>
        </w:rPr>
        <w:t>]</w:t>
      </w:r>
      <w:r w:rsidRPr="009A00B6">
        <w:rPr>
          <w:rFonts w:ascii="Times New Roman" w:hAnsi="Times New Roman"/>
          <w:sz w:val="20"/>
          <w:szCs w:val="20"/>
        </w:rPr>
        <w:t>. Après quoi il se retrouve soudain hors de son corps physique, sans toutefois quitter son environnement physique immédiat, il aperçoit son propre corps à distance, comme en spectateur. Il observe, de ce point de vue privilégié, les tentatives de réanimation dont son corps fait l’objet ; il se trouve dans un état de forte tension émotionnelle.</w:t>
      </w:r>
    </w:p>
    <w:p w14:paraId="583415D2" w14:textId="77777777" w:rsidR="00401461" w:rsidRPr="009A00B6" w:rsidRDefault="00401461" w:rsidP="00401461">
      <w:pPr>
        <w:spacing w:line="240" w:lineRule="auto"/>
        <w:rPr>
          <w:rFonts w:ascii="Times New Roman" w:hAnsi="Times New Roman"/>
          <w:sz w:val="20"/>
          <w:szCs w:val="20"/>
        </w:rPr>
      </w:pPr>
      <w:r w:rsidRPr="009A00B6">
        <w:rPr>
          <w:rFonts w:ascii="Times New Roman" w:hAnsi="Times New Roman"/>
          <w:sz w:val="20"/>
          <w:szCs w:val="20"/>
        </w:rPr>
        <w:t>Au bout de quelques instants, il se reprend et s’accoutume peu à peu à l’étrangeté de sa nouvelle condition. Il s’aperçoit qu’il continue à posséder un “corps”, mais ce corps est d’une nature très particulière et jouit de facultés très différentes de celles dont faisait preuve la dépouille qu’il vient d’abandonner. Bientôt, d’autres événements se produisent : d’autres êtres s’avancent à sa rencontre, paraissant vouloir lui venir en aide ; il entrevoit les “esprits” de parents et d’amis décédés avant lui. Et soudain une entité spirituelle, d’une espèce inconnue, un esprit de chaude tendresse</w:t>
      </w:r>
      <w:r>
        <w:rPr>
          <w:rFonts w:ascii="Times New Roman" w:hAnsi="Times New Roman"/>
          <w:sz w:val="20"/>
          <w:szCs w:val="20"/>
        </w:rPr>
        <w:t xml:space="preserve"> [</w:t>
      </w:r>
      <w:r w:rsidRPr="00FC077C">
        <w:rPr>
          <w:rFonts w:ascii="Times New Roman" w:hAnsi="Times New Roman"/>
          <w:i/>
          <w:sz w:val="20"/>
          <w:szCs w:val="20"/>
        </w:rPr>
        <w:t>warm spirit</w:t>
      </w:r>
      <w:r>
        <w:rPr>
          <w:rFonts w:ascii="Times New Roman" w:hAnsi="Times New Roman"/>
          <w:sz w:val="20"/>
          <w:szCs w:val="20"/>
        </w:rPr>
        <w:t>]</w:t>
      </w:r>
      <w:r w:rsidRPr="009A00B6">
        <w:rPr>
          <w:rFonts w:ascii="Times New Roman" w:hAnsi="Times New Roman"/>
          <w:sz w:val="20"/>
          <w:szCs w:val="20"/>
        </w:rPr>
        <w:t>, tout vibrant d’amour – un “être de lumière”</w:t>
      </w:r>
      <w:r>
        <w:rPr>
          <w:rFonts w:ascii="Times New Roman" w:hAnsi="Times New Roman"/>
          <w:sz w:val="20"/>
          <w:szCs w:val="20"/>
        </w:rPr>
        <w:t xml:space="preserve"> [</w:t>
      </w:r>
      <w:proofErr w:type="spellStart"/>
      <w:r w:rsidRPr="00FC077C">
        <w:rPr>
          <w:rFonts w:ascii="Times New Roman" w:hAnsi="Times New Roman"/>
          <w:i/>
          <w:sz w:val="20"/>
          <w:szCs w:val="20"/>
        </w:rPr>
        <w:t>being</w:t>
      </w:r>
      <w:proofErr w:type="spellEnd"/>
      <w:r w:rsidRPr="00FC077C">
        <w:rPr>
          <w:rFonts w:ascii="Times New Roman" w:hAnsi="Times New Roman"/>
          <w:i/>
          <w:sz w:val="20"/>
          <w:szCs w:val="20"/>
        </w:rPr>
        <w:t xml:space="preserve"> of light</w:t>
      </w:r>
      <w:r>
        <w:rPr>
          <w:rFonts w:ascii="Times New Roman" w:hAnsi="Times New Roman"/>
          <w:sz w:val="20"/>
          <w:szCs w:val="20"/>
        </w:rPr>
        <w:t xml:space="preserve">] </w:t>
      </w:r>
      <w:r w:rsidRPr="009A00B6">
        <w:rPr>
          <w:rFonts w:ascii="Times New Roman" w:hAnsi="Times New Roman"/>
          <w:sz w:val="20"/>
          <w:szCs w:val="20"/>
        </w:rPr>
        <w:t>– se montre à lui. Cet “être” fait surgir en lui une interrogation qui n’est pas verbalement prononcée, et qui le porte à effectuer le bilan de sa vie passée. L’entité le seconde dans sa tâche en lui procurant une vision panoramique, instantanée, de tous les événements qui ont marqué son destin. Le moment vient ensuite où le défunt semble rencontrer devant lui une sorte de barrière, ou de frontière, symbolisant apparemment l’ultime limite entre la vie terrestre et la vie à venir. Mais il constate alors qu’il lui faut revenir en arrière, que le temps de mourir n’est pas encore venu pour lui. À cet instant, il résiste, car il est désormais subjugué par le flux des événements de l’après-vie et ne souhaite pas ce retour. Il est envahi d’intenses sentiments de joie, d’amour et de paix. En dépit de quoi il se retrouve uni à son corps physique : il renaît à la vie.</w:t>
      </w:r>
    </w:p>
    <w:p w14:paraId="6135F620" w14:textId="77777777" w:rsidR="00401461" w:rsidRDefault="00401461" w:rsidP="00401461">
      <w:pPr>
        <w:spacing w:line="240" w:lineRule="auto"/>
        <w:rPr>
          <w:rFonts w:ascii="Times New Roman" w:hAnsi="Times New Roman"/>
          <w:sz w:val="20"/>
          <w:szCs w:val="20"/>
        </w:rPr>
      </w:pPr>
      <w:r w:rsidRPr="009A00B6">
        <w:rPr>
          <w:rFonts w:ascii="Times New Roman" w:hAnsi="Times New Roman"/>
          <w:sz w:val="20"/>
          <w:szCs w:val="20"/>
        </w:rPr>
        <w:t>Par la suite, lorsqu’il tente d’expliquer à son entourage ce qu’il a éprouvé entre-temps, il se heurte à différents obstacles. En premier lieu, il ne parvient pas à trouver des paroles humaines capables de décrire de façon adéquate cet épisode supraterrestre</w:t>
      </w:r>
      <w:r>
        <w:rPr>
          <w:rFonts w:ascii="Times New Roman" w:hAnsi="Times New Roman"/>
          <w:sz w:val="20"/>
          <w:szCs w:val="20"/>
        </w:rPr>
        <w:t xml:space="preserve"> [</w:t>
      </w:r>
      <w:proofErr w:type="spellStart"/>
      <w:r w:rsidRPr="00FC077C">
        <w:rPr>
          <w:rFonts w:ascii="Times New Roman" w:hAnsi="Times New Roman"/>
          <w:i/>
          <w:sz w:val="20"/>
          <w:szCs w:val="20"/>
        </w:rPr>
        <w:t>enearthly</w:t>
      </w:r>
      <w:proofErr w:type="spellEnd"/>
      <w:r w:rsidRPr="00FC077C">
        <w:rPr>
          <w:rFonts w:ascii="Times New Roman" w:hAnsi="Times New Roman"/>
          <w:i/>
          <w:sz w:val="20"/>
          <w:szCs w:val="20"/>
        </w:rPr>
        <w:t xml:space="preserve"> </w:t>
      </w:r>
      <w:proofErr w:type="spellStart"/>
      <w:r w:rsidRPr="00FC077C">
        <w:rPr>
          <w:rFonts w:ascii="Times New Roman" w:hAnsi="Times New Roman"/>
          <w:i/>
          <w:sz w:val="20"/>
          <w:szCs w:val="20"/>
        </w:rPr>
        <w:t>episodes</w:t>
      </w:r>
      <w:proofErr w:type="spellEnd"/>
      <w:r>
        <w:rPr>
          <w:rFonts w:ascii="Times New Roman" w:hAnsi="Times New Roman"/>
          <w:sz w:val="20"/>
          <w:szCs w:val="20"/>
        </w:rPr>
        <w:t>]</w:t>
      </w:r>
      <w:r w:rsidRPr="009A00B6">
        <w:rPr>
          <w:rFonts w:ascii="Times New Roman" w:hAnsi="Times New Roman"/>
          <w:sz w:val="20"/>
          <w:szCs w:val="20"/>
        </w:rPr>
        <w:t xml:space="preserve">. De plus, il voit bien que ceux qui l’écoutent ne le prennent pas au sérieux, si bien qu’il renonce à se confier à d’autres. Pourtant, cette expérience marque profondément sa vie et bouleverse notamment toutes les idées qu’il s’était faites jusque-là à propos de la mort et de ses rapports avec la vie. » </w:t>
      </w:r>
    </w:p>
    <w:p w14:paraId="6E30057C" w14:textId="77777777" w:rsidR="00401461" w:rsidRDefault="00401461" w:rsidP="00401461">
      <w:pPr>
        <w:spacing w:line="240" w:lineRule="auto"/>
        <w:rPr>
          <w:rFonts w:ascii="Times New Roman" w:hAnsi="Times New Roman"/>
          <w:sz w:val="20"/>
          <w:szCs w:val="20"/>
        </w:rPr>
      </w:pPr>
    </w:p>
    <w:p w14:paraId="434F5A69" w14:textId="77777777" w:rsidR="00401461" w:rsidRPr="009A00B6" w:rsidRDefault="00401461" w:rsidP="00401461">
      <w:pPr>
        <w:spacing w:line="240" w:lineRule="auto"/>
        <w:rPr>
          <w:rFonts w:ascii="Times New Roman" w:hAnsi="Times New Roman"/>
          <w:sz w:val="20"/>
          <w:szCs w:val="20"/>
        </w:rPr>
      </w:pPr>
      <w:r w:rsidRPr="009A00B6">
        <w:rPr>
          <w:rFonts w:ascii="Times New Roman" w:hAnsi="Times New Roman"/>
          <w:sz w:val="20"/>
          <w:szCs w:val="20"/>
        </w:rPr>
        <w:t xml:space="preserve">Raymond Moody, </w:t>
      </w:r>
      <w:r w:rsidRPr="009A00B6">
        <w:rPr>
          <w:rFonts w:ascii="Times New Roman" w:hAnsi="Times New Roman"/>
          <w:i/>
          <w:sz w:val="20"/>
          <w:szCs w:val="20"/>
        </w:rPr>
        <w:t>La Vie après la vie. Enquête à propos d’un phénomène : la survie de la conscience après la mort du corps</w:t>
      </w:r>
      <w:r w:rsidRPr="009A00B6">
        <w:rPr>
          <w:rFonts w:ascii="Times New Roman" w:hAnsi="Times New Roman"/>
          <w:sz w:val="20"/>
          <w:szCs w:val="20"/>
        </w:rPr>
        <w:t xml:space="preserve">, traduit de l’américain par Paul </w:t>
      </w:r>
      <w:proofErr w:type="spellStart"/>
      <w:r w:rsidRPr="009A00B6">
        <w:rPr>
          <w:rFonts w:ascii="Times New Roman" w:hAnsi="Times New Roman"/>
          <w:sz w:val="20"/>
          <w:szCs w:val="20"/>
        </w:rPr>
        <w:t>Misraki</w:t>
      </w:r>
      <w:proofErr w:type="spellEnd"/>
      <w:r w:rsidRPr="009A00B6">
        <w:rPr>
          <w:rFonts w:ascii="Times New Roman" w:hAnsi="Times New Roman"/>
          <w:sz w:val="20"/>
          <w:szCs w:val="20"/>
        </w:rPr>
        <w:t xml:space="preserve">, préface par Paul </w:t>
      </w:r>
      <w:proofErr w:type="spellStart"/>
      <w:r w:rsidRPr="009A00B6">
        <w:rPr>
          <w:rFonts w:ascii="Times New Roman" w:hAnsi="Times New Roman"/>
          <w:sz w:val="20"/>
          <w:szCs w:val="20"/>
        </w:rPr>
        <w:t>Misraki</w:t>
      </w:r>
      <w:proofErr w:type="spellEnd"/>
      <w:r w:rsidRPr="009A00B6">
        <w:rPr>
          <w:rFonts w:ascii="Times New Roman" w:hAnsi="Times New Roman"/>
          <w:sz w:val="20"/>
          <w:szCs w:val="20"/>
        </w:rPr>
        <w:t>, Paris, Robert Laffont, 1977 (1</w:t>
      </w:r>
      <w:r w:rsidRPr="009A00B6">
        <w:rPr>
          <w:rFonts w:ascii="Times New Roman" w:hAnsi="Times New Roman"/>
          <w:sz w:val="20"/>
          <w:szCs w:val="20"/>
          <w:vertAlign w:val="superscript"/>
        </w:rPr>
        <w:t>re</w:t>
      </w:r>
      <w:r>
        <w:rPr>
          <w:rFonts w:ascii="Times New Roman" w:hAnsi="Times New Roman"/>
          <w:sz w:val="20"/>
          <w:szCs w:val="20"/>
        </w:rPr>
        <w:t xml:space="preserve"> éd. 1975), p.27-29.</w:t>
      </w:r>
    </w:p>
    <w:p w14:paraId="564C4B6E" w14:textId="77777777" w:rsidR="001B370C" w:rsidRPr="00347144" w:rsidRDefault="001B370C" w:rsidP="001B370C">
      <w:pPr>
        <w:spacing w:line="240" w:lineRule="auto"/>
        <w:rPr>
          <w:rFonts w:ascii="Times New Roman" w:hAnsi="Times New Roman"/>
          <w:sz w:val="20"/>
          <w:szCs w:val="20"/>
        </w:rPr>
      </w:pPr>
    </w:p>
    <w:p w14:paraId="47F69A45" w14:textId="77777777" w:rsidR="00347144" w:rsidRDefault="00347144" w:rsidP="001E77CA">
      <w:pPr>
        <w:spacing w:line="240" w:lineRule="auto"/>
        <w:rPr>
          <w:rFonts w:ascii="Times New Roman" w:hAnsi="Times New Roman"/>
          <w:sz w:val="20"/>
          <w:szCs w:val="20"/>
        </w:rPr>
      </w:pPr>
    </w:p>
    <w:p w14:paraId="5A8924B4" w14:textId="77777777" w:rsidR="00347144" w:rsidRDefault="00347144">
      <w:pPr>
        <w:spacing w:line="240" w:lineRule="auto"/>
        <w:jc w:val="left"/>
        <w:rPr>
          <w:rFonts w:ascii="Times New Roman" w:hAnsi="Times New Roman"/>
          <w:sz w:val="20"/>
          <w:szCs w:val="20"/>
        </w:rPr>
      </w:pPr>
      <w:r>
        <w:rPr>
          <w:rFonts w:ascii="Times New Roman" w:hAnsi="Times New Roman"/>
          <w:sz w:val="20"/>
          <w:szCs w:val="20"/>
        </w:rPr>
        <w:br w:type="page"/>
      </w:r>
    </w:p>
    <w:p w14:paraId="5A51ECD9" w14:textId="77777777" w:rsidR="00347144" w:rsidRPr="00347144" w:rsidRDefault="00347144" w:rsidP="00347144">
      <w:pPr>
        <w:spacing w:line="240" w:lineRule="auto"/>
        <w:jc w:val="center"/>
        <w:rPr>
          <w:rFonts w:ascii="Times New Roman" w:hAnsi="Times New Roman"/>
          <w:b/>
          <w:sz w:val="20"/>
          <w:szCs w:val="20"/>
        </w:rPr>
      </w:pPr>
      <w:r w:rsidRPr="00347144">
        <w:rPr>
          <w:rFonts w:ascii="Times New Roman" w:hAnsi="Times New Roman"/>
          <w:b/>
          <w:sz w:val="20"/>
          <w:szCs w:val="20"/>
        </w:rPr>
        <w:lastRenderedPageBreak/>
        <w:t>La loi Veil de 1975</w:t>
      </w:r>
    </w:p>
    <w:p w14:paraId="13F82A69" w14:textId="77777777" w:rsidR="00347144" w:rsidRPr="00347144" w:rsidRDefault="00347144" w:rsidP="00347144">
      <w:pPr>
        <w:spacing w:line="240" w:lineRule="auto"/>
        <w:rPr>
          <w:rFonts w:ascii="Times New Roman" w:hAnsi="Times New Roman"/>
          <w:sz w:val="20"/>
          <w:szCs w:val="20"/>
        </w:rPr>
      </w:pPr>
    </w:p>
    <w:p w14:paraId="327FAF00"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L’Assemblée nationale et le Sénat ont adopté,</w:t>
      </w:r>
    </w:p>
    <w:p w14:paraId="676956F5"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Le Conseil constitutionnel a déclaré conforme à la Constitution,</w:t>
      </w:r>
    </w:p>
    <w:p w14:paraId="4F39EB8A"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Le Président de la République promulgue la loi dont la teneur suit : </w:t>
      </w:r>
    </w:p>
    <w:p w14:paraId="7C0DF49B" w14:textId="77777777" w:rsidR="00347144" w:rsidRPr="00347144" w:rsidRDefault="00347144" w:rsidP="00347144">
      <w:pPr>
        <w:spacing w:line="240" w:lineRule="auto"/>
        <w:jc w:val="center"/>
        <w:rPr>
          <w:rFonts w:ascii="Times New Roman" w:hAnsi="Times New Roman"/>
          <w:sz w:val="20"/>
          <w:szCs w:val="20"/>
        </w:rPr>
      </w:pPr>
    </w:p>
    <w:p w14:paraId="3E6DD898" w14:textId="77777777" w:rsidR="00347144" w:rsidRPr="00347144" w:rsidRDefault="00347144" w:rsidP="00347144">
      <w:pPr>
        <w:spacing w:line="240" w:lineRule="auto"/>
        <w:jc w:val="center"/>
        <w:rPr>
          <w:rFonts w:ascii="Times New Roman" w:hAnsi="Times New Roman"/>
          <w:sz w:val="20"/>
          <w:szCs w:val="20"/>
        </w:rPr>
      </w:pPr>
      <w:r w:rsidRPr="00347144">
        <w:rPr>
          <w:rFonts w:ascii="Times New Roman" w:hAnsi="Times New Roman"/>
          <w:sz w:val="20"/>
          <w:szCs w:val="20"/>
        </w:rPr>
        <w:t>Titre I</w:t>
      </w:r>
      <w:r w:rsidRPr="00347144">
        <w:rPr>
          <w:rFonts w:ascii="Times New Roman" w:hAnsi="Times New Roman"/>
          <w:sz w:val="20"/>
          <w:szCs w:val="20"/>
          <w:vertAlign w:val="superscript"/>
        </w:rPr>
        <w:t>er</w:t>
      </w:r>
    </w:p>
    <w:p w14:paraId="171B037B"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Art. 1</w:t>
      </w:r>
      <w:r w:rsidRPr="00347144">
        <w:rPr>
          <w:rFonts w:ascii="Times New Roman" w:hAnsi="Times New Roman"/>
          <w:sz w:val="20"/>
          <w:szCs w:val="20"/>
          <w:vertAlign w:val="superscript"/>
        </w:rPr>
        <w:t>er</w:t>
      </w:r>
      <w:r w:rsidRPr="00347144">
        <w:rPr>
          <w:rFonts w:ascii="Times New Roman" w:hAnsi="Times New Roman"/>
          <w:sz w:val="20"/>
          <w:szCs w:val="20"/>
        </w:rPr>
        <w:t xml:space="preserve"> – La loi garantit le respect de tout être humain dès le commencement de la vie. Il ne saurait être porté atteinte à ce principe qu’en cas de nécessité et selon les conditions définies par la présente loi.</w:t>
      </w:r>
    </w:p>
    <w:p w14:paraId="02614B5F"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Art. 2 – Est suspendu, pendant une période de cinq ans à compter de la présente loi, l’application des dispositions des quatre premiers alinéas de l’article 317 du code pénal lorsque l’interruption volontaire de la grossesse est pratiquée avant la fin de la dixième semaine par un médecin dans un établissement d’hospitalisation publique ou dans un établissement d’hospitalisation privé satisfaisant aux dispositions de l’article L 176 du code de la santé publique.</w:t>
      </w:r>
    </w:p>
    <w:p w14:paraId="69952C23" w14:textId="77777777" w:rsidR="00347144" w:rsidRPr="00347144" w:rsidRDefault="00347144" w:rsidP="00347144">
      <w:pPr>
        <w:spacing w:line="240" w:lineRule="auto"/>
        <w:jc w:val="center"/>
        <w:rPr>
          <w:rFonts w:ascii="Times New Roman" w:hAnsi="Times New Roman"/>
          <w:sz w:val="20"/>
          <w:szCs w:val="20"/>
        </w:rPr>
      </w:pPr>
    </w:p>
    <w:p w14:paraId="1ACB3680" w14:textId="77777777" w:rsidR="00347144" w:rsidRPr="00347144" w:rsidRDefault="00347144" w:rsidP="00347144">
      <w:pPr>
        <w:spacing w:line="240" w:lineRule="auto"/>
        <w:jc w:val="center"/>
        <w:rPr>
          <w:rFonts w:ascii="Times New Roman" w:hAnsi="Times New Roman"/>
          <w:sz w:val="20"/>
          <w:szCs w:val="20"/>
        </w:rPr>
      </w:pPr>
      <w:r w:rsidRPr="00347144">
        <w:rPr>
          <w:rFonts w:ascii="Times New Roman" w:hAnsi="Times New Roman"/>
          <w:sz w:val="20"/>
          <w:szCs w:val="20"/>
        </w:rPr>
        <w:t>Titre II</w:t>
      </w:r>
    </w:p>
    <w:p w14:paraId="00F699A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Art. 3 – Après le chapitre III du titre I</w:t>
      </w:r>
      <w:r w:rsidRPr="00347144">
        <w:rPr>
          <w:rFonts w:ascii="Times New Roman" w:hAnsi="Times New Roman"/>
          <w:sz w:val="20"/>
          <w:szCs w:val="20"/>
          <w:vertAlign w:val="superscript"/>
        </w:rPr>
        <w:t>er</w:t>
      </w:r>
      <w:r w:rsidRPr="00347144">
        <w:rPr>
          <w:rFonts w:ascii="Times New Roman" w:hAnsi="Times New Roman"/>
          <w:sz w:val="20"/>
          <w:szCs w:val="20"/>
        </w:rPr>
        <w:t xml:space="preserve"> du livre II du code de la santé publique, il est inséré un chapitre III </w:t>
      </w:r>
      <w:r w:rsidRPr="00347144">
        <w:rPr>
          <w:rFonts w:ascii="Times New Roman" w:hAnsi="Times New Roman"/>
          <w:i/>
          <w:sz w:val="20"/>
          <w:szCs w:val="20"/>
        </w:rPr>
        <w:t>bis</w:t>
      </w:r>
      <w:r w:rsidRPr="00347144">
        <w:rPr>
          <w:rFonts w:ascii="Times New Roman" w:hAnsi="Times New Roman"/>
          <w:sz w:val="20"/>
          <w:szCs w:val="20"/>
        </w:rPr>
        <w:t xml:space="preserve"> intitulé « Interruption volontaire de la grossesse ».</w:t>
      </w:r>
    </w:p>
    <w:p w14:paraId="0F725F2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xml:space="preserve">Art. 4 – La section I du chapitre III </w:t>
      </w:r>
      <w:r w:rsidRPr="00347144">
        <w:rPr>
          <w:rFonts w:ascii="Times New Roman" w:hAnsi="Times New Roman"/>
          <w:i/>
          <w:sz w:val="20"/>
          <w:szCs w:val="20"/>
        </w:rPr>
        <w:t xml:space="preserve">bis </w:t>
      </w:r>
      <w:r w:rsidRPr="00347144">
        <w:rPr>
          <w:rFonts w:ascii="Times New Roman" w:hAnsi="Times New Roman"/>
          <w:sz w:val="20"/>
          <w:szCs w:val="20"/>
        </w:rPr>
        <w:t>du titre I</w:t>
      </w:r>
      <w:r w:rsidRPr="00347144">
        <w:rPr>
          <w:rFonts w:ascii="Times New Roman" w:hAnsi="Times New Roman"/>
          <w:sz w:val="20"/>
          <w:szCs w:val="20"/>
          <w:vertAlign w:val="superscript"/>
        </w:rPr>
        <w:t>er</w:t>
      </w:r>
      <w:r w:rsidRPr="00347144">
        <w:rPr>
          <w:rFonts w:ascii="Times New Roman" w:hAnsi="Times New Roman"/>
          <w:sz w:val="20"/>
          <w:szCs w:val="20"/>
        </w:rPr>
        <w:t xml:space="preserve"> du livre II du code de la santé publique est ainsi rédigé : </w:t>
      </w:r>
    </w:p>
    <w:p w14:paraId="31B87AAA" w14:textId="77777777" w:rsidR="00347144" w:rsidRPr="00347144" w:rsidRDefault="00347144" w:rsidP="00347144">
      <w:pPr>
        <w:spacing w:line="240" w:lineRule="auto"/>
        <w:jc w:val="center"/>
        <w:rPr>
          <w:rFonts w:ascii="Times New Roman" w:hAnsi="Times New Roman"/>
          <w:sz w:val="20"/>
          <w:szCs w:val="20"/>
        </w:rPr>
      </w:pPr>
      <w:r w:rsidRPr="00347144">
        <w:rPr>
          <w:rFonts w:ascii="Times New Roman" w:hAnsi="Times New Roman"/>
          <w:sz w:val="20"/>
          <w:szCs w:val="20"/>
        </w:rPr>
        <w:t>Section I</w:t>
      </w:r>
    </w:p>
    <w:p w14:paraId="0D468C89" w14:textId="77777777" w:rsidR="00347144" w:rsidRPr="00347144" w:rsidRDefault="00347144" w:rsidP="00347144">
      <w:pPr>
        <w:spacing w:line="240" w:lineRule="auto"/>
        <w:jc w:val="center"/>
        <w:rPr>
          <w:rFonts w:ascii="Times New Roman" w:hAnsi="Times New Roman"/>
          <w:i/>
          <w:sz w:val="20"/>
          <w:szCs w:val="20"/>
        </w:rPr>
      </w:pPr>
      <w:r w:rsidRPr="00347144">
        <w:rPr>
          <w:rFonts w:ascii="Times New Roman" w:hAnsi="Times New Roman"/>
          <w:i/>
          <w:sz w:val="20"/>
          <w:szCs w:val="20"/>
        </w:rPr>
        <w:t>Interruption volontaire de la grossesse pratiquée avant la dixième semaine.</w:t>
      </w:r>
    </w:p>
    <w:p w14:paraId="668A2B8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162-1. – La femme enceinte que sa situation place dans une situation de détresse peut demander à un médecin l’interruption de sa grossesse. Cette interruption ne peut être pratiquée qu’avant la fin de la dixième semaine de grossesse.</w:t>
      </w:r>
    </w:p>
    <w:p w14:paraId="5DB42A9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162-2. – L’interruption volontaire d’une grossesse ne peut être pratiquée que par un médecin.</w:t>
      </w:r>
    </w:p>
    <w:p w14:paraId="63D233CC"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Elle ne peut avoir lieu que dans un établissement d’hospitalisation publique ou dans un établissement d’hospitalisation privé satisfaisant aux dispositions de l’article L 176.</w:t>
      </w:r>
    </w:p>
    <w:p w14:paraId="121A169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162-3. Le médecin sollicité par une femme en vue de l’interruption de sa grossesse doit, sous réserve de l’article L 162-8 :</w:t>
      </w:r>
    </w:p>
    <w:p w14:paraId="0DE26865"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1° Informer celle-ci des risques médicaux qu’elle encourt pour elle-même et pour ses maternités futures ;</w:t>
      </w:r>
    </w:p>
    <w:p w14:paraId="41CB989F"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2° Remettre à l’intéressée un dossier-guide comportant :</w:t>
      </w:r>
    </w:p>
    <w:p w14:paraId="3AAAF2DD" w14:textId="77777777" w:rsidR="00347144" w:rsidRPr="00347144" w:rsidRDefault="00347144" w:rsidP="00347144">
      <w:pPr>
        <w:numPr>
          <w:ilvl w:val="0"/>
          <w:numId w:val="8"/>
        </w:numPr>
        <w:spacing w:line="240" w:lineRule="auto"/>
        <w:rPr>
          <w:rFonts w:ascii="Times New Roman" w:hAnsi="Times New Roman"/>
          <w:sz w:val="20"/>
          <w:szCs w:val="20"/>
        </w:rPr>
      </w:pPr>
      <w:r w:rsidRPr="00347144">
        <w:rPr>
          <w:rFonts w:ascii="Times New Roman" w:hAnsi="Times New Roman"/>
          <w:sz w:val="20"/>
          <w:szCs w:val="20"/>
        </w:rPr>
        <w:t>L’énumération des droits, aides et avantages garantis par la loi aux familles, mères célibataires ou non, et à leurs enfants, ainsi que des possibilités offertes par l’adoption d’un enfant à naître ;</w:t>
      </w:r>
    </w:p>
    <w:p w14:paraId="4B33DFBA" w14:textId="77777777" w:rsidR="00347144" w:rsidRPr="00347144" w:rsidRDefault="00347144" w:rsidP="00347144">
      <w:pPr>
        <w:numPr>
          <w:ilvl w:val="0"/>
          <w:numId w:val="8"/>
        </w:numPr>
        <w:spacing w:line="240" w:lineRule="auto"/>
        <w:rPr>
          <w:rFonts w:ascii="Times New Roman" w:hAnsi="Times New Roman"/>
          <w:sz w:val="20"/>
          <w:szCs w:val="20"/>
        </w:rPr>
      </w:pPr>
      <w:r w:rsidRPr="00347144">
        <w:rPr>
          <w:rFonts w:ascii="Times New Roman" w:hAnsi="Times New Roman"/>
          <w:sz w:val="20"/>
          <w:szCs w:val="20"/>
        </w:rPr>
        <w:t>La liste et les adresses des organismes visés à l’article 162-4.</w:t>
      </w:r>
    </w:p>
    <w:p w14:paraId="201ABB70"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Un arrêté précisera dans quelles conditions les directions départementales d’action sanitaire et sociale assureront la réalisation des dossiers-guides destinés aux médecins.</w:t>
      </w:r>
    </w:p>
    <w:p w14:paraId="3C957B80"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162-4. – Une femme s’estimant placée par la situation visée à l’article L 162-1 doit, après la démarche prévue à l’article L 162-3, consulter un établissement d’information, de consultation ou de conseil familial, un centre de planification ou d’éducation familiale, un service social ou un autre établissement agréé qui devra lui délivrer une attestation de consultation.</w:t>
      </w:r>
    </w:p>
    <w:p w14:paraId="4DAF9FBC"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Cette consultation comporte un entretien particulier au cours duquel une assistance et des conseils appropriés à la situation de l’intéressée lui sont apportés, ainsi que les moyens nécessaires pour résoudre les problèmes sociaux posés.</w:t>
      </w:r>
    </w:p>
    <w:p w14:paraId="658FDF03"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Les personnels des organismes visés au premier alinéa sont soumis aux dispositions de l’article 378 du code pénal.</w:t>
      </w:r>
    </w:p>
    <w:p w14:paraId="5B6B6F9F"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Chaque fois que cela est possible, le couple participe à la consultation et à la décision à prendre.</w:t>
      </w:r>
    </w:p>
    <w:p w14:paraId="43A6186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162-5. – Si la femme renouvelle, après les consultations prévues aux articles L 162-3 et L 162-4, sa demande d’interruption de grossesse, le médecin doit lui demander une confirmation écrite. Il ne peut accepter cette confirmation qu’après l’expiration d’un délai d’une semaine suivant la première demande de la femme.</w:t>
      </w:r>
    </w:p>
    <w:p w14:paraId="5603FC7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162-6. – En cas de confirmation, le médecin peut pratiquer lui-même l’interruption de grossesse dans les conditions fixées au deuxième alinéa de l’article L 162-2. S’il ne pratique pas lui-même l’intervention, il restitue à la femme sa demande pour que celle-ci soit remise au médecin choisi par elle et lui délivre en outre un certificat attestant qu’il s’est conformé aux dispositions des articles L 162-3 et L 162-5.</w:t>
      </w:r>
    </w:p>
    <w:p w14:paraId="71FA4104"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162-7. – Si la femme est mineure célibataire, le consentement de l’une des personnes qui exerce l’autorité parentale ou, le cas échéant, du représentant légal est requis.</w:t>
      </w:r>
    </w:p>
    <w:p w14:paraId="289D2F17"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 Art. L 162-8. – Un médecin n’est jamais tenu de donner suite à une demande d’interruption de grossesse ni de pratiquer celle-ci, mais il doit informer, dès la première visite, l’intéressée de son refus.</w:t>
      </w:r>
    </w:p>
    <w:p w14:paraId="312449EB"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Sous la même réserve, aucune sage-femme, aucun infirmier ou infirmière, aucun auxiliaire médical, quel qu’il soit, n’est tenu de concourir à une interruption médicale de grossesse.</w:t>
      </w:r>
    </w:p>
    <w:p w14:paraId="58347790"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lastRenderedPageBreak/>
        <w:t>Un établissement d’hospitalisation privé peut refuser que des interruptions volontaires de grossesse soient pratiquées dans ses locaux.</w:t>
      </w:r>
    </w:p>
    <w:p w14:paraId="6FDBBC2E"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Toutefois, dans le cas où l’établissement a demandé à participer à l’exécution du service public hospitalier ou conclu un contrat de concession […], ce refus ne peut être opposé que si d’autres établissements sont en mesure de répondre aux besoins locaux.</w:t>
      </w:r>
    </w:p>
    <w:p w14:paraId="5BCF2DFD" w14:textId="77777777" w:rsidR="00347144" w:rsidRPr="00347144" w:rsidRDefault="00347144" w:rsidP="00347144">
      <w:pPr>
        <w:spacing w:line="240" w:lineRule="auto"/>
        <w:rPr>
          <w:rFonts w:ascii="Times New Roman" w:hAnsi="Times New Roman"/>
          <w:sz w:val="20"/>
          <w:szCs w:val="20"/>
        </w:rPr>
      </w:pPr>
      <w:r w:rsidRPr="00347144">
        <w:rPr>
          <w:rFonts w:ascii="Times New Roman" w:hAnsi="Times New Roman"/>
          <w:sz w:val="20"/>
          <w:szCs w:val="20"/>
        </w:rPr>
        <w:t>Art. L 162-9. – Tout établissement dans lequel est pratiquée une interruption de grossesse doit assurer, après l’intervention, l’information de la femme en matière de régulation des naissances. »</w:t>
      </w:r>
    </w:p>
    <w:p w14:paraId="362437B9" w14:textId="77777777" w:rsidR="00347144" w:rsidRPr="00347144" w:rsidRDefault="00347144" w:rsidP="00347144">
      <w:pPr>
        <w:spacing w:line="240" w:lineRule="auto"/>
        <w:rPr>
          <w:rFonts w:ascii="Times New Roman" w:hAnsi="Times New Roman"/>
          <w:sz w:val="20"/>
          <w:szCs w:val="20"/>
        </w:rPr>
      </w:pPr>
    </w:p>
    <w:p w14:paraId="267A94DE" w14:textId="77777777" w:rsidR="00401461" w:rsidRDefault="00347144" w:rsidP="00347144">
      <w:pPr>
        <w:spacing w:line="240" w:lineRule="auto"/>
        <w:rPr>
          <w:rFonts w:ascii="Times New Roman" w:hAnsi="Times New Roman"/>
          <w:sz w:val="20"/>
          <w:szCs w:val="20"/>
        </w:rPr>
      </w:pPr>
      <w:r w:rsidRPr="00347144">
        <w:rPr>
          <w:rFonts w:ascii="Times New Roman" w:hAnsi="Times New Roman"/>
          <w:sz w:val="20"/>
          <w:szCs w:val="20"/>
        </w:rPr>
        <w:t>Loi n</w:t>
      </w:r>
      <w:r w:rsidRPr="00347144">
        <w:rPr>
          <w:rFonts w:ascii="Times New Roman" w:hAnsi="Times New Roman"/>
          <w:sz w:val="20"/>
          <w:szCs w:val="20"/>
          <w:vertAlign w:val="superscript"/>
        </w:rPr>
        <w:t>o</w:t>
      </w:r>
      <w:r w:rsidRPr="00347144">
        <w:rPr>
          <w:rFonts w:ascii="Times New Roman" w:hAnsi="Times New Roman"/>
          <w:sz w:val="20"/>
          <w:szCs w:val="20"/>
        </w:rPr>
        <w:t xml:space="preserve"> 75-17 du 17 janvier 1975 </w:t>
      </w:r>
      <w:r w:rsidRPr="00347144">
        <w:rPr>
          <w:rFonts w:ascii="Times New Roman" w:hAnsi="Times New Roman"/>
          <w:i/>
          <w:sz w:val="20"/>
          <w:szCs w:val="20"/>
        </w:rPr>
        <w:t>relative à l’interruption volontaire de la grossesse</w:t>
      </w:r>
      <w:r w:rsidRPr="00347144">
        <w:rPr>
          <w:rFonts w:ascii="Times New Roman" w:hAnsi="Times New Roman"/>
          <w:sz w:val="20"/>
          <w:szCs w:val="20"/>
        </w:rPr>
        <w:t xml:space="preserve">, </w:t>
      </w:r>
      <w:r w:rsidRPr="00347144">
        <w:rPr>
          <w:rFonts w:ascii="Times New Roman" w:hAnsi="Times New Roman"/>
          <w:i/>
          <w:sz w:val="20"/>
          <w:szCs w:val="20"/>
        </w:rPr>
        <w:t>Journal officiel de la République française</w:t>
      </w:r>
      <w:r w:rsidRPr="00347144">
        <w:rPr>
          <w:rFonts w:ascii="Times New Roman" w:hAnsi="Times New Roman"/>
          <w:sz w:val="20"/>
          <w:szCs w:val="20"/>
        </w:rPr>
        <w:t xml:space="preserve"> du 18 janvier 1975, p.739.</w:t>
      </w:r>
    </w:p>
    <w:p w14:paraId="47ADC843" w14:textId="77777777" w:rsidR="008F7B7F" w:rsidRPr="00945300" w:rsidRDefault="00401461" w:rsidP="00945300">
      <w:pPr>
        <w:spacing w:line="240" w:lineRule="auto"/>
        <w:jc w:val="left"/>
        <w:rPr>
          <w:rFonts w:ascii="Times New Roman" w:hAnsi="Times New Roman"/>
          <w:sz w:val="20"/>
          <w:szCs w:val="20"/>
        </w:rPr>
      </w:pPr>
      <w:r>
        <w:rPr>
          <w:rFonts w:ascii="Times New Roman" w:hAnsi="Times New Roman"/>
          <w:sz w:val="20"/>
          <w:szCs w:val="20"/>
        </w:rPr>
        <w:br w:type="page"/>
      </w:r>
    </w:p>
    <w:p w14:paraId="70E89458" w14:textId="5A343ECB" w:rsidR="00401461" w:rsidRPr="00980656" w:rsidRDefault="00401461" w:rsidP="00401461">
      <w:pPr>
        <w:spacing w:line="240" w:lineRule="auto"/>
        <w:ind w:firstLine="708"/>
        <w:jc w:val="center"/>
        <w:rPr>
          <w:rFonts w:ascii="Times New Roman" w:hAnsi="Times New Roman"/>
          <w:b/>
          <w:sz w:val="20"/>
          <w:szCs w:val="20"/>
        </w:rPr>
      </w:pPr>
      <w:r w:rsidRPr="00980656">
        <w:rPr>
          <w:rFonts w:ascii="Times New Roman" w:hAnsi="Times New Roman"/>
          <w:b/>
          <w:sz w:val="20"/>
          <w:szCs w:val="20"/>
        </w:rPr>
        <w:lastRenderedPageBreak/>
        <w:t>La crise</w:t>
      </w:r>
      <w:r w:rsidR="00496875">
        <w:rPr>
          <w:rFonts w:ascii="Times New Roman" w:hAnsi="Times New Roman"/>
          <w:b/>
          <w:sz w:val="20"/>
          <w:szCs w:val="20"/>
        </w:rPr>
        <w:t xml:space="preserve"> </w:t>
      </w:r>
      <w:r w:rsidRPr="00980656">
        <w:rPr>
          <w:rFonts w:ascii="Times New Roman" w:hAnsi="Times New Roman"/>
          <w:b/>
          <w:sz w:val="20"/>
          <w:szCs w:val="20"/>
        </w:rPr>
        <w:t>de l’au-delà catholique</w:t>
      </w:r>
      <w:r w:rsidR="00496875">
        <w:rPr>
          <w:rFonts w:ascii="Times New Roman" w:hAnsi="Times New Roman"/>
          <w:b/>
          <w:sz w:val="20"/>
          <w:szCs w:val="20"/>
        </w:rPr>
        <w:t xml:space="preserve"> après</w:t>
      </w:r>
      <w:r w:rsidR="00CD0FC7">
        <w:rPr>
          <w:rFonts w:ascii="Times New Roman" w:hAnsi="Times New Roman"/>
          <w:b/>
          <w:sz w:val="20"/>
          <w:szCs w:val="20"/>
        </w:rPr>
        <w:t xml:space="preserve"> le concile</w:t>
      </w:r>
      <w:r w:rsidR="00496875">
        <w:rPr>
          <w:rFonts w:ascii="Times New Roman" w:hAnsi="Times New Roman"/>
          <w:b/>
          <w:sz w:val="20"/>
          <w:szCs w:val="20"/>
        </w:rPr>
        <w:t xml:space="preserve"> Vatican II</w:t>
      </w:r>
    </w:p>
    <w:p w14:paraId="258FE44A" w14:textId="77777777" w:rsidR="00401461" w:rsidRPr="00980656" w:rsidRDefault="00401461" w:rsidP="00401461">
      <w:pPr>
        <w:spacing w:line="240" w:lineRule="auto"/>
        <w:ind w:firstLine="708"/>
        <w:rPr>
          <w:rFonts w:ascii="Times New Roman" w:hAnsi="Times New Roman"/>
          <w:sz w:val="20"/>
          <w:szCs w:val="20"/>
        </w:rPr>
      </w:pPr>
    </w:p>
    <w:p w14:paraId="1C35A927"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 À tous les évêques, membres des conférences épiscopales,</w:t>
      </w:r>
    </w:p>
    <w:p w14:paraId="51A6EE78" w14:textId="77777777" w:rsidR="00401461" w:rsidRPr="00980656" w:rsidRDefault="00401461" w:rsidP="00401461">
      <w:pPr>
        <w:spacing w:line="240" w:lineRule="auto"/>
        <w:rPr>
          <w:rFonts w:ascii="Times New Roman" w:hAnsi="Times New Roman"/>
          <w:sz w:val="20"/>
          <w:szCs w:val="20"/>
        </w:rPr>
      </w:pPr>
    </w:p>
    <w:p w14:paraId="0C175F5E"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Les récents synodes, consacrés respectivement à l’évangélisation et à la catéchèse, ont fait prendre une conscience plus vive de la nécessité d’une fidélité parfaite aux vérités fondamentales de la foi, surtout aujourd’hui où les mutations profondes du milieu humain et le souci d’intégrer la foi dans les univers culturels divers imposent un effort plus grand qu’autrefois en vue de rendre cette foi accessible et communicable. Cette dernière exigence, actuellement si pressante, appelle en effet un souci plus fort que jamais de l’authenticité et d’intégrité de la foi.</w:t>
      </w:r>
    </w:p>
    <w:p w14:paraId="77B25098"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Les responsables doivent donc se montrer extrêmement attentifs à tout ce qui pourrait causer dans la conscience commune des fidèles la lente dégradation et l’extinction progressive de quelque élément du Symbole baptismal indispensable à la cohérence de la foi et lié inséparablement à des usages importants dans la vie de l’Église.</w:t>
      </w:r>
    </w:p>
    <w:p w14:paraId="0ECAC0F2"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Précisément sur l’un de ces points, il a paru opportun et urgent d’attirer l’attention de ceux à qui Dieu a confié le soin de promouvoir et de défendre la foi, afin qu’ils préviennent les dangers qui pourraient mettre en cause cette même foi dans l’âme des fidèles.</w:t>
      </w:r>
    </w:p>
    <w:p w14:paraId="1358C2C8"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 xml:space="preserve">Il s’agit de cet </w:t>
      </w:r>
      <w:r w:rsidRPr="00980656">
        <w:rPr>
          <w:rFonts w:ascii="Times New Roman" w:hAnsi="Times New Roman"/>
          <w:i/>
          <w:sz w:val="20"/>
          <w:szCs w:val="20"/>
        </w:rPr>
        <w:t>article du Credo</w:t>
      </w:r>
      <w:r w:rsidRPr="00980656">
        <w:rPr>
          <w:rFonts w:ascii="Times New Roman" w:hAnsi="Times New Roman"/>
          <w:sz w:val="20"/>
          <w:szCs w:val="20"/>
        </w:rPr>
        <w:t xml:space="preserve"> qui concerne la vie éternelle et donc, généralement, l’au-delà de la mort. Sur une telle question, l’enseignement ne peut se permettre de défaillances ; il ne peut même pas rester déficient ou incertain, sans mettre en péril la foi et le salut des fidèles.</w:t>
      </w:r>
    </w:p>
    <w:p w14:paraId="4F353558"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 xml:space="preserve">L’importance de ce dernier </w:t>
      </w:r>
      <w:r w:rsidRPr="00980656">
        <w:rPr>
          <w:rFonts w:ascii="Times New Roman" w:hAnsi="Times New Roman"/>
          <w:i/>
          <w:sz w:val="20"/>
          <w:szCs w:val="20"/>
        </w:rPr>
        <w:t>article du Symbole baptismal n’échappe à personne</w:t>
      </w:r>
      <w:r w:rsidRPr="00980656">
        <w:rPr>
          <w:rFonts w:ascii="Times New Roman" w:hAnsi="Times New Roman"/>
          <w:sz w:val="20"/>
          <w:szCs w:val="20"/>
        </w:rPr>
        <w:t> : il exprime le terme et le but du dessein de Dieu dont le Symbole trace le déroulement. S’il n’y a pas de résurrection, tout l’édifice de la foi s’effondre, comme le dit si vigoureusement saint Paul (cf. 1 Co 15). Si le chrétien ne peut plus donner aux mots « vie éternelle » un contenu certain, les promesses de l’Évangile, le sens de la création et de la rédemption s’évanouissent, la vie présente elle-même est privée de toute espérance (cf. He 11, 1).</w:t>
      </w:r>
    </w:p>
    <w:p w14:paraId="474C3DC5"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Or, comment ignorer sur ce point le malaise et l’inquiétude de beaucoup ? Qui ne constate que le doute s’insinue subtilement et jusqu’au plus profond des esprits ? Même si heureusement, dans la plupart des cas, le chrétien n’en est pas encore arrivé au doute positif, souvent il s’abstient de penser à ce qui suit la mort, car il commence à sentir se lever en lui des questions auxquelles il redoute de devoir répondre : existe-t-il quelque chose au-delà de la mort ? subsiste-t-il quelque chose de nous-mêmes après cette mort ? n’est-ce pas le néant qui nous attend ?</w:t>
      </w:r>
    </w:p>
    <w:p w14:paraId="52EA8F5F"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Il faut voir là pour une part la répercussion non voulue, dans les esprits, de controverses théologiques largement diffusées dans le public, et dont la plupart des fidèles ne sont pas en mesure de discerner ni l’objet ni la portée. On entend discuter de l’existence de l’âme, la signification d’une survie, on se demande ce qui se passe entre la mort du chrétien et la résurrection générale. Le peuple chrétien est désemparé de ne plus retrouver son vocabulaire et ses connaissances particulières.</w:t>
      </w:r>
    </w:p>
    <w:p w14:paraId="0B8B236E"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Il ne peut assurément être question de limiter ou même d’empêcher une recherche théologique dont la foi de l’Eglise a besoin et dont elle doit pouvoir profiter. Mais on ne saurait non plus se dispenser d’affermir en temps voulu la foi des chrétiens sur les points qui sont mis en doute.</w:t>
      </w:r>
    </w:p>
    <w:p w14:paraId="73DAE65C"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De ce double et difficile devoir, nous voudrions rappeler sommairement la nature et les aspects en cette situation délicate.</w:t>
      </w:r>
    </w:p>
    <w:p w14:paraId="2FC4487D" w14:textId="77777777" w:rsidR="00401461" w:rsidRPr="00980656" w:rsidRDefault="00401461" w:rsidP="00401461">
      <w:pPr>
        <w:spacing w:line="240" w:lineRule="auto"/>
        <w:ind w:firstLine="708"/>
        <w:rPr>
          <w:rFonts w:ascii="Times New Roman" w:hAnsi="Times New Roman"/>
          <w:sz w:val="20"/>
          <w:szCs w:val="20"/>
        </w:rPr>
      </w:pPr>
    </w:p>
    <w:p w14:paraId="181DC100"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Il faut d’abord que tous ceux qui ont à enseigner discernent bien ce que l’Église considère comme appartenant à l’essence de la foi ; la recherche théologique ne peut avoir d’autres vues que de l’approfondir et le développer.</w:t>
      </w:r>
    </w:p>
    <w:p w14:paraId="4881CB75"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Cette congrégation, qui a la responsabilité de promouvoir et de protéger la doctrine de la foi, veut ici rappeler l’enseignement que donne l’Église au nom du Christ, spécialement sur ce qui advient entre la mort du chrétien et la résurrection générale.</w:t>
      </w:r>
    </w:p>
    <w:p w14:paraId="366712A8" w14:textId="77777777" w:rsidR="00401461" w:rsidRPr="00980656" w:rsidRDefault="00401461" w:rsidP="00401461">
      <w:pPr>
        <w:pStyle w:val="Paragraphedeliste"/>
        <w:numPr>
          <w:ilvl w:val="0"/>
          <w:numId w:val="19"/>
        </w:numPr>
        <w:rPr>
          <w:sz w:val="20"/>
          <w:szCs w:val="20"/>
        </w:rPr>
      </w:pPr>
      <w:r w:rsidRPr="00980656">
        <w:rPr>
          <w:sz w:val="20"/>
          <w:szCs w:val="20"/>
        </w:rPr>
        <w:t xml:space="preserve">L’Église croit (cf. Credo) à une </w:t>
      </w:r>
      <w:r w:rsidRPr="00980656">
        <w:rPr>
          <w:i/>
          <w:sz w:val="20"/>
          <w:szCs w:val="20"/>
        </w:rPr>
        <w:t>résurrection des morts</w:t>
      </w:r>
      <w:r w:rsidRPr="00980656">
        <w:rPr>
          <w:sz w:val="20"/>
          <w:szCs w:val="20"/>
        </w:rPr>
        <w:t>.</w:t>
      </w:r>
    </w:p>
    <w:p w14:paraId="2B4397FD" w14:textId="77777777" w:rsidR="00401461" w:rsidRPr="00980656" w:rsidRDefault="00401461" w:rsidP="00401461">
      <w:pPr>
        <w:pStyle w:val="Paragraphedeliste"/>
        <w:numPr>
          <w:ilvl w:val="0"/>
          <w:numId w:val="19"/>
        </w:numPr>
        <w:ind w:left="0" w:firstLine="708"/>
        <w:rPr>
          <w:sz w:val="20"/>
          <w:szCs w:val="20"/>
        </w:rPr>
      </w:pPr>
      <w:r w:rsidRPr="00980656">
        <w:rPr>
          <w:sz w:val="20"/>
          <w:szCs w:val="20"/>
        </w:rPr>
        <w:t>L’Église entend cette résurrection de l’</w:t>
      </w:r>
      <w:r w:rsidRPr="00980656">
        <w:rPr>
          <w:i/>
          <w:sz w:val="20"/>
          <w:szCs w:val="20"/>
        </w:rPr>
        <w:t>homme tout entier </w:t>
      </w:r>
      <w:r w:rsidRPr="00980656">
        <w:rPr>
          <w:sz w:val="20"/>
          <w:szCs w:val="20"/>
        </w:rPr>
        <w:t>; celle-ci n’est pour les élus rien d’autre que l’extension aux hommes de la résurrection même du Christ.</w:t>
      </w:r>
    </w:p>
    <w:p w14:paraId="5B2AA065" w14:textId="77777777" w:rsidR="00401461" w:rsidRPr="00980656" w:rsidRDefault="00401461" w:rsidP="00401461">
      <w:pPr>
        <w:pStyle w:val="Paragraphedeliste"/>
        <w:numPr>
          <w:ilvl w:val="0"/>
          <w:numId w:val="19"/>
        </w:numPr>
        <w:ind w:left="0" w:firstLine="708"/>
        <w:rPr>
          <w:sz w:val="20"/>
          <w:szCs w:val="20"/>
        </w:rPr>
      </w:pPr>
      <w:r w:rsidRPr="00980656">
        <w:rPr>
          <w:sz w:val="20"/>
          <w:szCs w:val="20"/>
        </w:rPr>
        <w:t>L’Église affirme la survivance et la subsistance après la mort d’un élément spirituel, qui est doué de conscience et de volonté, en sorte que le « moi » humain subsiste. Pour désigner cet élément, l’Église emploie le mot « âme », consacré par l’usage de l’Écriture et de la tradition. Sans ignorer que ce terme prend dans la Bible plusieurs sens, elle estime néanmoins qu’il n’existe aucune raison sérieuse de le rejeter et considère même qu’un outil verbal est absolument indispensable pour soutenir la foi des chrétiens.</w:t>
      </w:r>
    </w:p>
    <w:p w14:paraId="0D583A95" w14:textId="77777777" w:rsidR="00401461" w:rsidRPr="00980656" w:rsidRDefault="00401461" w:rsidP="00401461">
      <w:pPr>
        <w:pStyle w:val="Paragraphedeliste"/>
        <w:numPr>
          <w:ilvl w:val="0"/>
          <w:numId w:val="19"/>
        </w:numPr>
        <w:ind w:left="0" w:firstLine="708"/>
        <w:rPr>
          <w:sz w:val="20"/>
          <w:szCs w:val="20"/>
        </w:rPr>
      </w:pPr>
      <w:r w:rsidRPr="00980656">
        <w:rPr>
          <w:sz w:val="20"/>
          <w:szCs w:val="20"/>
        </w:rPr>
        <w:t>L’Église exclut toute forme de pensée ou d’expression qui rendrait absurdes ou inintelligibles sa prière, ses rites funèbres, son culte des morts, lesquels constituent, dans leur substance, des lieux théologiques.</w:t>
      </w:r>
    </w:p>
    <w:p w14:paraId="0CCC0B39" w14:textId="77777777" w:rsidR="00401461" w:rsidRPr="00980656" w:rsidRDefault="00401461" w:rsidP="00401461">
      <w:pPr>
        <w:pStyle w:val="Paragraphedeliste"/>
        <w:numPr>
          <w:ilvl w:val="0"/>
          <w:numId w:val="19"/>
        </w:numPr>
        <w:ind w:left="0" w:firstLine="708"/>
        <w:rPr>
          <w:sz w:val="20"/>
          <w:szCs w:val="20"/>
        </w:rPr>
      </w:pPr>
      <w:r w:rsidRPr="00980656">
        <w:rPr>
          <w:sz w:val="20"/>
          <w:szCs w:val="20"/>
        </w:rPr>
        <w:t>L’Église, conformément à l’Écriture, attend « la manifestation glorieuse de Notre-Seigneur Jésus-Christ » (</w:t>
      </w:r>
      <w:r w:rsidRPr="00980656">
        <w:rPr>
          <w:i/>
          <w:sz w:val="20"/>
          <w:szCs w:val="20"/>
        </w:rPr>
        <w:t xml:space="preserve">Dei </w:t>
      </w:r>
      <w:proofErr w:type="spellStart"/>
      <w:r w:rsidRPr="00980656">
        <w:rPr>
          <w:i/>
          <w:sz w:val="20"/>
          <w:szCs w:val="20"/>
        </w:rPr>
        <w:t>Verbum</w:t>
      </w:r>
      <w:proofErr w:type="spellEnd"/>
      <w:r w:rsidRPr="00980656">
        <w:rPr>
          <w:sz w:val="20"/>
          <w:szCs w:val="20"/>
        </w:rPr>
        <w:t>, I 4), considérée cependant comme distincte et différée par rapport à la situation qui est celle des hommes immédiatement après leur mort.</w:t>
      </w:r>
    </w:p>
    <w:p w14:paraId="0AD739D1" w14:textId="77777777" w:rsidR="00401461" w:rsidRPr="00980656" w:rsidRDefault="00401461" w:rsidP="00401461">
      <w:pPr>
        <w:pStyle w:val="Paragraphedeliste"/>
        <w:numPr>
          <w:ilvl w:val="0"/>
          <w:numId w:val="19"/>
        </w:numPr>
        <w:ind w:left="0" w:firstLine="708"/>
        <w:rPr>
          <w:sz w:val="20"/>
          <w:szCs w:val="20"/>
        </w:rPr>
      </w:pPr>
      <w:r w:rsidRPr="00980656">
        <w:rPr>
          <w:sz w:val="20"/>
          <w:szCs w:val="20"/>
        </w:rPr>
        <w:lastRenderedPageBreak/>
        <w:t>L’Église, dans son enseignement sur le sort de l’homme après sa mort, exclut toute explication qui ôterait son sens à l’assomption de Marie en ce qu’elle a d’unique, c’est-à-dire le fait que la glorification corporelle de la Vierge est l’anticipation de la glorification destinée à tous les autres élus.</w:t>
      </w:r>
    </w:p>
    <w:p w14:paraId="7DD1AB90" w14:textId="77777777" w:rsidR="00401461" w:rsidRPr="00980656" w:rsidRDefault="00401461" w:rsidP="00401461">
      <w:pPr>
        <w:pStyle w:val="Paragraphedeliste"/>
        <w:numPr>
          <w:ilvl w:val="0"/>
          <w:numId w:val="19"/>
        </w:numPr>
        <w:ind w:left="0" w:firstLine="708"/>
        <w:rPr>
          <w:sz w:val="20"/>
          <w:szCs w:val="20"/>
        </w:rPr>
      </w:pPr>
      <w:r w:rsidRPr="00980656">
        <w:rPr>
          <w:sz w:val="20"/>
          <w:szCs w:val="20"/>
        </w:rPr>
        <w:t>L’Église, dans la fidélité au Nouveau Testament et à la tradition, croit à la félicité des justes qui seront un jour avec le Christ. Elle croit qu’une peine attend pour toujours le pécheur qui sera privé de la vue de Dieu, et à la répercussion de cette peine dans tout son être. Elle croit enfin pour les élus à une éventuelle purification préalable à la vision de Dieu, tout à fait étrangère cependant à la peine des damnés. C’est ce que l’Église entend lorsqu’elle parle d’enfer et de purgatoire.</w:t>
      </w:r>
    </w:p>
    <w:p w14:paraId="6FAFACB2" w14:textId="77777777" w:rsidR="00401461" w:rsidRPr="00980656" w:rsidRDefault="00401461" w:rsidP="00401461">
      <w:pPr>
        <w:pStyle w:val="Paragraphedeliste"/>
        <w:ind w:left="0" w:firstLine="708"/>
        <w:rPr>
          <w:sz w:val="20"/>
          <w:szCs w:val="20"/>
        </w:rPr>
      </w:pPr>
      <w:r w:rsidRPr="00980656">
        <w:rPr>
          <w:sz w:val="20"/>
          <w:szCs w:val="20"/>
        </w:rPr>
        <w:t>En ce qui concerne les conditions de l’homme après la mort, le danger des représentations imaginatives et arbitraires est particulièrement à redouter, car leurs excès entrent pour une grande part dans les difficultés que rencontrent souvent la foi chrétienne. Les images employées dans l’Écriture méritent cependant le respect. Il faut en saisir le sens profond, en évitant le risque de trop les atténuer, ce qui équivaut souvent à vider de leur substance les réalités qu’elles désignent.</w:t>
      </w:r>
    </w:p>
    <w:p w14:paraId="41810C65" w14:textId="77777777" w:rsidR="00401461" w:rsidRPr="00980656" w:rsidRDefault="00401461" w:rsidP="00401461">
      <w:pPr>
        <w:pStyle w:val="Paragraphedeliste"/>
        <w:ind w:left="0" w:firstLine="708"/>
        <w:rPr>
          <w:sz w:val="20"/>
          <w:szCs w:val="20"/>
        </w:rPr>
      </w:pPr>
      <w:r w:rsidRPr="00980656">
        <w:rPr>
          <w:sz w:val="20"/>
          <w:szCs w:val="20"/>
        </w:rPr>
        <w:t xml:space="preserve">Ni les Écritures ni la théologie ne nous fournissent de lumières suffisantes pour une représentation de l’au-delà. Le chrétien doit tenir solidement deux points essentiels : il doit croire d’une part à la continuité fondamentale qui existe, par la vertu de l’Esprit saint, entre la vie présente dans le Christ et la vie future – en effet, la charité est la loi du royaume de Dieu et c’est la mesure de notre charité ici-bas qui sera celle de notre participation à la gloire du ciel ; mais, d’autre part, le chrétien doit discerner la rupture radicale entre le présent et l’avenir du fait que, au régime de la foi, se substitue celui de la pleine lumière : nous serons avec le Christ et nous « verrons Dieu » (cf. 1 </w:t>
      </w:r>
      <w:proofErr w:type="spellStart"/>
      <w:r w:rsidRPr="00980656">
        <w:rPr>
          <w:sz w:val="20"/>
          <w:szCs w:val="20"/>
        </w:rPr>
        <w:t>Jn</w:t>
      </w:r>
      <w:proofErr w:type="spellEnd"/>
      <w:r w:rsidRPr="00980656">
        <w:rPr>
          <w:sz w:val="20"/>
          <w:szCs w:val="20"/>
        </w:rPr>
        <w:t xml:space="preserve"> 3, 2), promesse et mystère inouïs en quoi consiste essentiellement notre espérance. Si l’imagination ne peut y arriver, le cœur y va d’instinct et à fond.</w:t>
      </w:r>
    </w:p>
    <w:p w14:paraId="0EC54F8B" w14:textId="77777777" w:rsidR="00401461" w:rsidRPr="00980656" w:rsidRDefault="00401461" w:rsidP="00401461">
      <w:pPr>
        <w:spacing w:line="240" w:lineRule="auto"/>
        <w:rPr>
          <w:rFonts w:ascii="Times New Roman" w:hAnsi="Times New Roman"/>
          <w:sz w:val="20"/>
          <w:szCs w:val="20"/>
        </w:rPr>
      </w:pPr>
    </w:p>
    <w:p w14:paraId="42893A99"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Après avoir rappelé ces données, qu’il soit permis d’évoquer les aspects principaux de la responsabilité pastorale telle qu’elle doit se traduire dans les circonstances actuelles et à la lumière de la prudence chrétienne.</w:t>
      </w:r>
    </w:p>
    <w:p w14:paraId="2599D4C7"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Les difficultés inhérentes à ces problèmes créent de graves devoirs aux théologiens, dont la mission est indispensable. Aussi ont-ils droit à nos encouragements et à la marge de liberté qu’exigent légitimement leurs méthodes. De notre part, cependant, il est nécessaire de rappeler aux chrétiens sans nous lasser les enseignements de l’Église qui constituent la base aussi bien de la vie chrétienne que de la recherche des experts. Il faut aussi arriver à faire partager aux théologiens nos soucis pastoraux pour que leurs initiatives de recherches ne soient pas témérairement répandues parmi les fidèles dont la foi est mise en péril aujourd’hui plus que jamais.</w:t>
      </w:r>
    </w:p>
    <w:p w14:paraId="19849DED" w14:textId="77777777" w:rsidR="00401461" w:rsidRPr="00980656" w:rsidRDefault="00401461" w:rsidP="00401461">
      <w:pPr>
        <w:spacing w:line="240" w:lineRule="auto"/>
        <w:ind w:firstLine="708"/>
        <w:rPr>
          <w:rFonts w:ascii="Times New Roman" w:hAnsi="Times New Roman"/>
          <w:sz w:val="20"/>
          <w:szCs w:val="20"/>
        </w:rPr>
      </w:pPr>
      <w:r w:rsidRPr="00980656">
        <w:rPr>
          <w:rFonts w:ascii="Times New Roman" w:hAnsi="Times New Roman"/>
          <w:sz w:val="20"/>
          <w:szCs w:val="20"/>
        </w:rPr>
        <w:t>Le dernier synode a manifesté l’attention que l’épiscopat porte au contenu essentiel de la catéchèse, en vue du bien des fidèles. Il est nécessaire que tous ceux qui sont chargés de le transmettre en possèdent une idée très claire. Aussi devons-nous leur donner les moyens d’être en même temps très fermes sur l’essentiel de la doctrine et attentifs à ne pas laisser des représentations enfantines ou arbitraires se confondre avec la vérité de la foi. […]. »</w:t>
      </w:r>
    </w:p>
    <w:p w14:paraId="0FAB5974" w14:textId="77777777" w:rsidR="00401461" w:rsidRPr="00980656" w:rsidRDefault="00401461" w:rsidP="00401461">
      <w:pPr>
        <w:spacing w:line="240" w:lineRule="auto"/>
        <w:rPr>
          <w:rFonts w:ascii="Times New Roman" w:hAnsi="Times New Roman"/>
          <w:sz w:val="20"/>
          <w:szCs w:val="20"/>
        </w:rPr>
      </w:pPr>
    </w:p>
    <w:p w14:paraId="3B936E23" w14:textId="77777777" w:rsidR="00175AB8" w:rsidRDefault="00401461" w:rsidP="00401461">
      <w:pPr>
        <w:spacing w:line="240" w:lineRule="auto"/>
        <w:rPr>
          <w:rFonts w:ascii="Times New Roman" w:hAnsi="Times New Roman"/>
          <w:sz w:val="20"/>
          <w:szCs w:val="20"/>
        </w:rPr>
      </w:pPr>
      <w:r w:rsidRPr="00980656">
        <w:rPr>
          <w:rFonts w:ascii="Times New Roman" w:hAnsi="Times New Roman"/>
          <w:sz w:val="20"/>
          <w:szCs w:val="20"/>
        </w:rPr>
        <w:t xml:space="preserve">Cardinal Franjo </w:t>
      </w:r>
      <w:proofErr w:type="spellStart"/>
      <w:r w:rsidRPr="00980656">
        <w:rPr>
          <w:rFonts w:ascii="Times New Roman" w:hAnsi="Times New Roman"/>
          <w:sz w:val="20"/>
          <w:szCs w:val="20"/>
        </w:rPr>
        <w:t>Šeper</w:t>
      </w:r>
      <w:proofErr w:type="spellEnd"/>
      <w:r w:rsidRPr="00980656">
        <w:rPr>
          <w:rFonts w:ascii="Times New Roman" w:hAnsi="Times New Roman"/>
          <w:sz w:val="20"/>
          <w:szCs w:val="20"/>
        </w:rPr>
        <w:t xml:space="preserve">, préfet, Note de la Congrégation pour la Doctrine de la Foi sur la vie éternelle et l’au-delà, approuvée par le pape Jean-Paul II le 17 mai 1979 et reprise par le cardinal Joseph Ratzinger en annexe de son ouvrage </w:t>
      </w:r>
      <w:r w:rsidRPr="00980656">
        <w:rPr>
          <w:rFonts w:ascii="Times New Roman" w:hAnsi="Times New Roman"/>
          <w:i/>
          <w:sz w:val="20"/>
          <w:szCs w:val="20"/>
        </w:rPr>
        <w:t>La mort et l’au-delà</w:t>
      </w:r>
      <w:r w:rsidRPr="00980656">
        <w:rPr>
          <w:rFonts w:ascii="Times New Roman" w:hAnsi="Times New Roman"/>
          <w:sz w:val="20"/>
          <w:szCs w:val="20"/>
        </w:rPr>
        <w:t>, Paris, Fayard/</w:t>
      </w:r>
      <w:proofErr w:type="spellStart"/>
      <w:r w:rsidRPr="00980656">
        <w:rPr>
          <w:rFonts w:ascii="Times New Roman" w:hAnsi="Times New Roman"/>
          <w:sz w:val="20"/>
          <w:szCs w:val="20"/>
        </w:rPr>
        <w:t>Communio</w:t>
      </w:r>
      <w:proofErr w:type="spellEnd"/>
      <w:r w:rsidRPr="00980656">
        <w:rPr>
          <w:rFonts w:ascii="Times New Roman" w:hAnsi="Times New Roman"/>
          <w:sz w:val="20"/>
          <w:szCs w:val="20"/>
        </w:rPr>
        <w:t>, 1979 (1</w:t>
      </w:r>
      <w:r w:rsidRPr="00980656">
        <w:rPr>
          <w:rFonts w:ascii="Times New Roman" w:hAnsi="Times New Roman"/>
          <w:sz w:val="20"/>
          <w:szCs w:val="20"/>
          <w:vertAlign w:val="superscript"/>
        </w:rPr>
        <w:t>re</w:t>
      </w:r>
      <w:r w:rsidRPr="00980656">
        <w:rPr>
          <w:rFonts w:ascii="Times New Roman" w:hAnsi="Times New Roman"/>
          <w:sz w:val="20"/>
          <w:szCs w:val="20"/>
        </w:rPr>
        <w:t xml:space="preserve"> éd. allemande 1977), p. 249-252.</w:t>
      </w:r>
      <w:r w:rsidR="00175AB8">
        <w:rPr>
          <w:rFonts w:ascii="Times New Roman" w:hAnsi="Times New Roman"/>
          <w:sz w:val="20"/>
          <w:szCs w:val="20"/>
        </w:rPr>
        <w:br w:type="page"/>
      </w:r>
    </w:p>
    <w:p w14:paraId="21F51AFE" w14:textId="77777777" w:rsidR="00175AB8" w:rsidRPr="00BD1AA4" w:rsidRDefault="00175AB8" w:rsidP="00175AB8">
      <w:pPr>
        <w:spacing w:line="240" w:lineRule="auto"/>
        <w:jc w:val="center"/>
        <w:rPr>
          <w:rFonts w:ascii="Times New Roman" w:hAnsi="Times New Roman"/>
          <w:b/>
          <w:sz w:val="20"/>
          <w:szCs w:val="20"/>
        </w:rPr>
      </w:pPr>
      <w:r w:rsidRPr="00BD1AA4">
        <w:rPr>
          <w:rFonts w:ascii="Times New Roman" w:hAnsi="Times New Roman"/>
          <w:b/>
          <w:sz w:val="20"/>
          <w:szCs w:val="20"/>
        </w:rPr>
        <w:lastRenderedPageBreak/>
        <w:t xml:space="preserve">La crise de la ritualité funèbre </w:t>
      </w:r>
      <w:r>
        <w:rPr>
          <w:rFonts w:ascii="Times New Roman" w:hAnsi="Times New Roman"/>
          <w:b/>
          <w:sz w:val="20"/>
          <w:szCs w:val="20"/>
        </w:rPr>
        <w:t xml:space="preserve">catholique dans les années </w:t>
      </w:r>
      <w:r w:rsidRPr="00BD1AA4">
        <w:rPr>
          <w:rFonts w:ascii="Times New Roman" w:hAnsi="Times New Roman"/>
          <w:b/>
          <w:sz w:val="20"/>
          <w:szCs w:val="20"/>
        </w:rPr>
        <w:t>1970</w:t>
      </w:r>
    </w:p>
    <w:p w14:paraId="531959CA" w14:textId="77777777" w:rsidR="00175AB8" w:rsidRPr="00BD1AA4" w:rsidRDefault="00175AB8" w:rsidP="00175AB8">
      <w:pPr>
        <w:spacing w:line="240" w:lineRule="auto"/>
        <w:ind w:firstLine="708"/>
        <w:rPr>
          <w:rFonts w:ascii="Times New Roman" w:hAnsi="Times New Roman"/>
          <w:sz w:val="20"/>
          <w:szCs w:val="20"/>
        </w:rPr>
      </w:pPr>
    </w:p>
    <w:p w14:paraId="0E967A38"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 Dans le faire-</w:t>
      </w:r>
      <w:r>
        <w:rPr>
          <w:rFonts w:ascii="Times New Roman" w:hAnsi="Times New Roman"/>
          <w:sz w:val="20"/>
          <w:szCs w:val="20"/>
        </w:rPr>
        <w:t>part mortuaire, une formule : “</w:t>
      </w:r>
      <w:r w:rsidRPr="00BD1AA4">
        <w:rPr>
          <w:rFonts w:ascii="Times New Roman" w:hAnsi="Times New Roman"/>
          <w:i/>
          <w:sz w:val="20"/>
          <w:szCs w:val="20"/>
        </w:rPr>
        <w:t>Prière de s’abstenir de condoléances</w:t>
      </w:r>
      <w:r>
        <w:rPr>
          <w:rFonts w:ascii="Times New Roman" w:hAnsi="Times New Roman"/>
          <w:sz w:val="20"/>
          <w:szCs w:val="20"/>
        </w:rPr>
        <w:t>”</w:t>
      </w:r>
      <w:r w:rsidRPr="00BD1AA4">
        <w:rPr>
          <w:rFonts w:ascii="Times New Roman" w:hAnsi="Times New Roman"/>
          <w:sz w:val="20"/>
          <w:szCs w:val="20"/>
        </w:rPr>
        <w:t xml:space="preserve"> a connu une fortune foudroyante. Une étude dans le département de la Moselle montre qu’en dix ans, le refus de condoléances est passé de 2 à 81 %. Tout s’est joué en quatre ans de 1973 à 1977. Ce n’est pas seulement dans les chancelleries et sur les champs de bataille que les historiens doivent chercher des événements. On le dira peut-être un jour </w:t>
      </w:r>
      <w:r>
        <w:rPr>
          <w:rFonts w:ascii="Times New Roman" w:hAnsi="Times New Roman"/>
          <w:sz w:val="20"/>
          <w:szCs w:val="20"/>
        </w:rPr>
        <w:t>dans l’université : “</w:t>
      </w:r>
      <w:r w:rsidRPr="00BD1AA4">
        <w:rPr>
          <w:rFonts w:ascii="Times New Roman" w:hAnsi="Times New Roman"/>
          <w:i/>
          <w:sz w:val="20"/>
          <w:szCs w:val="20"/>
        </w:rPr>
        <w:t>Il est temps de faire place à l’événement inconscient dans l’histoire des mentalités</w:t>
      </w:r>
      <w:r>
        <w:rPr>
          <w:rFonts w:ascii="Times New Roman" w:hAnsi="Times New Roman"/>
          <w:sz w:val="20"/>
          <w:szCs w:val="20"/>
        </w:rPr>
        <w:t>.”</w:t>
      </w:r>
    </w:p>
    <w:p w14:paraId="3DDB7609"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Le décès quasi-subit des condoléances à l’église et au cimetière n’est pas une disparition isolée. C’est toute la ritualité funèbre catholique qui est en train de passer. Elle ne semble pas faire place à d’autres rites.</w:t>
      </w:r>
    </w:p>
    <w:p w14:paraId="274BF9E2"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Il n’y a plus de prières des agonisants, de veillées funèbres, de liturgie de mise en bière. Il n’y a plus de conduite à l’église.</w:t>
      </w:r>
    </w:p>
    <w:p w14:paraId="28BE18F0"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Dans le sanctuaire sans tentures, sans enfants de chœur, sans encens et même sans eau bénite, demeure la prise de parole. Le curé cause, cause, cause. Très peu du destin du défunt. Beaucoup de la peine de survivants exhortés à surmonter leur chagrin. C’est prêcher à des convaincus.</w:t>
      </w:r>
    </w:p>
    <w:p w14:paraId="1FCF6DC1"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Il n’y a plus de conduite au cimetière. Quand le prêtre participe à l’inhumation, il s’y rend en civil.</w:t>
      </w:r>
    </w:p>
    <w:p w14:paraId="73B25249"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Les obsèques de l’après-midi (la part du pauvre jadis) permettent aux gros, moyens et petits riches de supprimer le repas de funérailles. Ici ou là, un lunch-café a pris le relais. Il n’a pas pour lui les promesses de la vie éternelle. Chacun est pressé de filer.</w:t>
      </w:r>
    </w:p>
    <w:p w14:paraId="1B0BBE2C"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Les temps et les costumes de deuil n’existent plus. Quand le noir revient à la mode, il ne rappelle pas un cher disparu.</w:t>
      </w:r>
    </w:p>
    <w:p w14:paraId="2C8B5702"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 xml:space="preserve">A la famille </w:t>
      </w:r>
      <w:proofErr w:type="spellStart"/>
      <w:r w:rsidRPr="00BD1AA4">
        <w:rPr>
          <w:rFonts w:ascii="Times New Roman" w:hAnsi="Times New Roman"/>
          <w:sz w:val="20"/>
          <w:szCs w:val="20"/>
        </w:rPr>
        <w:t>post-nucléaire</w:t>
      </w:r>
      <w:proofErr w:type="spellEnd"/>
      <w:r w:rsidRPr="00BD1AA4">
        <w:rPr>
          <w:rFonts w:ascii="Times New Roman" w:hAnsi="Times New Roman"/>
          <w:sz w:val="20"/>
          <w:szCs w:val="20"/>
        </w:rPr>
        <w:t xml:space="preserve">, il serait souvent difficile de trouver quatre mains pour les cordons du </w:t>
      </w:r>
      <w:proofErr w:type="spellStart"/>
      <w:r w:rsidRPr="00BD1AA4">
        <w:rPr>
          <w:rFonts w:ascii="Times New Roman" w:hAnsi="Times New Roman"/>
          <w:sz w:val="20"/>
          <w:szCs w:val="20"/>
        </w:rPr>
        <w:t>poële</w:t>
      </w:r>
      <w:proofErr w:type="spellEnd"/>
      <w:r w:rsidRPr="00BD1AA4">
        <w:rPr>
          <w:rFonts w:ascii="Times New Roman" w:hAnsi="Times New Roman"/>
          <w:sz w:val="20"/>
          <w:szCs w:val="20"/>
        </w:rPr>
        <w:t xml:space="preserve"> d’antan. Pour les obsèques de pépé, plus souvent encore à ceux de papy, les petits enfants ne sont pas là. On n’a pas voulu gâcher les sports d’hiver ou écourter les séjours linguistiques des grands chéris.</w:t>
      </w:r>
    </w:p>
    <w:p w14:paraId="7895A3F7"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Certes, la vente des chrysanthèmes est florissante. Ne rappelle-t-elle pas celle de la fête des mères ? C’est le coup du pot de fleurs alibi pour grand-m</w:t>
      </w:r>
      <w:r>
        <w:rPr>
          <w:rFonts w:ascii="Times New Roman" w:hAnsi="Times New Roman"/>
          <w:sz w:val="20"/>
          <w:szCs w:val="20"/>
        </w:rPr>
        <w:t>aman placé dans une résidence “très bien”</w:t>
      </w:r>
      <w:r w:rsidRPr="00BD1AA4">
        <w:rPr>
          <w:rFonts w:ascii="Times New Roman" w:hAnsi="Times New Roman"/>
          <w:sz w:val="20"/>
          <w:szCs w:val="20"/>
        </w:rPr>
        <w:t xml:space="preserve"> du troisième âge.</w:t>
      </w:r>
    </w:p>
    <w:p w14:paraId="1FC03C6F" w14:textId="77777777" w:rsidR="00175AB8" w:rsidRPr="00BD1AA4" w:rsidRDefault="00175AB8" w:rsidP="00175AB8">
      <w:pPr>
        <w:spacing w:line="240" w:lineRule="auto"/>
        <w:ind w:firstLine="708"/>
        <w:rPr>
          <w:rFonts w:ascii="Times New Roman" w:hAnsi="Times New Roman"/>
          <w:sz w:val="20"/>
          <w:szCs w:val="20"/>
        </w:rPr>
      </w:pPr>
      <w:r>
        <w:rPr>
          <w:rFonts w:ascii="Times New Roman" w:hAnsi="Times New Roman"/>
          <w:sz w:val="20"/>
          <w:szCs w:val="20"/>
        </w:rPr>
        <w:t>La promotion du “</w:t>
      </w:r>
      <w:r w:rsidRPr="00BD1AA4">
        <w:rPr>
          <w:rFonts w:ascii="Times New Roman" w:hAnsi="Times New Roman"/>
          <w:i/>
          <w:sz w:val="20"/>
          <w:szCs w:val="20"/>
        </w:rPr>
        <w:t>Prière de s’abstenir de condoléances</w:t>
      </w:r>
      <w:r>
        <w:rPr>
          <w:rFonts w:ascii="Times New Roman" w:hAnsi="Times New Roman"/>
          <w:sz w:val="20"/>
          <w:szCs w:val="20"/>
        </w:rPr>
        <w:t>”</w:t>
      </w:r>
      <w:r w:rsidRPr="00BD1AA4">
        <w:rPr>
          <w:rFonts w:ascii="Times New Roman" w:hAnsi="Times New Roman"/>
          <w:sz w:val="20"/>
          <w:szCs w:val="20"/>
        </w:rPr>
        <w:t xml:space="preserve"> a été le fait d’une fraction de la bourgeoisie des grandes puis des moyennes et petites villes. Ce n’est qu’une étape. Les obsèques célébrées </w:t>
      </w:r>
      <w:r w:rsidRPr="00BD1AA4">
        <w:rPr>
          <w:rFonts w:ascii="Times New Roman" w:hAnsi="Times New Roman"/>
          <w:i/>
          <w:sz w:val="20"/>
          <w:szCs w:val="20"/>
        </w:rPr>
        <w:t>dans l’intimité familiale</w:t>
      </w:r>
      <w:r w:rsidRPr="00BD1AA4">
        <w:rPr>
          <w:rFonts w:ascii="Times New Roman" w:hAnsi="Times New Roman"/>
          <w:sz w:val="20"/>
          <w:szCs w:val="20"/>
        </w:rPr>
        <w:t xml:space="preserve"> se multiplient. Il suffit de se reporter aux rubriques </w:t>
      </w:r>
      <w:r w:rsidRPr="00BD1AA4">
        <w:rPr>
          <w:rFonts w:ascii="Times New Roman" w:hAnsi="Times New Roman"/>
          <w:i/>
          <w:sz w:val="20"/>
          <w:szCs w:val="20"/>
        </w:rPr>
        <w:t>ad hoc</w:t>
      </w:r>
      <w:r w:rsidRPr="00BD1AA4">
        <w:rPr>
          <w:rFonts w:ascii="Times New Roman" w:hAnsi="Times New Roman"/>
          <w:sz w:val="20"/>
          <w:szCs w:val="20"/>
        </w:rPr>
        <w:t xml:space="preserve"> dans les deux moniteurs parisiens, le matutinal et le vespéral</w:t>
      </w:r>
      <w:r>
        <w:rPr>
          <w:rStyle w:val="Appelnotedebasdep"/>
          <w:rFonts w:ascii="Times New Roman" w:hAnsi="Times New Roman"/>
          <w:sz w:val="20"/>
          <w:szCs w:val="20"/>
        </w:rPr>
        <w:footnoteReference w:id="3"/>
      </w:r>
      <w:r w:rsidRPr="00BD1AA4">
        <w:rPr>
          <w:rFonts w:ascii="Times New Roman" w:hAnsi="Times New Roman"/>
          <w:sz w:val="20"/>
          <w:szCs w:val="20"/>
        </w:rPr>
        <w:t>, de la bourgeoisie. L’</w:t>
      </w:r>
      <w:r w:rsidRPr="00BD1AA4">
        <w:rPr>
          <w:rFonts w:ascii="Times New Roman" w:hAnsi="Times New Roman"/>
          <w:i/>
          <w:sz w:val="20"/>
          <w:szCs w:val="20"/>
        </w:rPr>
        <w:t>intimité familiale</w:t>
      </w:r>
      <w:r w:rsidRPr="00BD1AA4">
        <w:rPr>
          <w:rFonts w:ascii="Times New Roman" w:hAnsi="Times New Roman"/>
          <w:sz w:val="20"/>
          <w:szCs w:val="20"/>
        </w:rPr>
        <w:t xml:space="preserve"> débouchera-t-elle sur la minute de silence devant un casier d’incinéré pas plus grand qu’un coffre bancaire ? On n’en est pas encore là. De 1970 à 1980, l’incinération est passé</w:t>
      </w:r>
      <w:r>
        <w:rPr>
          <w:rFonts w:ascii="Times New Roman" w:hAnsi="Times New Roman"/>
          <w:sz w:val="20"/>
          <w:szCs w:val="20"/>
        </w:rPr>
        <w:t>e</w:t>
      </w:r>
      <w:r w:rsidRPr="00BD1AA4">
        <w:rPr>
          <w:rFonts w:ascii="Times New Roman" w:hAnsi="Times New Roman"/>
          <w:sz w:val="20"/>
          <w:szCs w:val="20"/>
        </w:rPr>
        <w:t xml:space="preserve"> de 0,3 à 1 % des décès.</w:t>
      </w:r>
    </w:p>
    <w:p w14:paraId="2CDB31FC"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Aux Pompes funèbres qui voient venir la mévente des cercueils, ce n’est pas la joie. On n’est moins affecté dans le clerg</w:t>
      </w:r>
      <w:r>
        <w:rPr>
          <w:rFonts w:ascii="Times New Roman" w:hAnsi="Times New Roman"/>
          <w:sz w:val="20"/>
          <w:szCs w:val="20"/>
        </w:rPr>
        <w:t>é qui a une expérience certaine</w:t>
      </w:r>
      <w:r w:rsidRPr="00BD1AA4">
        <w:rPr>
          <w:rFonts w:ascii="Times New Roman" w:hAnsi="Times New Roman"/>
          <w:sz w:val="20"/>
          <w:szCs w:val="20"/>
        </w:rPr>
        <w:t xml:space="preserve"> dans la liquidation rituelle par étapes ; avec, par ordre d’entrée en scène : la communion désolennisée, le malthusianisme baptismal, la raréfaction de la confirmation, le regroupement des lieux de célébration eucharistique. Ici et là, des prêtres refusent de dire la messe pour les funérailles même pour un père de prêtre. Des commissions étudient la possibilité de remplacer les obsèques familiales (grosses de replis égoïstes sur des douleurs personnelles) par un office des morts communautaire et trimestriel. </w:t>
      </w:r>
    </w:p>
    <w:p w14:paraId="70196B35"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Il y a peut-être plus d’affinités entre le clergé anti Jean-Paul II d’après Vatican II et notre bourgeoisie culturelle qu’entre les maîtres de forge et les curés du XIX</w:t>
      </w:r>
      <w:r w:rsidRPr="00BD1AA4">
        <w:rPr>
          <w:rFonts w:ascii="Times New Roman" w:hAnsi="Times New Roman"/>
          <w:sz w:val="20"/>
          <w:szCs w:val="20"/>
          <w:vertAlign w:val="superscript"/>
        </w:rPr>
        <w:t>e</w:t>
      </w:r>
      <w:r w:rsidRPr="00BD1AA4">
        <w:rPr>
          <w:rFonts w:ascii="Times New Roman" w:hAnsi="Times New Roman"/>
          <w:sz w:val="20"/>
          <w:szCs w:val="20"/>
        </w:rPr>
        <w:t xml:space="preserve"> siècle.</w:t>
      </w:r>
    </w:p>
    <w:p w14:paraId="1A32C837"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Dans le charivari il est archi connu que la société adulte utilise la capacité de grabuge des adolescents pour sanctionner des adultes déviants. Les jeunes croient fronder l’autorité, ils s’agitent dans la rue pour la pérenniser. A propos des rites funèbres, il faut noter que ce ne sont pas les jeunes qui enterrent les morts. L’effondrement n’a pas pour agent des oisons mais des barbons. Ce sont les adultes du mi-temps de la vie qui, ces dernières décennies, ont été dans beaucoup plus de domaines qu’on ne le dit, les initiateurs. A ceci près qu’ils n’ont pas cherché la conservation mais la liquidation rituelle. N’y aurait-il pas eu une sorte de vague iconoclaste quelque part dans la bourgeoisie ? Avec une projection ultérieure sur les basses et jeunes classes ? Il suffit, ici, de rappeler un fait : la pratique de la confession a reculé dans le clergé avant d’être abandonnée par les jeunes laïcs qui fréquentaient les églises. Il est un peu naïf de prétendre que les jeunes, partout et toujours, sont les pourvoyeurs du changement.</w:t>
      </w:r>
    </w:p>
    <w:p w14:paraId="2937B87A"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Ceux qui se cramponnent encore aux rites funèbres habitent dans les villages reculés ; il est classique que ceux qui ont été les derniers à adopter les rites soient les derniers à les abandonner. Une fraction de la bourgeoisie, celle qui a une petite clientèle commerciale, industrielle ou politique, tient aux condoléances. Dans un tissu social encore un peu serré, comment éviter la revue de détail des relations ?</w:t>
      </w:r>
    </w:p>
    <w:p w14:paraId="59ACF9A2"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 xml:space="preserve">Le clergé d’hier savait-il ce qu’il faisait en supprimant les classes dans les obsèques ? A partir du moment où la bourgeoisie n’a plus eu la possibilité d’être traitée à part par le choix d’une première classe (voir les conseils </w:t>
      </w:r>
      <w:r w:rsidRPr="00BD1AA4">
        <w:rPr>
          <w:rFonts w:ascii="Times New Roman" w:hAnsi="Times New Roman"/>
          <w:sz w:val="20"/>
          <w:szCs w:val="20"/>
        </w:rPr>
        <w:lastRenderedPageBreak/>
        <w:t xml:space="preserve">de </w:t>
      </w:r>
      <w:proofErr w:type="spellStart"/>
      <w:r w:rsidRPr="00BD1AA4">
        <w:rPr>
          <w:rFonts w:ascii="Times New Roman" w:hAnsi="Times New Roman"/>
          <w:sz w:val="20"/>
          <w:szCs w:val="20"/>
        </w:rPr>
        <w:t>Detœuf</w:t>
      </w:r>
      <w:proofErr w:type="spellEnd"/>
      <w:r w:rsidRPr="00BD1AA4">
        <w:rPr>
          <w:rFonts w:ascii="Times New Roman" w:hAnsi="Times New Roman"/>
          <w:sz w:val="20"/>
          <w:szCs w:val="20"/>
        </w:rPr>
        <w:t xml:space="preserve"> dans </w:t>
      </w:r>
      <w:r w:rsidRPr="00BD1AA4">
        <w:rPr>
          <w:rFonts w:ascii="Times New Roman" w:hAnsi="Times New Roman"/>
          <w:i/>
          <w:sz w:val="20"/>
          <w:szCs w:val="20"/>
        </w:rPr>
        <w:t>Barenton confiseur</w:t>
      </w:r>
      <w:r w:rsidRPr="001B5FDD">
        <w:rPr>
          <w:rStyle w:val="Appelnotedebasdep"/>
          <w:rFonts w:ascii="Times New Roman" w:hAnsi="Times New Roman"/>
          <w:sz w:val="20"/>
          <w:szCs w:val="20"/>
        </w:rPr>
        <w:footnoteReference w:id="4"/>
      </w:r>
      <w:r w:rsidRPr="00BD1AA4">
        <w:rPr>
          <w:rFonts w:ascii="Times New Roman" w:hAnsi="Times New Roman"/>
          <w:sz w:val="20"/>
          <w:szCs w:val="20"/>
        </w:rPr>
        <w:t xml:space="preserve">), elle a cherché à se distinguer à l’envers, dans l’église. Les bourgeois ont été les premiers, dans l’église de la résidence secondaire, à se rendre à la messe en survêtement. Et maintenant, dans la moyenne bourgeoisie, on lave plus volontiers sa voiture qu’on ne s’endimanche. La surenchère dans le dépouillement constitue un jalon dans le jeu de piste social. On est parti du </w:t>
      </w:r>
      <w:r w:rsidRPr="00BD1AA4">
        <w:rPr>
          <w:rFonts w:ascii="Times New Roman" w:hAnsi="Times New Roman"/>
          <w:i/>
          <w:sz w:val="20"/>
          <w:szCs w:val="20"/>
        </w:rPr>
        <w:t>ni fleurs ni couronnes</w:t>
      </w:r>
      <w:r w:rsidRPr="00BD1AA4">
        <w:rPr>
          <w:rFonts w:ascii="Times New Roman" w:hAnsi="Times New Roman"/>
          <w:sz w:val="20"/>
          <w:szCs w:val="20"/>
        </w:rPr>
        <w:t xml:space="preserve"> sans penser que c’était le début d’une nouvelle ère, celle où le trépas du </w:t>
      </w:r>
      <w:r w:rsidRPr="00BD1AA4">
        <w:rPr>
          <w:rFonts w:ascii="Times New Roman" w:hAnsi="Times New Roman"/>
          <w:i/>
          <w:sz w:val="20"/>
          <w:szCs w:val="20"/>
        </w:rPr>
        <w:t>Libera</w:t>
      </w:r>
      <w:r w:rsidRPr="00BD1AA4">
        <w:rPr>
          <w:rFonts w:ascii="Times New Roman" w:hAnsi="Times New Roman"/>
          <w:sz w:val="20"/>
          <w:szCs w:val="20"/>
        </w:rPr>
        <w:t xml:space="preserve"> allait mettre du plomb dans l’aile à tout </w:t>
      </w:r>
      <w:proofErr w:type="spellStart"/>
      <w:r w:rsidRPr="00BD1AA4">
        <w:rPr>
          <w:rFonts w:ascii="Times New Roman" w:hAnsi="Times New Roman"/>
          <w:i/>
          <w:sz w:val="20"/>
          <w:szCs w:val="20"/>
        </w:rPr>
        <w:t>Alleluia</w:t>
      </w:r>
      <w:proofErr w:type="spellEnd"/>
      <w:r w:rsidRPr="00BD1AA4">
        <w:rPr>
          <w:rFonts w:ascii="Times New Roman" w:hAnsi="Times New Roman"/>
          <w:sz w:val="20"/>
          <w:szCs w:val="20"/>
        </w:rPr>
        <w:t>.</w:t>
      </w:r>
    </w:p>
    <w:p w14:paraId="5BF1A978" w14:textId="77777777" w:rsidR="00175AB8" w:rsidRPr="00BD1AA4"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 xml:space="preserve">Où est le temps où la mort semblait être ce qu’il y avait de plus vivant dans la religion ? Grâce à Philippe Ariès, nous savons qu’il ne faut pas s’obnubiler sur un reflux. L’Eglise – d’après lui – n’a jamais bien réussi à christianiser la mort. La privatisation de la mort vient de loin. Le tabou de la mort remplace le tabou du sexe… Comme en économie, il y a des cycles longs et des cycles courts dans les faits et gestes autour des cercueils de pierre ou de bois, devant les tombes verticales ou horizontales, au sein des cimetières </w:t>
      </w:r>
      <w:r w:rsidRPr="00BD1AA4">
        <w:rPr>
          <w:rFonts w:ascii="Times New Roman" w:hAnsi="Times New Roman"/>
          <w:i/>
          <w:sz w:val="20"/>
          <w:szCs w:val="20"/>
        </w:rPr>
        <w:t>intra</w:t>
      </w:r>
      <w:r w:rsidRPr="00BD1AA4">
        <w:rPr>
          <w:rFonts w:ascii="Times New Roman" w:hAnsi="Times New Roman"/>
          <w:sz w:val="20"/>
          <w:szCs w:val="20"/>
        </w:rPr>
        <w:t xml:space="preserve"> ou </w:t>
      </w:r>
      <w:r w:rsidRPr="00BD1AA4">
        <w:rPr>
          <w:rFonts w:ascii="Times New Roman" w:hAnsi="Times New Roman"/>
          <w:i/>
          <w:sz w:val="20"/>
          <w:szCs w:val="20"/>
        </w:rPr>
        <w:t>extra muros</w:t>
      </w:r>
      <w:r w:rsidRPr="00BD1AA4">
        <w:rPr>
          <w:rFonts w:ascii="Times New Roman" w:hAnsi="Times New Roman"/>
          <w:sz w:val="20"/>
          <w:szCs w:val="20"/>
        </w:rPr>
        <w:t>. Faut-il objecter que la mort de Claude François, de Georges Brassens et de Tino Rossi</w:t>
      </w:r>
      <w:r>
        <w:rPr>
          <w:rStyle w:val="Appelnotedebasdep"/>
          <w:rFonts w:ascii="Times New Roman" w:hAnsi="Times New Roman"/>
          <w:sz w:val="20"/>
          <w:szCs w:val="20"/>
        </w:rPr>
        <w:footnoteReference w:id="5"/>
      </w:r>
      <w:r w:rsidRPr="00BD1AA4">
        <w:rPr>
          <w:rFonts w:ascii="Times New Roman" w:hAnsi="Times New Roman"/>
          <w:sz w:val="20"/>
          <w:szCs w:val="20"/>
        </w:rPr>
        <w:t xml:space="preserve"> ont remué les grandes foules ? Mais le progrès du culte funèbre des vedettes n’est-il pas une habileté du clergé des médias qui cherche à faire pleurer Margot ?</w:t>
      </w:r>
    </w:p>
    <w:p w14:paraId="60FF56D4" w14:textId="77777777" w:rsidR="00175AB8" w:rsidRDefault="00175AB8" w:rsidP="00175AB8">
      <w:pPr>
        <w:spacing w:line="240" w:lineRule="auto"/>
        <w:ind w:firstLine="708"/>
        <w:rPr>
          <w:rFonts w:ascii="Times New Roman" w:hAnsi="Times New Roman"/>
          <w:sz w:val="20"/>
          <w:szCs w:val="20"/>
        </w:rPr>
      </w:pPr>
      <w:r w:rsidRPr="00BD1AA4">
        <w:rPr>
          <w:rFonts w:ascii="Times New Roman" w:hAnsi="Times New Roman"/>
          <w:sz w:val="20"/>
          <w:szCs w:val="20"/>
        </w:rPr>
        <w:t xml:space="preserve">Les marbriers, eux, ne s’y laissent pas prendre. Ils pensent que la fréquentation des cimetières diminue. Dans l’organe de la profession, </w:t>
      </w:r>
      <w:r w:rsidRPr="00BD1AA4">
        <w:rPr>
          <w:rFonts w:ascii="Times New Roman" w:hAnsi="Times New Roman"/>
          <w:i/>
          <w:sz w:val="20"/>
          <w:szCs w:val="20"/>
        </w:rPr>
        <w:t>Le Mausolée</w:t>
      </w:r>
      <w:r w:rsidRPr="00BD1AA4">
        <w:rPr>
          <w:rFonts w:ascii="Times New Roman" w:hAnsi="Times New Roman"/>
          <w:sz w:val="20"/>
          <w:szCs w:val="20"/>
        </w:rPr>
        <w:t>, je lis qu’après un décès, il se vend plus de granit qu’autrefois, « </w:t>
      </w:r>
      <w:r w:rsidRPr="00BD1AA4">
        <w:rPr>
          <w:rFonts w:ascii="Times New Roman" w:hAnsi="Times New Roman"/>
          <w:i/>
          <w:sz w:val="20"/>
          <w:szCs w:val="20"/>
        </w:rPr>
        <w:t>mais après cet effort au début, le client disparaît. Les commandes de fleurs ou d’entretien viennent de plus en plus par lettre ou par téléphone. Les concessions échues (trentenaires) se renouvellent de moins en moins.</w:t>
      </w:r>
      <w:r w:rsidRPr="00BD1AA4">
        <w:rPr>
          <w:rFonts w:ascii="Times New Roman" w:hAnsi="Times New Roman"/>
          <w:sz w:val="20"/>
          <w:szCs w:val="20"/>
        </w:rPr>
        <w:t> » Et pourtant les marbriers, comme nous tous, sont formels : la mort, elle, ne recule pas. Elle n’a pas dit son dernier mot.</w:t>
      </w:r>
      <w:r>
        <w:rPr>
          <w:rFonts w:ascii="Times New Roman" w:hAnsi="Times New Roman"/>
          <w:sz w:val="20"/>
          <w:szCs w:val="20"/>
        </w:rPr>
        <w:t> »</w:t>
      </w:r>
    </w:p>
    <w:p w14:paraId="3EB2F4FB" w14:textId="77777777" w:rsidR="00175AB8" w:rsidRPr="00BD1AA4" w:rsidRDefault="00175AB8" w:rsidP="00175AB8">
      <w:pPr>
        <w:spacing w:line="240" w:lineRule="auto"/>
        <w:ind w:firstLine="708"/>
        <w:rPr>
          <w:rFonts w:ascii="Times New Roman" w:hAnsi="Times New Roman"/>
          <w:sz w:val="20"/>
          <w:szCs w:val="20"/>
        </w:rPr>
      </w:pPr>
    </w:p>
    <w:p w14:paraId="726D2596" w14:textId="77777777" w:rsidR="00401461" w:rsidRDefault="00175AB8" w:rsidP="00175AB8">
      <w:pPr>
        <w:spacing w:line="240" w:lineRule="auto"/>
        <w:rPr>
          <w:rFonts w:ascii="Times New Roman" w:hAnsi="Times New Roman"/>
          <w:sz w:val="24"/>
        </w:rPr>
      </w:pPr>
      <w:r w:rsidRPr="00BD1AA4">
        <w:rPr>
          <w:rFonts w:ascii="Times New Roman" w:hAnsi="Times New Roman"/>
          <w:sz w:val="20"/>
          <w:szCs w:val="20"/>
        </w:rPr>
        <w:t xml:space="preserve">Serge Bonnet, « La mort des condoléances », </w:t>
      </w:r>
      <w:r w:rsidRPr="00BD1AA4">
        <w:rPr>
          <w:rFonts w:ascii="Times New Roman" w:hAnsi="Times New Roman"/>
          <w:i/>
          <w:sz w:val="20"/>
          <w:szCs w:val="20"/>
        </w:rPr>
        <w:t>Témoignage chrétien</w:t>
      </w:r>
      <w:r w:rsidRPr="00BD1AA4">
        <w:rPr>
          <w:rFonts w:ascii="Times New Roman" w:hAnsi="Times New Roman"/>
          <w:sz w:val="20"/>
          <w:szCs w:val="20"/>
        </w:rPr>
        <w:t>, 11-17 février 1985, p.16.</w:t>
      </w:r>
      <w:r>
        <w:rPr>
          <w:rFonts w:ascii="Times New Roman" w:hAnsi="Times New Roman"/>
          <w:sz w:val="20"/>
          <w:szCs w:val="20"/>
        </w:rPr>
        <w:t xml:space="preserve"> Le père Bonnet était un sociologue dominicain, proche de Philippe Ariès, assez hostile aux orientations pastorales qui prévalaient dans l’Eglise catholique depuis le concile Vatican II (1962-1965).</w:t>
      </w:r>
    </w:p>
    <w:p w14:paraId="6047D49D" w14:textId="77777777" w:rsidR="00347144" w:rsidRPr="00347144" w:rsidRDefault="00347144" w:rsidP="00347144">
      <w:pPr>
        <w:spacing w:line="240" w:lineRule="auto"/>
        <w:rPr>
          <w:rFonts w:ascii="Times New Roman" w:hAnsi="Times New Roman"/>
          <w:sz w:val="20"/>
          <w:szCs w:val="20"/>
        </w:rPr>
      </w:pPr>
    </w:p>
    <w:p w14:paraId="3EB4853E" w14:textId="77777777" w:rsidR="001E77CA" w:rsidRPr="001E77CA" w:rsidRDefault="001E77CA" w:rsidP="001E77CA">
      <w:pPr>
        <w:spacing w:line="240" w:lineRule="auto"/>
        <w:rPr>
          <w:rFonts w:ascii="Times New Roman" w:hAnsi="Times New Roman"/>
          <w:sz w:val="20"/>
          <w:szCs w:val="20"/>
        </w:rPr>
      </w:pPr>
    </w:p>
    <w:p w14:paraId="2E687F2E" w14:textId="77777777" w:rsidR="00D1640D" w:rsidRPr="001E77CA" w:rsidRDefault="00D1640D" w:rsidP="001E77CA">
      <w:pPr>
        <w:spacing w:line="240" w:lineRule="auto"/>
        <w:rPr>
          <w:rFonts w:ascii="Times New Roman" w:hAnsi="Times New Roman"/>
          <w:sz w:val="20"/>
          <w:szCs w:val="20"/>
        </w:rPr>
      </w:pPr>
    </w:p>
    <w:p w14:paraId="79E3D183" w14:textId="77777777" w:rsidR="00D1640D" w:rsidRPr="001E77CA" w:rsidRDefault="00D1640D" w:rsidP="001E77CA">
      <w:pPr>
        <w:spacing w:line="360" w:lineRule="auto"/>
        <w:jc w:val="left"/>
        <w:rPr>
          <w:rFonts w:ascii="Times New Roman" w:hAnsi="Times New Roman"/>
          <w:sz w:val="24"/>
        </w:rPr>
      </w:pPr>
      <w:r w:rsidRPr="001E77CA">
        <w:rPr>
          <w:rFonts w:ascii="Times New Roman" w:hAnsi="Times New Roman"/>
          <w:sz w:val="24"/>
        </w:rPr>
        <w:br w:type="page"/>
      </w:r>
    </w:p>
    <w:p w14:paraId="38812C62" w14:textId="77777777" w:rsidR="008F7AC3" w:rsidRPr="00521AC6" w:rsidRDefault="008F7AC3" w:rsidP="008F7AC3">
      <w:pPr>
        <w:spacing w:line="240" w:lineRule="auto"/>
        <w:jc w:val="center"/>
        <w:rPr>
          <w:rFonts w:ascii="Times New Roman" w:hAnsi="Times New Roman"/>
          <w:b/>
          <w:bCs/>
          <w:sz w:val="20"/>
          <w:szCs w:val="20"/>
        </w:rPr>
      </w:pPr>
      <w:r w:rsidRPr="00521AC6">
        <w:rPr>
          <w:rFonts w:ascii="Times New Roman" w:hAnsi="Times New Roman"/>
          <w:b/>
          <w:bCs/>
          <w:sz w:val="20"/>
          <w:szCs w:val="20"/>
        </w:rPr>
        <w:lastRenderedPageBreak/>
        <w:t>Le plaidoyer de Jacques Attali en faveur de l’euthanasie (1981)</w:t>
      </w:r>
    </w:p>
    <w:p w14:paraId="4E9080E3" w14:textId="77777777" w:rsidR="008F7AC3" w:rsidRPr="00521AC6" w:rsidRDefault="008F7AC3" w:rsidP="008F7AC3">
      <w:pPr>
        <w:spacing w:line="240" w:lineRule="auto"/>
        <w:rPr>
          <w:rFonts w:ascii="Times New Roman" w:hAnsi="Times New Roman"/>
          <w:sz w:val="20"/>
          <w:szCs w:val="20"/>
        </w:rPr>
      </w:pPr>
    </w:p>
    <w:p w14:paraId="18AD7190" w14:textId="77777777" w:rsidR="008F7AC3" w:rsidRDefault="008F7AC3" w:rsidP="008F7AC3">
      <w:pPr>
        <w:spacing w:line="240" w:lineRule="auto"/>
        <w:rPr>
          <w:rFonts w:ascii="Times New Roman" w:hAnsi="Times New Roman"/>
          <w:sz w:val="20"/>
          <w:szCs w:val="20"/>
        </w:rPr>
      </w:pPr>
      <w:r w:rsidRPr="00521AC6">
        <w:rPr>
          <w:rFonts w:ascii="Times New Roman" w:hAnsi="Times New Roman"/>
          <w:sz w:val="20"/>
          <w:szCs w:val="20"/>
        </w:rPr>
        <w:t>« J’ai constaté en étudiant les problèmes économiques généraux de la société occidentale que les coûts de la santé sont un des facteurs essentiels de la crise économique. » (p.265)</w:t>
      </w:r>
    </w:p>
    <w:p w14:paraId="50EA66C5" w14:textId="77777777" w:rsidR="008F7AC3" w:rsidRPr="00521AC6" w:rsidRDefault="008F7AC3" w:rsidP="008F7AC3">
      <w:pPr>
        <w:spacing w:line="240" w:lineRule="auto"/>
        <w:rPr>
          <w:rFonts w:ascii="Times New Roman" w:hAnsi="Times New Roman"/>
          <w:sz w:val="20"/>
          <w:szCs w:val="20"/>
        </w:rPr>
      </w:pPr>
    </w:p>
    <w:p w14:paraId="4B757C04"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 Aujourd’hui, la crise est triple. D’une part, comme dans la période antérieure, le système ne peut plus assurer à lui tout seul son fonctionnement. Aujourd’hui, d’une certaine façon, la médecine est largement incapable de soigner toutes les maladies car les coûts deviennent trop élevés.</w:t>
      </w:r>
    </w:p>
    <w:p w14:paraId="7523873B"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D’autre part, on observe une perte de crédibilité du médecin. On a beaucoup plus confiance dans les données quantifiées que dans le médecin.</w:t>
      </w:r>
    </w:p>
    <w:p w14:paraId="6F07E435"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Enfin apparaissent des maladies ou des formes de comportement qui ne sont plus redevables de la médecine classique. Ces trois caractéristiques conduisent à une sorte de continuum naturel qui passe de la médecine clinique à la prothèse et j’ai essayé de distinguer trois phases qui s’interpénètrent dans cette transformation.</w:t>
      </w:r>
    </w:p>
    <w:p w14:paraId="1CCAB62C"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Dans une première phase, le système tente de durer en surveillant ses coûts financiers. Mais cette volonté débouche sur la nécessité de surveiller les comportements et donc de définir des normes de santé, d’activités, auxquelles l’individu doit se soumettre. Ainsi apparaît la notion de profil de vue économe en dépense de santé.</w:t>
      </w:r>
    </w:p>
    <w:p w14:paraId="27BB85A3"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Dès lors, on passe à la seconde phase qui est celle de / l’autodénonciation du mal grâce aux outils d’autocontrôle du comportement. L’individu peut ainsi se conformer à la norme de profil de vie et devenir autonome par rapport à sa maladie.</w:t>
      </w:r>
    </w:p>
    <w:p w14:paraId="600274E9" w14:textId="77777777" w:rsidR="008F7AC3" w:rsidRDefault="008F7AC3" w:rsidP="008F7AC3">
      <w:pPr>
        <w:spacing w:line="240" w:lineRule="auto"/>
        <w:rPr>
          <w:rFonts w:ascii="Times New Roman" w:hAnsi="Times New Roman"/>
          <w:sz w:val="20"/>
          <w:szCs w:val="20"/>
        </w:rPr>
      </w:pPr>
      <w:r w:rsidRPr="00521AC6">
        <w:rPr>
          <w:rFonts w:ascii="Times New Roman" w:hAnsi="Times New Roman"/>
          <w:sz w:val="20"/>
          <w:szCs w:val="20"/>
        </w:rPr>
        <w:t>Le principal critère du comportement était, dans le premier ordre, donner un sens à la mort, dans le second ordre, contenir la mort, dans le troisième ordre, augmenter l’espérance de vie, dans le quatrième, celui que nous vivons, c’est la recherche d’un profil de vie économe en dépenses de santé. » (p.269-270)</w:t>
      </w:r>
    </w:p>
    <w:p w14:paraId="594BFF69" w14:textId="77777777" w:rsidR="008F7AC3" w:rsidRPr="00521AC6" w:rsidRDefault="008F7AC3" w:rsidP="008F7AC3">
      <w:pPr>
        <w:spacing w:line="240" w:lineRule="auto"/>
        <w:rPr>
          <w:rFonts w:ascii="Times New Roman" w:hAnsi="Times New Roman"/>
          <w:sz w:val="20"/>
          <w:szCs w:val="20"/>
        </w:rPr>
      </w:pPr>
    </w:p>
    <w:p w14:paraId="53924725"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 M. S. – Est-il possible et souhaitable de vivre 120 ans… ?</w:t>
      </w:r>
    </w:p>
    <w:p w14:paraId="2DC034C7"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 xml:space="preserve">J. A. – Médicalement, je n’en sais rien. On m’a toujours dit que c’était possible. Est-ce souhaitable ? Je répondrai en plusieurs temps. D’abord je crois que dans la logique même du système industriel dans lequel nous nous trouvons, l’allongement de la durée de la vie n’est plus un objectif souhaité par la logique du pouvoir. Pourquoi ? Parce qu’aussi longtemps qu’il s’agissait d’allonger l’espérance de vie afin d’atteindre le seuil maximum de rentabilité de la machine humaine, </w:t>
      </w:r>
      <w:proofErr w:type="gramStart"/>
      <w:r w:rsidRPr="00521AC6">
        <w:rPr>
          <w:rFonts w:ascii="Times New Roman" w:hAnsi="Times New Roman"/>
          <w:sz w:val="20"/>
          <w:szCs w:val="20"/>
        </w:rPr>
        <w:t>en terme de</w:t>
      </w:r>
      <w:proofErr w:type="gramEnd"/>
      <w:r w:rsidRPr="00521AC6">
        <w:rPr>
          <w:rFonts w:ascii="Times New Roman" w:hAnsi="Times New Roman"/>
          <w:sz w:val="20"/>
          <w:szCs w:val="20"/>
        </w:rPr>
        <w:t xml:space="preserve"> travail, c’était parfait.</w:t>
      </w:r>
    </w:p>
    <w:p w14:paraId="41B58412"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Mais dès qu’on dépasse 60/65 ans, l’homme vit plus longtemps qu’il ne produit et il coûte alors cher à la société.</w:t>
      </w:r>
    </w:p>
    <w:p w14:paraId="6B986ED8"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 xml:space="preserve">D’où je crois que dans la logique même de la société industrielle, l’objectif ne va plus être d’allonger l’espérance de vie, mais de faire en sorte qu’à l’intérieur même d’une durée de vie déterminée, l’homme vive le mieux possible mais de telle sorte que les dépenses de santé seront les plus réduites possible </w:t>
      </w:r>
      <w:proofErr w:type="gramStart"/>
      <w:r w:rsidRPr="00521AC6">
        <w:rPr>
          <w:rFonts w:ascii="Times New Roman" w:hAnsi="Times New Roman"/>
          <w:sz w:val="20"/>
          <w:szCs w:val="20"/>
        </w:rPr>
        <w:t>en terme de</w:t>
      </w:r>
      <w:proofErr w:type="gramEnd"/>
      <w:r w:rsidRPr="00521AC6">
        <w:rPr>
          <w:rFonts w:ascii="Times New Roman" w:hAnsi="Times New Roman"/>
          <w:sz w:val="20"/>
          <w:szCs w:val="20"/>
        </w:rPr>
        <w:t xml:space="preserve"> coûts pour la collectivité. Alors apparaît un nouveau critère d’espérance de vie : celui de la valeur d’un système de santé, fonction non pas de l’allongement de l’espérance de vie mais du nombre d’années sans maladie et particulièrement dans hospitalisation. En effet du point de vue de la société, il est bien préférable que la machine humaine s’arrête brutalement plutôt qu’elle ne se détériore progressivement.</w:t>
      </w:r>
    </w:p>
    <w:p w14:paraId="51E1392C" w14:textId="77777777" w:rsidR="008F7AC3" w:rsidRDefault="008F7AC3" w:rsidP="008F7AC3">
      <w:pPr>
        <w:spacing w:line="240" w:lineRule="auto"/>
        <w:rPr>
          <w:rFonts w:ascii="Times New Roman" w:hAnsi="Times New Roman"/>
          <w:sz w:val="20"/>
          <w:szCs w:val="20"/>
        </w:rPr>
      </w:pPr>
      <w:r w:rsidRPr="00521AC6">
        <w:rPr>
          <w:rFonts w:ascii="Times New Roman" w:hAnsi="Times New Roman"/>
          <w:sz w:val="20"/>
          <w:szCs w:val="20"/>
        </w:rPr>
        <w:t xml:space="preserve">C’est parfaitement clair si l’on se rappelle que les deux tiers des dépenses de santé sont </w:t>
      </w:r>
      <w:proofErr w:type="gramStart"/>
      <w:r w:rsidRPr="00521AC6">
        <w:rPr>
          <w:rFonts w:ascii="Times New Roman" w:hAnsi="Times New Roman"/>
          <w:sz w:val="20"/>
          <w:szCs w:val="20"/>
        </w:rPr>
        <w:t>concentrées</w:t>
      </w:r>
      <w:proofErr w:type="gramEnd"/>
      <w:r w:rsidRPr="00521AC6">
        <w:rPr>
          <w:rFonts w:ascii="Times New Roman" w:hAnsi="Times New Roman"/>
          <w:sz w:val="20"/>
          <w:szCs w:val="20"/>
        </w:rPr>
        <w:t xml:space="preserve"> sur les derniers mois de la vie. De même, cynisme mis à part, les dépenses de santé n’atteindraient / pas le tiers du niveau actuel (175 milliards de francs en 1979) si les individus mouraient tous brutalement dans des accidents de voiture. Ainsi force est de reconnaître que la logique ne réside plus dans l’augmentation de l’espérance de vie mais dans celle de la durée de vie sans maladie. (p.273-274)</w:t>
      </w:r>
    </w:p>
    <w:p w14:paraId="485B2B9E" w14:textId="77777777" w:rsidR="008F7AC3" w:rsidRPr="00521AC6" w:rsidRDefault="008F7AC3" w:rsidP="008F7AC3">
      <w:pPr>
        <w:spacing w:line="240" w:lineRule="auto"/>
        <w:rPr>
          <w:rFonts w:ascii="Times New Roman" w:hAnsi="Times New Roman"/>
          <w:sz w:val="20"/>
          <w:szCs w:val="20"/>
        </w:rPr>
      </w:pPr>
    </w:p>
    <w:p w14:paraId="6CA5360C" w14:textId="77777777" w:rsidR="008F7AC3" w:rsidRDefault="008F7AC3" w:rsidP="008F7AC3">
      <w:pPr>
        <w:spacing w:line="240" w:lineRule="auto"/>
        <w:rPr>
          <w:rFonts w:ascii="Times New Roman" w:hAnsi="Times New Roman"/>
          <w:sz w:val="20"/>
          <w:szCs w:val="20"/>
        </w:rPr>
      </w:pPr>
      <w:r w:rsidRPr="00521AC6">
        <w:rPr>
          <w:rFonts w:ascii="Times New Roman" w:hAnsi="Times New Roman"/>
          <w:sz w:val="20"/>
          <w:szCs w:val="20"/>
        </w:rPr>
        <w:t>« Je suis pour ma part, en tant que socialiste, objectivement contre l’allongement de la vie parce que c’est un leurre, un faux problème. Je crois que se poser ce type de problème permet d’éviter des questions plus essentielles telle (sic) que celle de la libération du temps réellement vécu dans la vie présente. A quoi cela sert de vivre jusqu’à 100 ans, si nous gagnons 20 ans de dictature. » (p.274)</w:t>
      </w:r>
    </w:p>
    <w:p w14:paraId="1917488C" w14:textId="77777777" w:rsidR="008F7AC3" w:rsidRPr="00521AC6" w:rsidRDefault="008F7AC3" w:rsidP="008F7AC3">
      <w:pPr>
        <w:spacing w:line="240" w:lineRule="auto"/>
        <w:rPr>
          <w:rFonts w:ascii="Times New Roman" w:hAnsi="Times New Roman"/>
          <w:sz w:val="20"/>
          <w:szCs w:val="20"/>
        </w:rPr>
      </w:pPr>
    </w:p>
    <w:p w14:paraId="2D46E2C6" w14:textId="77777777" w:rsidR="008F7AC3" w:rsidRPr="00521AC6" w:rsidRDefault="008F7AC3" w:rsidP="008F7AC3">
      <w:pPr>
        <w:spacing w:line="240" w:lineRule="auto"/>
        <w:rPr>
          <w:rFonts w:ascii="Times New Roman" w:hAnsi="Times New Roman"/>
          <w:sz w:val="20"/>
          <w:szCs w:val="20"/>
        </w:rPr>
      </w:pPr>
      <w:r w:rsidRPr="00521AC6">
        <w:rPr>
          <w:rFonts w:ascii="Times New Roman" w:hAnsi="Times New Roman"/>
          <w:sz w:val="20"/>
          <w:szCs w:val="20"/>
        </w:rPr>
        <w:t xml:space="preserve">« L’euthanasie sera un des instruments essentiels de nos sociétés futures dans tous les cas de figures. Dans une logique socialiste, pour commencer, le problème se pose comme suit : la logique socialiste c’est la liberté et la liberté fondamentale, c’est le suicide ; en conséquence, le droit au suicide direct ou indirect est donc une valeur absolue dans ce type de société. Dans une société capitaliste, des machines à tuer, des prothèses qui / permettront d’éliminer la vie lorsqu’elle sera trop insupportable, où économiquement trop coûteuse, verront le jour et seront de pratique courante. Je pense donc que l’euthanasie, </w:t>
      </w:r>
      <w:proofErr w:type="spellStart"/>
      <w:r w:rsidRPr="00521AC6">
        <w:rPr>
          <w:rFonts w:ascii="Times New Roman" w:hAnsi="Times New Roman"/>
          <w:sz w:val="20"/>
          <w:szCs w:val="20"/>
        </w:rPr>
        <w:t>quelle</w:t>
      </w:r>
      <w:proofErr w:type="spellEnd"/>
      <w:r w:rsidRPr="00521AC6">
        <w:rPr>
          <w:rFonts w:ascii="Times New Roman" w:hAnsi="Times New Roman"/>
          <w:sz w:val="20"/>
          <w:szCs w:val="20"/>
        </w:rPr>
        <w:t xml:space="preserve"> soit une valeur de liberté ou une marchandise, sera une des règles de la vie future. » (p.274-275)</w:t>
      </w:r>
    </w:p>
    <w:p w14:paraId="13769D73" w14:textId="77777777" w:rsidR="008F7AC3" w:rsidRDefault="008F7AC3" w:rsidP="008F7AC3">
      <w:pPr>
        <w:spacing w:line="240" w:lineRule="auto"/>
        <w:rPr>
          <w:rFonts w:ascii="Times New Roman" w:hAnsi="Times New Roman"/>
          <w:sz w:val="20"/>
          <w:szCs w:val="20"/>
        </w:rPr>
      </w:pPr>
    </w:p>
    <w:p w14:paraId="1967A712" w14:textId="4882FE3F" w:rsidR="008F7AC3" w:rsidRDefault="008F7AC3" w:rsidP="008F7AC3">
      <w:pPr>
        <w:spacing w:line="240" w:lineRule="auto"/>
        <w:rPr>
          <w:rFonts w:ascii="Times New Roman" w:hAnsi="Times New Roman"/>
          <w:b/>
          <w:sz w:val="20"/>
          <w:szCs w:val="20"/>
        </w:rPr>
      </w:pPr>
      <w:r w:rsidRPr="00521AC6">
        <w:rPr>
          <w:rFonts w:ascii="Times New Roman" w:hAnsi="Times New Roman"/>
          <w:sz w:val="20"/>
          <w:szCs w:val="20"/>
        </w:rPr>
        <w:t xml:space="preserve">Entretien de Michel Salomon avec Jacques Attali dans </w:t>
      </w:r>
      <w:r w:rsidRPr="00521AC6">
        <w:rPr>
          <w:rFonts w:ascii="Times New Roman" w:hAnsi="Times New Roman"/>
          <w:i/>
          <w:iCs/>
          <w:sz w:val="20"/>
          <w:szCs w:val="20"/>
        </w:rPr>
        <w:t>L’avenir de la vie</w:t>
      </w:r>
      <w:r w:rsidRPr="00521AC6">
        <w:rPr>
          <w:rFonts w:ascii="Times New Roman" w:hAnsi="Times New Roman"/>
          <w:sz w:val="20"/>
          <w:szCs w:val="20"/>
        </w:rPr>
        <w:t>, préface d’Edgar Morin, Paris, Seghers, 1981.</w:t>
      </w:r>
      <w:r>
        <w:rPr>
          <w:rFonts w:ascii="Times New Roman" w:hAnsi="Times New Roman"/>
          <w:b/>
          <w:sz w:val="20"/>
          <w:szCs w:val="20"/>
        </w:rPr>
        <w:br w:type="page"/>
      </w:r>
    </w:p>
    <w:p w14:paraId="33E98B92" w14:textId="19E24B18" w:rsidR="00D1640D" w:rsidRPr="001E77CA" w:rsidRDefault="00D1640D" w:rsidP="001E77CA">
      <w:pPr>
        <w:spacing w:line="240" w:lineRule="auto"/>
        <w:jc w:val="center"/>
        <w:rPr>
          <w:rFonts w:ascii="Times New Roman" w:hAnsi="Times New Roman"/>
          <w:b/>
          <w:sz w:val="20"/>
          <w:szCs w:val="20"/>
        </w:rPr>
      </w:pPr>
      <w:r w:rsidRPr="001E77CA">
        <w:rPr>
          <w:rFonts w:ascii="Times New Roman" w:hAnsi="Times New Roman"/>
          <w:b/>
          <w:sz w:val="20"/>
          <w:szCs w:val="20"/>
        </w:rPr>
        <w:lastRenderedPageBreak/>
        <w:t>Le manifeste</w:t>
      </w:r>
      <w:r w:rsidR="00772A83">
        <w:rPr>
          <w:rFonts w:ascii="Times New Roman" w:hAnsi="Times New Roman"/>
          <w:b/>
          <w:sz w:val="20"/>
          <w:szCs w:val="20"/>
        </w:rPr>
        <w:t xml:space="preserve"> fondateur</w:t>
      </w:r>
      <w:r w:rsidRPr="001E77CA">
        <w:rPr>
          <w:rFonts w:ascii="Times New Roman" w:hAnsi="Times New Roman"/>
          <w:b/>
          <w:sz w:val="20"/>
          <w:szCs w:val="20"/>
        </w:rPr>
        <w:t xml:space="preserve"> des soins palliatifs en France</w:t>
      </w:r>
    </w:p>
    <w:p w14:paraId="219C38FB" w14:textId="77777777" w:rsidR="00D1640D" w:rsidRPr="001E77CA" w:rsidRDefault="00D1640D" w:rsidP="001E77CA">
      <w:pPr>
        <w:spacing w:line="240" w:lineRule="auto"/>
        <w:rPr>
          <w:rFonts w:ascii="Times New Roman" w:hAnsi="Times New Roman"/>
          <w:sz w:val="20"/>
          <w:szCs w:val="20"/>
        </w:rPr>
      </w:pPr>
    </w:p>
    <w:p w14:paraId="0142BFF7"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 Pendant 7 ans, de 1974 à 1980, on assista en France à un phénomène surprenant. Après une longue période de silence, on vit tout à coup se multiplier déclarations et publications relatives aux problèmes posés dans les sociétés occidentales par la mort et les conditions dans lesquelles celle-ci se déroule. Rappelons seulement trois événements significatifs, encore présents dans bien des mémoires : la publication en 1974 du « Manifeste des Prix Nobel en faveur de l’euthanasie » ; la parution, en 1977, du livre de L. Schwartzenberg et P. </w:t>
      </w:r>
      <w:proofErr w:type="spellStart"/>
      <w:r w:rsidRPr="001E77CA">
        <w:rPr>
          <w:rFonts w:ascii="Times New Roman" w:hAnsi="Times New Roman"/>
          <w:sz w:val="20"/>
          <w:szCs w:val="20"/>
        </w:rPr>
        <w:t>Viansson</w:t>
      </w:r>
      <w:proofErr w:type="spellEnd"/>
      <w:r w:rsidRPr="001E77CA">
        <w:rPr>
          <w:rFonts w:ascii="Times New Roman" w:hAnsi="Times New Roman"/>
          <w:sz w:val="20"/>
          <w:szCs w:val="20"/>
        </w:rPr>
        <w:t xml:space="preserve">-Ponté, </w:t>
      </w:r>
      <w:r w:rsidRPr="001E77CA">
        <w:rPr>
          <w:rFonts w:ascii="Times New Roman" w:hAnsi="Times New Roman"/>
          <w:i/>
          <w:sz w:val="20"/>
          <w:szCs w:val="20"/>
        </w:rPr>
        <w:t>Changer la mort</w:t>
      </w:r>
      <w:r w:rsidRPr="001E77CA">
        <w:rPr>
          <w:rFonts w:ascii="Times New Roman" w:hAnsi="Times New Roman"/>
          <w:sz w:val="20"/>
          <w:szCs w:val="20"/>
        </w:rPr>
        <w:t>, dont l’opinion publique a surtout retenu un plaidoyer pour l’euthanasie ; et le dépôt, en avril 1978, de la proposition de loi de M. H. Caillavet visant à obtenir la reconnaissance légale de « testaments de vie » par lesquels des bien-portants ou des malades pourraient demander à ce que leur vie ne soit pas prolongée artificiellement dès lors qu’aurait été établi un diagnostic de maladie incurable. Toutes ces déclarations et propositions suscitèrent de multiples débats auxquels participèrent les différentes familles philosophiques, spirituelles et religieuses.</w:t>
      </w:r>
    </w:p>
    <w:p w14:paraId="78CB24D8"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Cette période fut marquée en France par la découverte de deux expériences étrangères d’une richesse incomparable et dont l’apport reste extrêmement précieux : les travaux d’Elisabeth Kübler-Ross, qui avait entrepris depuis plusieurs années déjà d’entrer dans une relation étroite avec de nombreux grands malades et mourants, et la fondation des </w:t>
      </w:r>
      <w:r w:rsidRPr="001E77CA">
        <w:rPr>
          <w:rFonts w:ascii="Times New Roman" w:hAnsi="Times New Roman"/>
          <w:i/>
          <w:sz w:val="20"/>
          <w:szCs w:val="20"/>
        </w:rPr>
        <w:t>Hospices</w:t>
      </w:r>
      <w:r w:rsidRPr="001E77CA">
        <w:rPr>
          <w:rFonts w:ascii="Times New Roman" w:hAnsi="Times New Roman"/>
          <w:sz w:val="20"/>
          <w:szCs w:val="20"/>
        </w:rPr>
        <w:t xml:space="preserve"> anglais, petits centres d’accueil et de traitement de cancéreux en fin de vie atteints de douleurs sévères ou cruelles.</w:t>
      </w:r>
    </w:p>
    <w:p w14:paraId="24516291"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w:t>
      </w:r>
    </w:p>
    <w:p w14:paraId="613F0980"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Tout a été dit. Mais qu’est-ce qui a été fait ? L’expérience des </w:t>
      </w:r>
      <w:r w:rsidRPr="001E77CA">
        <w:rPr>
          <w:rFonts w:ascii="Times New Roman" w:hAnsi="Times New Roman"/>
          <w:i/>
          <w:sz w:val="20"/>
          <w:szCs w:val="20"/>
        </w:rPr>
        <w:t>Hospices</w:t>
      </w:r>
      <w:r w:rsidRPr="001E77CA">
        <w:rPr>
          <w:rFonts w:ascii="Times New Roman" w:hAnsi="Times New Roman"/>
          <w:sz w:val="20"/>
          <w:szCs w:val="20"/>
        </w:rPr>
        <w:t xml:space="preserve"> anglais, prolongée par celle des Unités de soins palliatifs</w:t>
      </w:r>
      <w:r w:rsidRPr="001E77CA">
        <w:rPr>
          <w:rStyle w:val="Appelnotedebasdep"/>
          <w:rFonts w:ascii="Times New Roman" w:hAnsi="Times New Roman"/>
          <w:sz w:val="20"/>
          <w:szCs w:val="20"/>
        </w:rPr>
        <w:footnoteReference w:id="6"/>
      </w:r>
      <w:r w:rsidRPr="001E77CA">
        <w:rPr>
          <w:rFonts w:ascii="Times New Roman" w:hAnsi="Times New Roman"/>
          <w:sz w:val="20"/>
          <w:szCs w:val="20"/>
        </w:rPr>
        <w:t xml:space="preserve"> canadiennes et des institutions comparables aux Etats-Unis montre qu’il est désormais possible de porter remède à pratiquement toutes les douleurs des phases </w:t>
      </w:r>
      <w:proofErr w:type="spellStart"/>
      <w:r w:rsidRPr="001E77CA">
        <w:rPr>
          <w:rFonts w:ascii="Times New Roman" w:hAnsi="Times New Roman"/>
          <w:sz w:val="20"/>
          <w:szCs w:val="20"/>
        </w:rPr>
        <w:t>pré-terminales</w:t>
      </w:r>
      <w:proofErr w:type="spellEnd"/>
      <w:r w:rsidRPr="001E77CA">
        <w:rPr>
          <w:rFonts w:ascii="Times New Roman" w:hAnsi="Times New Roman"/>
          <w:sz w:val="20"/>
          <w:szCs w:val="20"/>
        </w:rPr>
        <w:t xml:space="preserve"> ou terminales de maladies.</w:t>
      </w:r>
    </w:p>
    <w:p w14:paraId="4A5C4F83"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w:t>
      </w:r>
    </w:p>
    <w:p w14:paraId="52633087"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Une telle affirmation, qui repose sur une expérience longue de plus de quinze ans et sur l’observation des résultats obtenus dans le traitement de la douleur de plusieurs dizaines de milliers de cancéreux, se heurte encore en France à l’incrédulité et au scepticisme de la majorité des professionnels de la santé. […]</w:t>
      </w:r>
    </w:p>
    <w:p w14:paraId="42498003"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Même lorsque la médecine ne peut plus rien faire dans un but curatif, que les toutes les ressources thérapeutiques sont épuisées et que la mort devient inéluctable, la vie n’a donc pas nécessairement perdu tout son sens ; ceux qui savent rester proches du malade « condamné » en témoigne. Or cette affirmation suscite désormais, dans beaucoup d’hôpitaux, l’incrédulité. </w:t>
      </w:r>
      <w:r w:rsidRPr="001E77CA">
        <w:rPr>
          <w:rFonts w:ascii="Times New Roman" w:hAnsi="Times New Roman"/>
          <w:i/>
          <w:sz w:val="20"/>
          <w:szCs w:val="20"/>
        </w:rPr>
        <w:t xml:space="preserve">Vivre dans la perspective d’une mort imminente paraît, à beaucoup, insupportable. </w:t>
      </w:r>
      <w:r w:rsidRPr="001E77CA">
        <w:rPr>
          <w:rFonts w:ascii="Times New Roman" w:hAnsi="Times New Roman"/>
          <w:sz w:val="20"/>
          <w:szCs w:val="20"/>
        </w:rPr>
        <w:t xml:space="preserve">Dès que la médecine devient incapable de maintenir un état minimum de santé, il vaut mieux que l’homme meure ou du moins perde la conscience de ce qui lui arrive, car on ne peut l’aider à vivre humainement la toute dernière phase de son existence : telle est la conviction qui, à mon avis, se répand de plus en plus dans la société, symptôme d’une attitude de fatalisme, plus même, de </w:t>
      </w:r>
      <w:r w:rsidRPr="001E77CA">
        <w:rPr>
          <w:rFonts w:ascii="Times New Roman" w:hAnsi="Times New Roman"/>
          <w:i/>
          <w:sz w:val="20"/>
          <w:szCs w:val="20"/>
        </w:rPr>
        <w:t>désespérance</w:t>
      </w:r>
      <w:r w:rsidRPr="001E77CA">
        <w:rPr>
          <w:rFonts w:ascii="Times New Roman" w:hAnsi="Times New Roman"/>
          <w:sz w:val="20"/>
          <w:szCs w:val="20"/>
        </w:rPr>
        <w:t>.</w:t>
      </w:r>
    </w:p>
    <w:p w14:paraId="18C0CC2F"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w:t>
      </w:r>
    </w:p>
    <w:p w14:paraId="3765D96D" w14:textId="77777777" w:rsidR="00D1640D" w:rsidRPr="001E77CA" w:rsidRDefault="00D1640D" w:rsidP="001E77CA">
      <w:pPr>
        <w:spacing w:line="240" w:lineRule="auto"/>
        <w:rPr>
          <w:rFonts w:ascii="Times New Roman" w:hAnsi="Times New Roman"/>
          <w:i/>
          <w:sz w:val="20"/>
          <w:szCs w:val="20"/>
        </w:rPr>
      </w:pPr>
      <w:r w:rsidRPr="001E77CA">
        <w:rPr>
          <w:rFonts w:ascii="Times New Roman" w:hAnsi="Times New Roman"/>
          <w:sz w:val="20"/>
          <w:szCs w:val="20"/>
        </w:rPr>
        <w:t xml:space="preserve">Il faut reconnaître qu’aujourd’hui la situation de bien des malades incurables arrivés au terme de leur vie est dramatique. Les institutions sanitaires dressent autour d’eux un mur de silence ou de paroles faussement rassurantes, s’opposant à toute communication vraie qui serait le seul remède efficace contre l’angoisse. Celle-ci, non exprimée, ne peut que croître et renforcer la douleur, elle-même mal traitée. </w:t>
      </w:r>
      <w:r w:rsidRPr="001E77CA">
        <w:rPr>
          <w:rFonts w:ascii="Times New Roman" w:hAnsi="Times New Roman"/>
          <w:i/>
          <w:sz w:val="20"/>
          <w:szCs w:val="20"/>
        </w:rPr>
        <w:t>Angoisse et douleur s’amplifient mutuellement, et le malade est ainsi entraîné dans le cercle vicieux de la « souffrance totale »</w:t>
      </w:r>
      <w:r w:rsidRPr="001E77CA">
        <w:rPr>
          <w:rStyle w:val="Appelnotedebasdep"/>
          <w:rFonts w:ascii="Times New Roman" w:hAnsi="Times New Roman"/>
          <w:sz w:val="20"/>
          <w:szCs w:val="20"/>
        </w:rPr>
        <w:footnoteReference w:id="7"/>
      </w:r>
      <w:r w:rsidRPr="001E77CA">
        <w:rPr>
          <w:rFonts w:ascii="Times New Roman" w:hAnsi="Times New Roman"/>
          <w:i/>
          <w:sz w:val="20"/>
          <w:szCs w:val="20"/>
        </w:rPr>
        <w:t xml:space="preserve"> qui devient rapidement insupportable non seulement à l’intéressé, mais aussi à son entourage.</w:t>
      </w:r>
    </w:p>
    <w:p w14:paraId="595306D5"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Cela explique que des médecins aient recours aux « cocktails lytiques », mélanges de drogues données en perfusion à des doses telles qu’ils plongent le patient dans l’inconscience et accélère le processus de la mort. Ce n’est certes pas une bonne manière de prendre soin d’un malade. Au lieu de répondre à l’ensemble de ses besoins corporels, psychiques et spirituels, on met seulement fin à son désarroi en le « déconnectant » de la réalité, de la conscience de soi et de la relation à autrui. Du moins, il y a quelques années, on n’employait de tels moyens que lorsque le malade implorait, à travers ses cris et ses gémissements qu’on le fasse « enfin dormir ». […] </w:t>
      </w:r>
    </w:p>
    <w:p w14:paraId="613A0A38"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Mais aujourd’hui que se passe-t-il ? De tels mélanges de drogues sont employés couramment, systématiquement même, dans </w:t>
      </w:r>
      <w:r w:rsidRPr="001E77CA">
        <w:rPr>
          <w:rFonts w:ascii="Times New Roman" w:hAnsi="Times New Roman"/>
          <w:i/>
          <w:sz w:val="20"/>
          <w:szCs w:val="20"/>
        </w:rPr>
        <w:t>certains</w:t>
      </w:r>
      <w:r w:rsidRPr="001E77CA">
        <w:rPr>
          <w:rFonts w:ascii="Times New Roman" w:hAnsi="Times New Roman"/>
          <w:sz w:val="20"/>
          <w:szCs w:val="20"/>
        </w:rPr>
        <w:t xml:space="preserve"> services hospitaliers. Ils y sont devenus la médication habituelle des derniers jours de la vie. Même lorsque le malade ne le demande pas.</w:t>
      </w:r>
    </w:p>
    <w:p w14:paraId="0AA6F551"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w:t>
      </w:r>
    </w:p>
    <w:p w14:paraId="421DD847"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En tout cas, plonger le malade dans l’inconscience et renouveler les perfusions de drogues jusqu’à ce que la mort se produise consiste à mettre fin délibérément à la vie consciente du sujet. Et cela conduit un certain nombre de professionnels de la santé à remettre en cause ouvertement la légitimité de l’interdit social de l’euthanasie : </w:t>
      </w:r>
      <w:r w:rsidRPr="001E77CA">
        <w:rPr>
          <w:rFonts w:ascii="Times New Roman" w:hAnsi="Times New Roman"/>
          <w:sz w:val="20"/>
          <w:szCs w:val="20"/>
        </w:rPr>
        <w:lastRenderedPageBreak/>
        <w:t>Pourquoi condamner encore de nos jours le fait de provoquer la mort de ceux dont la vie touche à son terme ? N’est-ce pas une pure hypocrisie ? Pour le malade, quelle différence y a-t-il entre une mort volontairement provoquée et la fin mise à sa vie consciente ? Cette dernière étant couramment admise dans certains hôpitaux, ne faut-il pas reconnaître aux soignants le droit de donner la mort ? […] L’interdit social de l’euthanasie perd de sa force, et la question de l’acceptation ou du refus de l’euthanasie est de plus en plus considérée comme le lieu d’une option personnelle soumise à la libre appréciation de chacun.</w:t>
      </w:r>
    </w:p>
    <w:p w14:paraId="0DFEE9F2"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w:t>
      </w:r>
    </w:p>
    <w:p w14:paraId="0761ADB4"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 xml:space="preserve">Il nous est […] possible d’acquérir de découvrir les voies de la sagesse en matière d’utilisation des ressources médicales. […] La médecine actuelle est tout récente. Elle dispose d’armes puissantes contre la maladie depuis seulement une quarantaine d’années. Et la technologie médicale n’a vraiment été introduite dans l’ensemble des hôpitaux que depuis moins de vingt-cinq ans. </w:t>
      </w:r>
      <w:r w:rsidRPr="001E77CA">
        <w:rPr>
          <w:rFonts w:ascii="Times New Roman" w:hAnsi="Times New Roman"/>
          <w:i/>
          <w:sz w:val="20"/>
          <w:szCs w:val="20"/>
        </w:rPr>
        <w:t>Nous ne nous sommes pas encore habitués à une révolution si brutale</w:t>
      </w:r>
      <w:r w:rsidRPr="001E77CA">
        <w:rPr>
          <w:rFonts w:ascii="Times New Roman" w:hAnsi="Times New Roman"/>
          <w:sz w:val="20"/>
          <w:szCs w:val="20"/>
        </w:rPr>
        <w:t>.</w:t>
      </w:r>
    </w:p>
    <w:p w14:paraId="49517C20"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sz w:val="20"/>
          <w:szCs w:val="20"/>
        </w:rPr>
        <w:t>[…]</w:t>
      </w:r>
    </w:p>
    <w:p w14:paraId="5613B822" w14:textId="77777777" w:rsidR="00D1640D" w:rsidRPr="001E77CA" w:rsidRDefault="00D1640D" w:rsidP="001E77CA">
      <w:pPr>
        <w:spacing w:line="240" w:lineRule="auto"/>
        <w:rPr>
          <w:rFonts w:ascii="Times New Roman" w:hAnsi="Times New Roman"/>
          <w:sz w:val="20"/>
          <w:szCs w:val="20"/>
        </w:rPr>
      </w:pPr>
      <w:r w:rsidRPr="001E77CA">
        <w:rPr>
          <w:rFonts w:ascii="Times New Roman" w:hAnsi="Times New Roman"/>
          <w:i/>
          <w:sz w:val="20"/>
          <w:szCs w:val="20"/>
        </w:rPr>
        <w:t xml:space="preserve">La création en France de quelques petites Unités de soins </w:t>
      </w:r>
      <w:r w:rsidRPr="001E77CA">
        <w:rPr>
          <w:rFonts w:ascii="Times New Roman" w:hAnsi="Times New Roman"/>
          <w:sz w:val="20"/>
          <w:szCs w:val="20"/>
        </w:rPr>
        <w:t>où l’on manierait avec précision les thérapeutiques de la douleur de celui qui meurt est donc une nécessité impérative. »</w:t>
      </w:r>
    </w:p>
    <w:p w14:paraId="4D8BC864" w14:textId="77777777" w:rsidR="00D1640D" w:rsidRPr="001E77CA" w:rsidRDefault="00D1640D" w:rsidP="001E77CA">
      <w:pPr>
        <w:spacing w:line="240" w:lineRule="auto"/>
        <w:rPr>
          <w:rFonts w:ascii="Times New Roman" w:hAnsi="Times New Roman"/>
          <w:sz w:val="20"/>
          <w:szCs w:val="20"/>
        </w:rPr>
      </w:pPr>
    </w:p>
    <w:p w14:paraId="06938E95" w14:textId="77777777" w:rsidR="003E3504" w:rsidRDefault="00D1640D" w:rsidP="00347144">
      <w:pPr>
        <w:spacing w:line="240" w:lineRule="auto"/>
        <w:rPr>
          <w:rFonts w:ascii="Times New Roman" w:hAnsi="Times New Roman"/>
          <w:sz w:val="20"/>
          <w:szCs w:val="20"/>
        </w:rPr>
      </w:pPr>
      <w:r w:rsidRPr="001E77CA">
        <w:rPr>
          <w:rFonts w:ascii="Times New Roman" w:hAnsi="Times New Roman"/>
          <w:sz w:val="20"/>
          <w:szCs w:val="20"/>
        </w:rPr>
        <w:t xml:space="preserve">Patrick Verspieren, </w:t>
      </w:r>
      <w:proofErr w:type="spellStart"/>
      <w:r w:rsidRPr="001E77CA">
        <w:rPr>
          <w:rFonts w:ascii="Times New Roman" w:hAnsi="Times New Roman"/>
          <w:sz w:val="20"/>
          <w:szCs w:val="20"/>
        </w:rPr>
        <w:t>s.j</w:t>
      </w:r>
      <w:proofErr w:type="spellEnd"/>
      <w:r w:rsidRPr="001E77CA">
        <w:rPr>
          <w:rFonts w:ascii="Times New Roman" w:hAnsi="Times New Roman"/>
          <w:sz w:val="20"/>
          <w:szCs w:val="20"/>
        </w:rPr>
        <w:t xml:space="preserve">., « Sur la pente de l’euthanasie », </w:t>
      </w:r>
      <w:r w:rsidRPr="001E77CA">
        <w:rPr>
          <w:rFonts w:ascii="Times New Roman" w:hAnsi="Times New Roman"/>
          <w:i/>
          <w:sz w:val="20"/>
          <w:szCs w:val="20"/>
        </w:rPr>
        <w:t>Etudes</w:t>
      </w:r>
      <w:r w:rsidRPr="001E77CA">
        <w:rPr>
          <w:rFonts w:ascii="Times New Roman" w:hAnsi="Times New Roman"/>
          <w:sz w:val="20"/>
          <w:szCs w:val="20"/>
        </w:rPr>
        <w:t>, t. 360, n</w:t>
      </w:r>
      <w:r w:rsidRPr="001E77CA">
        <w:rPr>
          <w:rFonts w:ascii="Times New Roman" w:hAnsi="Times New Roman"/>
          <w:sz w:val="20"/>
          <w:szCs w:val="20"/>
          <w:vertAlign w:val="superscript"/>
        </w:rPr>
        <w:t>o</w:t>
      </w:r>
      <w:r w:rsidRPr="001E77CA">
        <w:rPr>
          <w:rFonts w:ascii="Times New Roman" w:hAnsi="Times New Roman"/>
          <w:sz w:val="20"/>
          <w:szCs w:val="20"/>
        </w:rPr>
        <w:t xml:space="preserve"> 1, janvier 1984, p. 43-54, article dont </w:t>
      </w:r>
      <w:r w:rsidRPr="001E77CA">
        <w:rPr>
          <w:rFonts w:ascii="Times New Roman" w:hAnsi="Times New Roman"/>
          <w:i/>
          <w:sz w:val="20"/>
          <w:szCs w:val="20"/>
        </w:rPr>
        <w:t>Le Monde</w:t>
      </w:r>
      <w:r w:rsidRPr="001E77CA">
        <w:rPr>
          <w:rFonts w:ascii="Times New Roman" w:hAnsi="Times New Roman"/>
          <w:sz w:val="20"/>
          <w:szCs w:val="20"/>
        </w:rPr>
        <w:t xml:space="preserve"> s’est fait l’écho dans son édition du 6 janvier 1984.</w:t>
      </w:r>
      <w:r w:rsidR="003E3504">
        <w:rPr>
          <w:rFonts w:ascii="Times New Roman" w:hAnsi="Times New Roman"/>
          <w:sz w:val="20"/>
          <w:szCs w:val="20"/>
        </w:rPr>
        <w:br w:type="page"/>
      </w:r>
    </w:p>
    <w:p w14:paraId="65D18CF8" w14:textId="77777777" w:rsidR="003E3504" w:rsidRPr="008C0920" w:rsidRDefault="003E3504" w:rsidP="003E3504">
      <w:pPr>
        <w:spacing w:line="240" w:lineRule="auto"/>
        <w:jc w:val="center"/>
        <w:rPr>
          <w:rFonts w:ascii="Times New Roman" w:hAnsi="Times New Roman"/>
          <w:b/>
          <w:bCs/>
          <w:sz w:val="20"/>
          <w:szCs w:val="20"/>
        </w:rPr>
      </w:pPr>
      <w:r w:rsidRPr="008C0920">
        <w:rPr>
          <w:rFonts w:ascii="Times New Roman" w:hAnsi="Times New Roman"/>
          <w:b/>
          <w:bCs/>
          <w:sz w:val="20"/>
          <w:szCs w:val="20"/>
        </w:rPr>
        <w:lastRenderedPageBreak/>
        <w:t>Le culte des morts et des tombeaux en France à la fin des années 1980</w:t>
      </w:r>
    </w:p>
    <w:p w14:paraId="3319F1B1" w14:textId="77777777" w:rsidR="003E3504" w:rsidRPr="008C0920" w:rsidRDefault="003E3504" w:rsidP="003E3504">
      <w:pPr>
        <w:spacing w:line="240" w:lineRule="auto"/>
        <w:rPr>
          <w:rFonts w:ascii="Times New Roman" w:hAnsi="Times New Roman"/>
          <w:sz w:val="20"/>
          <w:szCs w:val="20"/>
        </w:rPr>
      </w:pPr>
    </w:p>
    <w:p w14:paraId="0559E6DA" w14:textId="77777777" w:rsidR="003E3504" w:rsidRDefault="003E3504" w:rsidP="003E3504">
      <w:pPr>
        <w:spacing w:line="240" w:lineRule="auto"/>
        <w:rPr>
          <w:rFonts w:ascii="Times New Roman" w:hAnsi="Times New Roman"/>
          <w:sz w:val="20"/>
          <w:szCs w:val="20"/>
        </w:rPr>
      </w:pPr>
    </w:p>
    <w:p w14:paraId="64F9DA9D" w14:textId="77777777" w:rsidR="003E3504" w:rsidRPr="008C0920" w:rsidRDefault="003E3504" w:rsidP="003E3504">
      <w:pPr>
        <w:spacing w:line="240" w:lineRule="auto"/>
        <w:rPr>
          <w:rFonts w:ascii="Times New Roman" w:hAnsi="Times New Roman"/>
          <w:sz w:val="20"/>
          <w:szCs w:val="20"/>
        </w:rPr>
      </w:pPr>
      <w:r w:rsidRPr="008C0920">
        <w:rPr>
          <w:rFonts w:ascii="Times New Roman" w:hAnsi="Times New Roman"/>
          <w:sz w:val="20"/>
          <w:szCs w:val="20"/>
        </w:rPr>
        <w:t>« Pourquoi suis-je resté dans les cimetières ? Ce champ des morts est un espace ethnographique tout neuf, vierge, singulièrement inexploré, où notre culture, dans son intimité, se communique et se révèle. Le cimetière est le lieu d’un langage. Celui-ci, ô combien prolixe, repose le problème de l’histoire sous la forme du destin social des morts dans notre civilisation. Ce langage incitait au pronostic ; ou, du moins, à poser cette première question : quel avenir pour nos morts et que signifie-t-il ? Mais au-delà, l’analyse du langage funéraire nous conduit à poser aujourd’hui cette seconde question : quel avenir pour le passé ?</w:t>
      </w:r>
    </w:p>
    <w:p w14:paraId="60449352" w14:textId="77777777" w:rsidR="003E3504" w:rsidRDefault="003E3504" w:rsidP="003E3504">
      <w:pPr>
        <w:spacing w:line="240" w:lineRule="auto"/>
        <w:rPr>
          <w:rFonts w:ascii="Times New Roman" w:hAnsi="Times New Roman"/>
          <w:sz w:val="20"/>
          <w:szCs w:val="20"/>
        </w:rPr>
      </w:pPr>
      <w:r w:rsidRPr="008C0920">
        <w:rPr>
          <w:rFonts w:ascii="Times New Roman" w:hAnsi="Times New Roman"/>
          <w:sz w:val="20"/>
          <w:szCs w:val="20"/>
        </w:rPr>
        <w:t>A l’instar de ces monuments de commémoration qui ne produise précisément pas d’effet de mémorisation, la mémoire, dans le cimetière, est comme déléguée, ensevelie et dissoute dans l’ordre d’un langage. L’accumulation de millions de livres ne garantit pas la mémorisation de leur contenu. Elle garantit seulement leur accumulation en un lieu donné : la nécropole est-elle encore un lieu de mémoire ? » (p.41).</w:t>
      </w:r>
    </w:p>
    <w:p w14:paraId="41D4AC45" w14:textId="77777777" w:rsidR="003E3504" w:rsidRPr="008C0920" w:rsidRDefault="003E3504" w:rsidP="003E3504">
      <w:pPr>
        <w:spacing w:line="240" w:lineRule="auto"/>
        <w:rPr>
          <w:rFonts w:ascii="Times New Roman" w:hAnsi="Times New Roman"/>
          <w:sz w:val="20"/>
          <w:szCs w:val="20"/>
        </w:rPr>
      </w:pPr>
    </w:p>
    <w:p w14:paraId="16E1BA18" w14:textId="77777777" w:rsidR="003E3504" w:rsidRPr="008C0920" w:rsidRDefault="003E3504" w:rsidP="003E3504">
      <w:pPr>
        <w:spacing w:line="240" w:lineRule="auto"/>
        <w:rPr>
          <w:rFonts w:ascii="Times New Roman" w:hAnsi="Times New Roman"/>
          <w:sz w:val="20"/>
          <w:szCs w:val="20"/>
        </w:rPr>
      </w:pPr>
      <w:r w:rsidRPr="008C0920">
        <w:rPr>
          <w:rFonts w:ascii="Times New Roman" w:hAnsi="Times New Roman"/>
          <w:sz w:val="20"/>
          <w:szCs w:val="20"/>
        </w:rPr>
        <w:t xml:space="preserve">« Aujourd’hui, en Occident, exception faite justement du territoire des morts, ultime réserve de signes et peut-être dernier refuge du sentiment de la mort […], les représentations de l’au-delà paraissent ne plus pouvoir avoir cours, comme si notre société, renonçant à la figuration de ses songes et au souvenir de ses morts, était en état de </w:t>
      </w:r>
      <w:r w:rsidRPr="008C0920">
        <w:rPr>
          <w:rFonts w:ascii="Times New Roman" w:hAnsi="Times New Roman"/>
          <w:i/>
          <w:iCs/>
          <w:sz w:val="20"/>
          <w:szCs w:val="20"/>
        </w:rPr>
        <w:t>panne symbolique</w:t>
      </w:r>
      <w:r w:rsidRPr="008C0920">
        <w:rPr>
          <w:rFonts w:ascii="Times New Roman" w:hAnsi="Times New Roman"/>
          <w:sz w:val="20"/>
          <w:szCs w:val="20"/>
        </w:rPr>
        <w:t> : en état de rêverie bloquée. Dans ce contexte d’</w:t>
      </w:r>
      <w:r w:rsidRPr="008C0920">
        <w:rPr>
          <w:rFonts w:ascii="Times New Roman" w:hAnsi="Times New Roman"/>
          <w:i/>
          <w:iCs/>
          <w:sz w:val="20"/>
          <w:szCs w:val="20"/>
        </w:rPr>
        <w:t>au-delà en crise</w:t>
      </w:r>
      <w:r w:rsidRPr="008C0920">
        <w:rPr>
          <w:rFonts w:ascii="Times New Roman" w:hAnsi="Times New Roman"/>
          <w:sz w:val="20"/>
          <w:szCs w:val="20"/>
        </w:rPr>
        <w:t>, il ne resterait plus qu’un espoir : non pas celui de l’immortalité, mais celui, « </w:t>
      </w:r>
      <w:proofErr w:type="spellStart"/>
      <w:r w:rsidRPr="008C0920">
        <w:rPr>
          <w:rFonts w:ascii="Times New Roman" w:hAnsi="Times New Roman"/>
          <w:sz w:val="20"/>
          <w:szCs w:val="20"/>
        </w:rPr>
        <w:t>bio-médical</w:t>
      </w:r>
      <w:proofErr w:type="spellEnd"/>
      <w:r w:rsidRPr="008C0920">
        <w:rPr>
          <w:rFonts w:ascii="Times New Roman" w:hAnsi="Times New Roman"/>
          <w:sz w:val="20"/>
          <w:szCs w:val="20"/>
        </w:rPr>
        <w:t> », de la non-mort, de l’</w:t>
      </w:r>
      <w:proofErr w:type="spellStart"/>
      <w:r w:rsidRPr="008C0920">
        <w:rPr>
          <w:rFonts w:ascii="Times New Roman" w:hAnsi="Times New Roman"/>
          <w:i/>
          <w:iCs/>
          <w:sz w:val="20"/>
          <w:szCs w:val="20"/>
        </w:rPr>
        <w:t>a-mortalité</w:t>
      </w:r>
      <w:proofErr w:type="spellEnd"/>
      <w:r w:rsidRPr="008C0920">
        <w:rPr>
          <w:rFonts w:ascii="Times New Roman" w:hAnsi="Times New Roman"/>
          <w:sz w:val="20"/>
          <w:szCs w:val="20"/>
        </w:rPr>
        <w:t>, de la survie indéfinie » (p.62).</w:t>
      </w:r>
    </w:p>
    <w:p w14:paraId="6CACFB30" w14:textId="77777777" w:rsidR="003E3504" w:rsidRDefault="003E3504" w:rsidP="003E3504">
      <w:pPr>
        <w:spacing w:line="240" w:lineRule="auto"/>
        <w:rPr>
          <w:rFonts w:ascii="Times New Roman" w:hAnsi="Times New Roman"/>
          <w:sz w:val="20"/>
          <w:szCs w:val="20"/>
        </w:rPr>
      </w:pPr>
    </w:p>
    <w:p w14:paraId="432D63C9" w14:textId="77777777" w:rsidR="003E3504" w:rsidRPr="008C0920" w:rsidRDefault="003E3504" w:rsidP="003E3504">
      <w:pPr>
        <w:spacing w:line="240" w:lineRule="auto"/>
        <w:rPr>
          <w:rFonts w:ascii="Times New Roman" w:hAnsi="Times New Roman"/>
          <w:sz w:val="20"/>
          <w:szCs w:val="20"/>
        </w:rPr>
      </w:pPr>
      <w:r w:rsidRPr="008C0920">
        <w:rPr>
          <w:rFonts w:ascii="Times New Roman" w:hAnsi="Times New Roman"/>
          <w:sz w:val="20"/>
          <w:szCs w:val="20"/>
        </w:rPr>
        <w:t xml:space="preserve">« Parallèlement à l’esthéticien ou au </w:t>
      </w:r>
      <w:proofErr w:type="spellStart"/>
      <w:r w:rsidRPr="008C0920">
        <w:rPr>
          <w:rFonts w:ascii="Times New Roman" w:hAnsi="Times New Roman"/>
          <w:sz w:val="20"/>
          <w:szCs w:val="20"/>
        </w:rPr>
        <w:t>morticien</w:t>
      </w:r>
      <w:proofErr w:type="spellEnd"/>
      <w:r w:rsidRPr="008C0920">
        <w:rPr>
          <w:rFonts w:ascii="Times New Roman" w:hAnsi="Times New Roman"/>
          <w:sz w:val="20"/>
          <w:szCs w:val="20"/>
        </w:rPr>
        <w:t>, l’architecte des cimetières contemporains est, lui aussi, guidé par le désir de produire une illusion de vie, faisant de l’architecture funéraire un art de la simulation comme la thanatopraxie. Quand on lui demande d’établir un projet d’agrandissement pour un cimetière ancien devenu trop petit, cet architecte, aujourd’hui, dans la plupart des cas, n’envisage pa</w:t>
      </w:r>
      <w:r>
        <w:rPr>
          <w:rFonts w:ascii="Times New Roman" w:hAnsi="Times New Roman"/>
          <w:sz w:val="20"/>
          <w:szCs w:val="20"/>
        </w:rPr>
        <w:t>s</w:t>
      </w:r>
      <w:r w:rsidRPr="008C0920">
        <w:rPr>
          <w:rFonts w:ascii="Times New Roman" w:hAnsi="Times New Roman"/>
          <w:sz w:val="20"/>
          <w:szCs w:val="20"/>
        </w:rPr>
        <w:t xml:space="preserve"> autre chose qu’une sorte de </w:t>
      </w:r>
      <w:r w:rsidRPr="008C0920">
        <w:rPr>
          <w:rFonts w:ascii="Times New Roman" w:hAnsi="Times New Roman"/>
          <w:i/>
          <w:iCs/>
          <w:sz w:val="20"/>
          <w:szCs w:val="20"/>
        </w:rPr>
        <w:t>toilette de l’espace funéraire ancien</w:t>
      </w:r>
      <w:r w:rsidRPr="008C0920">
        <w:rPr>
          <w:rFonts w:ascii="Times New Roman" w:hAnsi="Times New Roman"/>
          <w:sz w:val="20"/>
          <w:szCs w:val="20"/>
        </w:rPr>
        <w:t>. […] Les cimetières récents que l’on peut visiter aujourd’hui en Amérique du Nord, au Brésil ou en Europe occidentale ne sont plus de « vrais » cimetières : travestis, maquillés en lieux de vie, ce sont des « presque-villes », des « quasi-immeubles » ou des « pseudo-jardins ». » (p.156).</w:t>
      </w:r>
    </w:p>
    <w:p w14:paraId="3F59FFE5" w14:textId="77777777" w:rsidR="003E3504" w:rsidRDefault="003E3504" w:rsidP="003E3504">
      <w:pPr>
        <w:spacing w:line="240" w:lineRule="auto"/>
        <w:rPr>
          <w:rFonts w:ascii="Times New Roman" w:hAnsi="Times New Roman"/>
          <w:sz w:val="20"/>
          <w:szCs w:val="20"/>
        </w:rPr>
      </w:pPr>
    </w:p>
    <w:p w14:paraId="7ABAC0EA" w14:textId="77777777" w:rsidR="003E3504" w:rsidRDefault="003E3504" w:rsidP="003E3504">
      <w:pPr>
        <w:spacing w:line="240" w:lineRule="auto"/>
        <w:rPr>
          <w:rFonts w:ascii="Times New Roman" w:hAnsi="Times New Roman"/>
          <w:iCs/>
          <w:sz w:val="20"/>
          <w:szCs w:val="20"/>
        </w:rPr>
      </w:pPr>
      <w:r w:rsidRPr="008C0920">
        <w:rPr>
          <w:rFonts w:ascii="Times New Roman" w:hAnsi="Times New Roman"/>
          <w:sz w:val="20"/>
          <w:szCs w:val="20"/>
        </w:rPr>
        <w:t xml:space="preserve">« Depuis des décennies, la fréquentation du cimetière, le culte des tombeaux ou l’entretien familial des tombes sont des pratiques qui ne font que décroître. </w:t>
      </w:r>
      <w:r w:rsidRPr="008C0920">
        <w:rPr>
          <w:rFonts w:ascii="Times New Roman" w:hAnsi="Times New Roman"/>
          <w:i/>
          <w:sz w:val="20"/>
          <w:szCs w:val="20"/>
        </w:rPr>
        <w:t>La relation à l’espace des morts n’est plus que ce qu’elle était</w:t>
      </w:r>
      <w:r w:rsidRPr="008C0920">
        <w:rPr>
          <w:rFonts w:ascii="Times New Roman" w:hAnsi="Times New Roman"/>
          <w:iCs/>
          <w:sz w:val="20"/>
          <w:szCs w:val="20"/>
        </w:rPr>
        <w:t xml:space="preserve"> et des coutumes funéraires inventées ou restaurées au XIX</w:t>
      </w:r>
      <w:r w:rsidRPr="008C0920">
        <w:rPr>
          <w:rFonts w:ascii="Times New Roman" w:hAnsi="Times New Roman"/>
          <w:iCs/>
          <w:sz w:val="20"/>
          <w:szCs w:val="20"/>
          <w:vertAlign w:val="superscript"/>
        </w:rPr>
        <w:t>e</w:t>
      </w:r>
      <w:r w:rsidRPr="008C0920">
        <w:rPr>
          <w:rFonts w:ascii="Times New Roman" w:hAnsi="Times New Roman"/>
          <w:iCs/>
          <w:sz w:val="20"/>
          <w:szCs w:val="20"/>
        </w:rPr>
        <w:t xml:space="preserve"> siècle ont aujourd’hui disparu. […] Doit-on pour autant conclure au triomphe sans nuance du songe exterminateur dans les mentalités et dans les faits ? Le cimetière « disparaît » mais il n’est pas détruit. […] Indiscernable dans l’environnement, </w:t>
      </w:r>
      <w:r w:rsidRPr="008C0920">
        <w:rPr>
          <w:rFonts w:ascii="Times New Roman" w:hAnsi="Times New Roman"/>
          <w:i/>
          <w:sz w:val="20"/>
          <w:szCs w:val="20"/>
        </w:rPr>
        <w:t>le cimetière est toujours là</w:t>
      </w:r>
      <w:r w:rsidRPr="008C0920">
        <w:rPr>
          <w:rFonts w:ascii="Times New Roman" w:hAnsi="Times New Roman"/>
          <w:iCs/>
          <w:sz w:val="20"/>
          <w:szCs w:val="20"/>
        </w:rPr>
        <w:t>. Non seulement il demeure, mais encore il s’étend et il se multiplie. Toujours trop « plein », il est à saturation. Le goût des familles pour la « concession », c’est-à-dire pour la possession privative et exclusive du sol dans lequel elles entendent ensevelir leurs morts, depuis des décennies, n’a fait que se développer. Etrange oscillation donc, entre l’abandon et la rétention, l’oubli et la conservation des morts […]</w:t>
      </w:r>
      <w:r w:rsidRPr="008C0920">
        <w:rPr>
          <w:rFonts w:ascii="Times New Roman" w:hAnsi="Times New Roman"/>
          <w:i/>
          <w:sz w:val="20"/>
          <w:szCs w:val="20"/>
        </w:rPr>
        <w:t>.</w:t>
      </w:r>
      <w:r w:rsidRPr="008C0920">
        <w:rPr>
          <w:rFonts w:ascii="Times New Roman" w:hAnsi="Times New Roman"/>
          <w:iCs/>
          <w:sz w:val="20"/>
          <w:szCs w:val="20"/>
        </w:rPr>
        <w:t> » (p.174-175).</w:t>
      </w:r>
    </w:p>
    <w:p w14:paraId="6987D135" w14:textId="77777777" w:rsidR="003E3504" w:rsidRPr="008C0920" w:rsidRDefault="003E3504" w:rsidP="003E3504">
      <w:pPr>
        <w:spacing w:line="240" w:lineRule="auto"/>
        <w:rPr>
          <w:rFonts w:ascii="Times New Roman" w:hAnsi="Times New Roman"/>
          <w:iCs/>
          <w:sz w:val="20"/>
          <w:szCs w:val="20"/>
        </w:rPr>
      </w:pPr>
    </w:p>
    <w:p w14:paraId="1A71D65E" w14:textId="77777777" w:rsidR="003E3504" w:rsidRPr="008C0920" w:rsidRDefault="003E3504" w:rsidP="003E3504">
      <w:pPr>
        <w:spacing w:line="240" w:lineRule="auto"/>
        <w:rPr>
          <w:rFonts w:ascii="Times New Roman" w:hAnsi="Times New Roman"/>
          <w:iCs/>
          <w:sz w:val="20"/>
          <w:szCs w:val="20"/>
        </w:rPr>
      </w:pPr>
      <w:r w:rsidRPr="008C0920">
        <w:rPr>
          <w:rFonts w:ascii="Times New Roman" w:hAnsi="Times New Roman"/>
          <w:iCs/>
          <w:sz w:val="20"/>
          <w:szCs w:val="20"/>
        </w:rPr>
        <w:t>« Visitez, par exemple, les cimetières français d’aujourd’hui. Une vingtaine, pris au hasard, devraient suffire. Cédant le pas à la mélancolie, vous serez vite envahi par une irrépressible sensation d’absurdité. Vous ne trouverez dans votre promenade que la répétition d’objets atrophiés, qu’un seul signe reproduit à l’infini, une même et pauvre tombe fabriquée industriellement. Cette absence d’imagination statuaire semble procéder de la logique de l’habitude plutôt que d’un travail de célébration et de commémoration, d’une manie d’accumulation tournant à vide plutôt que d’une coutume vivante et vécue. Ces objets étranges paraissent avant tout exprimer un effondrement : celui d’une idéologie, d’une mentalité ou d’un imaginaire. Quasi mutiques, sans imagination, les tombeaux d’aujourd’hui donnent avant tout l’impression d’afficher le désir unanime de ne plus rien dire des morts. Juste un nom et deux dates ; parfois, ni l’un ni l’autre. L’heure n’est-elle pas, définitivement, à l’oubli et à l’abandon […] Ne reste que le silence buté d’un marbre sans figure et sans écriture.</w:t>
      </w:r>
    </w:p>
    <w:p w14:paraId="1C398E25" w14:textId="77777777" w:rsidR="003E3504" w:rsidRDefault="003E3504" w:rsidP="003E3504">
      <w:pPr>
        <w:spacing w:line="240" w:lineRule="auto"/>
        <w:rPr>
          <w:rFonts w:ascii="Times New Roman" w:hAnsi="Times New Roman"/>
          <w:iCs/>
          <w:sz w:val="20"/>
          <w:szCs w:val="20"/>
        </w:rPr>
      </w:pPr>
      <w:r w:rsidRPr="008C0920">
        <w:rPr>
          <w:rFonts w:ascii="Times New Roman" w:hAnsi="Times New Roman"/>
          <w:iCs/>
          <w:sz w:val="20"/>
          <w:szCs w:val="20"/>
        </w:rPr>
        <w:t>Face à cette plaine monotone et sans voix, nos vieux cimetières du XIX</w:t>
      </w:r>
      <w:r w:rsidRPr="00566C29">
        <w:rPr>
          <w:rFonts w:ascii="Times New Roman" w:hAnsi="Times New Roman"/>
          <w:iCs/>
          <w:sz w:val="20"/>
          <w:szCs w:val="20"/>
          <w:vertAlign w:val="superscript"/>
        </w:rPr>
        <w:t>e</w:t>
      </w:r>
      <w:r w:rsidRPr="008C0920">
        <w:rPr>
          <w:rFonts w:ascii="Times New Roman" w:hAnsi="Times New Roman"/>
          <w:iCs/>
          <w:sz w:val="20"/>
          <w:szCs w:val="20"/>
        </w:rPr>
        <w:t xml:space="preserve"> siècle et du début du XX</w:t>
      </w:r>
      <w:r w:rsidRPr="00566C29">
        <w:rPr>
          <w:rFonts w:ascii="Times New Roman" w:hAnsi="Times New Roman"/>
          <w:iCs/>
          <w:sz w:val="20"/>
          <w:szCs w:val="20"/>
          <w:vertAlign w:val="superscript"/>
        </w:rPr>
        <w:t>e</w:t>
      </w:r>
      <w:r w:rsidRPr="008C0920">
        <w:rPr>
          <w:rFonts w:ascii="Times New Roman" w:hAnsi="Times New Roman"/>
          <w:iCs/>
          <w:sz w:val="20"/>
          <w:szCs w:val="20"/>
        </w:rPr>
        <w:t xml:space="preserve"> sont d’étranges univers. Gorgés d’images et de symboles, presque trop pleins – d’ailleurs ils le sont : on n’y enterre presque plus -, ils enferment une intense végétation de signes. Dense et somptuaire, la variété épigraphique et morphologique des objets fonde, par contraste, un monde exotique. » (p.184-185).</w:t>
      </w:r>
    </w:p>
    <w:p w14:paraId="670EEB8B" w14:textId="77777777" w:rsidR="003E3504" w:rsidRPr="008C0920" w:rsidRDefault="003E3504" w:rsidP="003E3504">
      <w:pPr>
        <w:spacing w:line="240" w:lineRule="auto"/>
        <w:rPr>
          <w:rFonts w:ascii="Times New Roman" w:hAnsi="Times New Roman"/>
          <w:iCs/>
          <w:sz w:val="20"/>
          <w:szCs w:val="20"/>
        </w:rPr>
      </w:pPr>
    </w:p>
    <w:p w14:paraId="426F25FD" w14:textId="77777777" w:rsidR="003E3504" w:rsidRDefault="003E3504" w:rsidP="003E3504">
      <w:pPr>
        <w:spacing w:line="240" w:lineRule="auto"/>
        <w:rPr>
          <w:rFonts w:ascii="Times New Roman" w:hAnsi="Times New Roman"/>
          <w:sz w:val="20"/>
          <w:szCs w:val="20"/>
        </w:rPr>
      </w:pPr>
      <w:r w:rsidRPr="008C0920">
        <w:rPr>
          <w:rFonts w:ascii="Times New Roman" w:hAnsi="Times New Roman"/>
          <w:sz w:val="20"/>
          <w:szCs w:val="20"/>
        </w:rPr>
        <w:t xml:space="preserve">« En France, les premières nécropoles nouvelles, celles que j’appellerai les </w:t>
      </w:r>
      <w:r w:rsidRPr="008C0920">
        <w:rPr>
          <w:rFonts w:ascii="Times New Roman" w:hAnsi="Times New Roman"/>
          <w:i/>
          <w:iCs/>
          <w:sz w:val="20"/>
          <w:szCs w:val="20"/>
        </w:rPr>
        <w:t>cimetières contemporains</w:t>
      </w:r>
      <w:r w:rsidRPr="008C0920">
        <w:rPr>
          <w:rFonts w:ascii="Times New Roman" w:hAnsi="Times New Roman"/>
          <w:sz w:val="20"/>
          <w:szCs w:val="20"/>
        </w:rPr>
        <w:t>, apparaissent entre 1930 et 1950. La conception du projet du cimetière paysager de Clamart date de 1947 ; et le début de sa réalisation de 1951. Ce fut chez nous, dans notre culture, la première trace matérielle de l’</w:t>
      </w:r>
      <w:r w:rsidRPr="008C0920">
        <w:rPr>
          <w:rFonts w:ascii="Times New Roman" w:hAnsi="Times New Roman"/>
          <w:i/>
          <w:iCs/>
          <w:sz w:val="20"/>
          <w:szCs w:val="20"/>
        </w:rPr>
        <w:t>effacement</w:t>
      </w:r>
      <w:r w:rsidRPr="008C0920">
        <w:rPr>
          <w:rFonts w:ascii="Times New Roman" w:hAnsi="Times New Roman"/>
          <w:sz w:val="20"/>
          <w:szCs w:val="20"/>
        </w:rPr>
        <w:t xml:space="preserve"> ordonné de l’espace des morts. » (p.211)</w:t>
      </w:r>
    </w:p>
    <w:p w14:paraId="3D11235E" w14:textId="77777777" w:rsidR="003E3504" w:rsidRPr="008C0920" w:rsidRDefault="003E3504" w:rsidP="003E3504">
      <w:pPr>
        <w:spacing w:line="240" w:lineRule="auto"/>
        <w:rPr>
          <w:rFonts w:ascii="Times New Roman" w:hAnsi="Times New Roman"/>
          <w:sz w:val="20"/>
          <w:szCs w:val="20"/>
        </w:rPr>
      </w:pPr>
    </w:p>
    <w:p w14:paraId="5586996D" w14:textId="77777777" w:rsidR="003E3504" w:rsidRDefault="003E3504" w:rsidP="003E3504">
      <w:pPr>
        <w:spacing w:line="240" w:lineRule="auto"/>
        <w:rPr>
          <w:rFonts w:ascii="Times New Roman" w:hAnsi="Times New Roman"/>
          <w:sz w:val="20"/>
          <w:szCs w:val="20"/>
        </w:rPr>
      </w:pPr>
      <w:r w:rsidRPr="008C0920">
        <w:rPr>
          <w:rFonts w:ascii="Times New Roman" w:hAnsi="Times New Roman"/>
          <w:sz w:val="20"/>
          <w:szCs w:val="20"/>
        </w:rPr>
        <w:lastRenderedPageBreak/>
        <w:t xml:space="preserve">« Qu’en est-il des morts dans notre société ? </w:t>
      </w:r>
      <w:r w:rsidRPr="008C0920">
        <w:rPr>
          <w:rFonts w:ascii="Times New Roman" w:hAnsi="Times New Roman"/>
          <w:i/>
          <w:iCs/>
          <w:sz w:val="20"/>
          <w:szCs w:val="20"/>
        </w:rPr>
        <w:t>Quelle est aujourd’hui la place que leur assigne l’imaginaire par rapport à la vie ?</w:t>
      </w:r>
      <w:r w:rsidRPr="008C0920">
        <w:rPr>
          <w:rFonts w:ascii="Times New Roman" w:hAnsi="Times New Roman"/>
          <w:sz w:val="20"/>
          <w:szCs w:val="20"/>
        </w:rPr>
        <w:t xml:space="preserve"> Exception faite de l’annuelle ruée de la Toussaint, qui voit, l’espace d’un week-end, la relation entre morts et vivants se rétablir massivement, le lien paraît être maintenant rompu. Notre organisation sociale, objectivement, n’encourage pas le culte journalier ou hebdomadaire des tombeaux ; et dans les milieux ruraux comme dans les villes, sitôt passées les funérailles, la logique du chacun-chez-soi l’emporte : les vivants d’un côté, et les morts de l’autre. » (p.250).</w:t>
      </w:r>
    </w:p>
    <w:p w14:paraId="27B8C0FE" w14:textId="77777777" w:rsidR="003E3504" w:rsidRPr="008C0920" w:rsidRDefault="003E3504" w:rsidP="003E3504">
      <w:pPr>
        <w:spacing w:line="240" w:lineRule="auto"/>
        <w:rPr>
          <w:rFonts w:ascii="Times New Roman" w:hAnsi="Times New Roman"/>
          <w:sz w:val="20"/>
          <w:szCs w:val="20"/>
        </w:rPr>
      </w:pPr>
    </w:p>
    <w:p w14:paraId="75D0944E" w14:textId="77777777" w:rsidR="003E3504" w:rsidRPr="008C0920" w:rsidRDefault="003E3504" w:rsidP="003E3504">
      <w:pPr>
        <w:spacing w:line="240" w:lineRule="auto"/>
        <w:rPr>
          <w:rFonts w:ascii="Times New Roman" w:hAnsi="Times New Roman"/>
          <w:sz w:val="20"/>
          <w:szCs w:val="20"/>
        </w:rPr>
      </w:pPr>
      <w:r w:rsidRPr="008C0920">
        <w:rPr>
          <w:rFonts w:ascii="Times New Roman" w:hAnsi="Times New Roman"/>
          <w:sz w:val="20"/>
          <w:szCs w:val="20"/>
        </w:rPr>
        <w:t xml:space="preserve">« Aujourd’hui, il faut repenser autrement la relation entre morts et vivants. La ville, la « concentration urbaine », est devenue un vaste espace non clos, non concentrique et plurinucléaire. Ici, tout devient relatif : il n’y a plus qu’un centre désignant tout le reste comme périphérique. C’est un nouveau modèle d’organisation sociale qui se met en place, et un nouvel espace, avec une autre logique dans le cadre de laquelle </w:t>
      </w:r>
      <w:r w:rsidRPr="008C0920">
        <w:rPr>
          <w:rFonts w:ascii="Times New Roman" w:hAnsi="Times New Roman"/>
          <w:i/>
          <w:iCs/>
          <w:sz w:val="20"/>
          <w:szCs w:val="20"/>
        </w:rPr>
        <w:t>le statut symbolique de l’espace des morts doit être reconsidéré.</w:t>
      </w:r>
      <w:r w:rsidRPr="008C0920">
        <w:rPr>
          <w:rFonts w:ascii="Times New Roman" w:hAnsi="Times New Roman"/>
          <w:sz w:val="20"/>
          <w:szCs w:val="20"/>
        </w:rPr>
        <w:t xml:space="preserve"> Le succès du cimetière intercommunal illustre bien la complexité du phénomène et la révolution en cours de l’écologie urbaine. A ce stade de son évolution, le cimetière est devenu proprement « délocalisé ». Son lieu est imprévisible, sa position dans l’espace est aléatoire, son identification incertaine et son emplacement non fixé par un modèle de carte de l’étendue citadine. » (p. 261).</w:t>
      </w:r>
    </w:p>
    <w:p w14:paraId="5DD671D7" w14:textId="77777777" w:rsidR="003E3504" w:rsidRPr="008C0920" w:rsidRDefault="003E3504" w:rsidP="003E3504">
      <w:pPr>
        <w:spacing w:line="240" w:lineRule="auto"/>
        <w:rPr>
          <w:rFonts w:ascii="Times New Roman" w:hAnsi="Times New Roman"/>
          <w:sz w:val="20"/>
          <w:szCs w:val="20"/>
        </w:rPr>
      </w:pPr>
    </w:p>
    <w:p w14:paraId="06DA288A" w14:textId="77777777" w:rsidR="0060196D" w:rsidRPr="00347144" w:rsidRDefault="003E3504" w:rsidP="003E3504">
      <w:pPr>
        <w:spacing w:line="240" w:lineRule="auto"/>
        <w:rPr>
          <w:rFonts w:ascii="Times New Roman" w:hAnsi="Times New Roman"/>
          <w:sz w:val="20"/>
          <w:szCs w:val="20"/>
        </w:rPr>
      </w:pPr>
      <w:r w:rsidRPr="008C0920">
        <w:rPr>
          <w:rFonts w:ascii="Times New Roman" w:hAnsi="Times New Roman"/>
          <w:sz w:val="20"/>
          <w:szCs w:val="20"/>
        </w:rPr>
        <w:t xml:space="preserve">Source : Jean-Didier Urbain, </w:t>
      </w:r>
      <w:r w:rsidRPr="008C0920">
        <w:rPr>
          <w:rFonts w:ascii="Times New Roman" w:hAnsi="Times New Roman"/>
          <w:i/>
          <w:iCs/>
          <w:sz w:val="20"/>
          <w:szCs w:val="20"/>
        </w:rPr>
        <w:t>L’archipel des morts. Cimetières et mémoire en Occident</w:t>
      </w:r>
      <w:r w:rsidRPr="008C0920">
        <w:rPr>
          <w:rFonts w:ascii="Times New Roman" w:hAnsi="Times New Roman"/>
          <w:sz w:val="20"/>
          <w:szCs w:val="20"/>
        </w:rPr>
        <w:t>, Paris, Petite bibliothèque Payot, 2005 (1</w:t>
      </w:r>
      <w:r w:rsidRPr="008C0920">
        <w:rPr>
          <w:rFonts w:ascii="Times New Roman" w:hAnsi="Times New Roman"/>
          <w:sz w:val="20"/>
          <w:szCs w:val="20"/>
          <w:vertAlign w:val="superscript"/>
        </w:rPr>
        <w:t>re</w:t>
      </w:r>
      <w:r w:rsidRPr="008C0920">
        <w:rPr>
          <w:rFonts w:ascii="Times New Roman" w:hAnsi="Times New Roman"/>
          <w:sz w:val="20"/>
          <w:szCs w:val="20"/>
        </w:rPr>
        <w:t xml:space="preserve"> éd. </w:t>
      </w:r>
      <w:r w:rsidRPr="008C0920">
        <w:rPr>
          <w:rFonts w:ascii="Times New Roman" w:hAnsi="Times New Roman"/>
          <w:sz w:val="20"/>
          <w:szCs w:val="20"/>
          <w:u w:val="single"/>
        </w:rPr>
        <w:t>1989</w:t>
      </w:r>
      <w:r w:rsidRPr="008C0920">
        <w:rPr>
          <w:rFonts w:ascii="Times New Roman" w:hAnsi="Times New Roman"/>
          <w:sz w:val="20"/>
          <w:szCs w:val="20"/>
        </w:rPr>
        <w:t xml:space="preserve">). L’auteur est un sociologue et ethnologue français, né en 1951, surtout connu pour ses travaux sur le tourisme et le voyage. Il a publié en 1978 une des analyses les plus profondes sur le culte des morts du long XIXe siècle : </w:t>
      </w:r>
      <w:r w:rsidRPr="008C0920">
        <w:rPr>
          <w:rFonts w:ascii="Times New Roman" w:hAnsi="Times New Roman"/>
          <w:i/>
          <w:iCs/>
          <w:sz w:val="20"/>
          <w:szCs w:val="20"/>
        </w:rPr>
        <w:t>La Société de conservation : étude sémiologique des cimetières d’Occident</w:t>
      </w:r>
      <w:r w:rsidRPr="008C0920">
        <w:rPr>
          <w:rFonts w:ascii="Times New Roman" w:hAnsi="Times New Roman"/>
          <w:sz w:val="20"/>
          <w:szCs w:val="20"/>
        </w:rPr>
        <w:t>.</w:t>
      </w:r>
    </w:p>
    <w:p w14:paraId="7A51EB07" w14:textId="77777777" w:rsidR="0077233F" w:rsidRPr="001E77CA" w:rsidRDefault="00E53AD3" w:rsidP="001E77CA">
      <w:pPr>
        <w:spacing w:line="360" w:lineRule="auto"/>
        <w:jc w:val="left"/>
        <w:rPr>
          <w:rFonts w:ascii="Times New Roman" w:hAnsi="Times New Roman"/>
          <w:b/>
          <w:sz w:val="24"/>
        </w:rPr>
      </w:pPr>
      <w:r w:rsidRPr="001E77CA">
        <w:rPr>
          <w:rFonts w:ascii="Times New Roman" w:hAnsi="Times New Roman"/>
          <w:b/>
          <w:sz w:val="24"/>
        </w:rPr>
        <w:br w:type="page"/>
      </w:r>
    </w:p>
    <w:p w14:paraId="33B274E3" w14:textId="77777777" w:rsidR="00570097" w:rsidRPr="0016451C" w:rsidRDefault="00570097" w:rsidP="00570097">
      <w:pPr>
        <w:spacing w:line="240" w:lineRule="auto"/>
        <w:jc w:val="center"/>
        <w:rPr>
          <w:rFonts w:ascii="Times New Roman" w:hAnsi="Times New Roman"/>
          <w:b/>
          <w:bCs/>
          <w:sz w:val="20"/>
          <w:szCs w:val="20"/>
        </w:rPr>
      </w:pPr>
      <w:r w:rsidRPr="0016451C">
        <w:rPr>
          <w:rFonts w:ascii="Times New Roman" w:hAnsi="Times New Roman"/>
          <w:b/>
          <w:bCs/>
          <w:sz w:val="20"/>
          <w:szCs w:val="20"/>
        </w:rPr>
        <w:lastRenderedPageBreak/>
        <w:t>La révolution crématiste</w:t>
      </w:r>
    </w:p>
    <w:p w14:paraId="603B005B" w14:textId="77777777" w:rsidR="00570097" w:rsidRDefault="00570097" w:rsidP="00570097">
      <w:pPr>
        <w:spacing w:line="240" w:lineRule="auto"/>
        <w:rPr>
          <w:rFonts w:ascii="Times New Roman" w:hAnsi="Times New Roman"/>
          <w:sz w:val="20"/>
          <w:szCs w:val="20"/>
        </w:rPr>
      </w:pPr>
    </w:p>
    <w:p w14:paraId="52897F5F"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 La crémation n’est pas une idée neuve en Europe. Elle s’est répandue dès la fin du XIXe siècle et, des Etats-Unis à l’Argentine et de la Nouvelle-Zélande au Canada, elle s’est propagée dans les anciennes colonies. Acceptée, et même encouragée par les uns, refusée ou interdite par d’autres, après avoir connu des fortunes diverses, l’idée semble aujourd’hui en passe de triompher des derniers obstacles susceptibles de freiner son essor et d’entraver le développement industriel d’un procédé qui, jusqu’ici, se limitait encore à certaines nations occidentales. […]</w:t>
      </w:r>
    </w:p>
    <w:p w14:paraId="7FE830F5"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 xml:space="preserve">Ce que j’ai appelé il y a vingt ans [dans </w:t>
      </w:r>
      <w:r w:rsidRPr="0016451C">
        <w:rPr>
          <w:rFonts w:ascii="Times New Roman" w:hAnsi="Times New Roman"/>
          <w:i/>
          <w:iCs/>
          <w:sz w:val="20"/>
          <w:szCs w:val="20"/>
        </w:rPr>
        <w:t>La Société de conservation</w:t>
      </w:r>
      <w:r w:rsidRPr="0016451C">
        <w:rPr>
          <w:rFonts w:ascii="Times New Roman" w:hAnsi="Times New Roman"/>
          <w:sz w:val="20"/>
          <w:szCs w:val="20"/>
        </w:rPr>
        <w:t xml:space="preserve"> en 1978] l’« insurrection incinératrice », surpris comme beaucoup d’autres par la progression de la crémation en Europe, fut en réalité un « soulèvement » très inégalement suivi. […] « Nombreux furent ceux qui vantèrent alors les mérites de l’incinération, mais, parmi eux, très rares furent ceux qui l’adoptèrent pour leur personne ou leur famille ». A l’origine de cette réticence, il y a d’autres causes, plus profondes, principalement religieuses – du moins lors de cette première période de développement de la crémation… Quand on se projette dans les années 1930 de notre siècle, on constate une très grande disparité dans la propagation de la pratique en Europe.</w:t>
      </w:r>
    </w:p>
    <w:p w14:paraId="09AB11DB"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 xml:space="preserve">Les premiers signes de ce succès inégal, ce sont d’abord les chiffres. En 1930, avec 53 979 crémations, l’Allemagne </w:t>
      </w:r>
      <w:proofErr w:type="spellStart"/>
      <w:r w:rsidRPr="0016451C">
        <w:rPr>
          <w:rFonts w:ascii="Times New Roman" w:hAnsi="Times New Roman"/>
          <w:sz w:val="20"/>
          <w:szCs w:val="20"/>
        </w:rPr>
        <w:t>est elle</w:t>
      </w:r>
      <w:proofErr w:type="spellEnd"/>
      <w:r w:rsidRPr="0016451C">
        <w:rPr>
          <w:rFonts w:ascii="Times New Roman" w:hAnsi="Times New Roman"/>
          <w:sz w:val="20"/>
          <w:szCs w:val="20"/>
        </w:rPr>
        <w:t xml:space="preserve"> seule incinère deux fois plus que la Scandinavie, la Grande-Bretagne, l’Autriche, la France, l’Italie, les Pays-Bas, la Suisse et la Tchécoslovaquie réunis. La géographie de la crémation en Europe est alors fort déséquilibrée. Toutefois, quoique loin derrière l’Allemagne, on voit se dessiner quelques premières différences entre les nations restantes, avec notamment un groupe (Grande-Bretagne, Suisse et Tchécoslovaquie) dont le nombre d’incinérations se situe entre 4500 et 5000, alors que, au prorata de sa population, on n’en compte, par exemple, que 1 146 en France.</w:t>
      </w:r>
    </w:p>
    <w:p w14:paraId="02D8B2F0"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 xml:space="preserve">L’Allemagne est dépassée par la Grande-Bretagne à la veille de la guerre. En 1938, la première procède à 86 147 crémations et la seconde à 125 521. […] A la fin des années 1950, une division géographique contrastée va se substituer au paysage disparate du début des années trente. On voit l’usage de la crémation se répartir à l’évidence selon les aires confessionnelles, triomphant ici et échouant là. […] Confirmant cette « monopolisation » protestante de la crémation, notons que, en dehors de l’Europe, des anciennes colonies du Royaume-Uni, l’Australie et la Nouvelle-Zélande, suivent la même tendance avec, respectivement, 31,37 % et 30,2 % de morts </w:t>
      </w:r>
      <w:proofErr w:type="spellStart"/>
      <w:r w:rsidRPr="0016451C">
        <w:rPr>
          <w:rFonts w:ascii="Times New Roman" w:hAnsi="Times New Roman"/>
          <w:sz w:val="20"/>
          <w:szCs w:val="20"/>
        </w:rPr>
        <w:t>crématisés</w:t>
      </w:r>
      <w:proofErr w:type="spellEnd"/>
      <w:r w:rsidRPr="0016451C">
        <w:rPr>
          <w:rFonts w:ascii="Times New Roman" w:hAnsi="Times New Roman"/>
          <w:sz w:val="20"/>
          <w:szCs w:val="20"/>
        </w:rPr>
        <w:t>. […]</w:t>
      </w:r>
    </w:p>
    <w:p w14:paraId="4E555364"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La tendance est maintenant générale. Non seulement les « retardataires » des zones protestantes ont poursuivi leur progression, mais la crémation se développe aujourd’hui au sud comme au nord, même si elle le fait en différé et plus lentement. Outre l’Autriche (catholique à 90 % : 16 % de crémation en 1995) qui, par rapport aux autres pays de même confession, vit très tôt la crémation se développer chez elle, avec 6 % dès 1960 et 12 % dès 1985 – des pourcentages qui, respectivement, seront atteints en France en 1990 et 1996 -, l’Italie est passée de 1 % à plus de 2 % entre 1988 et 1997. […]</w:t>
      </w:r>
    </w:p>
    <w:p w14:paraId="3A6CF1A2"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Le degré de concentration de la population apparaît maintenant comme un facteur décisif de développement [de la pratique], ce qui explique, indépendamment des confessions différentes de ces pays, l’essor de la crémation en Belgique et sa relative stagnation en Finlande.</w:t>
      </w:r>
    </w:p>
    <w:p w14:paraId="007E9737"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La ville apparaît comme la clé de voûte de cette évolution et de la transformation des usages qui l’accompagne. Ainsi, dès les années 1970 on a constaté que le chiffre des crémations à Paris était cinq fois supérieur à la moyenne nationale et que ce décalage se reproduisait dans toutes les villes de France équipées d’un crématorium. […] A l’évidence, le mort n’a pas ou n’a plus sa place en ville. C’est la campagne qu’il lui faut aller s’il veut retrouver la terre et le rituel « désuet » de l’inhumation, qui apparaît désormais comme le vestige d’une société rurale en régression.</w:t>
      </w:r>
    </w:p>
    <w:p w14:paraId="137BD7C6"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Avec cette nouvelle corrélation entre pratique et milieu se repose donc la question du sens de la crémation. Que signifie cette mutation des rituels ? Quelles sont désormais la visée ou la valeur de ce geste, qu’encourage non plus la croyance mais l’ambiance, non plus la religion ou l’idéologie mais l’environnement ? […]</w:t>
      </w:r>
    </w:p>
    <w:p w14:paraId="111182A7"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 xml:space="preserve">En 1963, dans le cadre de son enquête pionnière sur le deuil en Grande-Bretagne, le sociologue Geoffrey </w:t>
      </w:r>
      <w:proofErr w:type="spellStart"/>
      <w:r w:rsidRPr="0016451C">
        <w:rPr>
          <w:rFonts w:ascii="Times New Roman" w:hAnsi="Times New Roman"/>
          <w:sz w:val="20"/>
          <w:szCs w:val="20"/>
        </w:rPr>
        <w:t>Gorer</w:t>
      </w:r>
      <w:proofErr w:type="spellEnd"/>
      <w:r w:rsidRPr="0016451C">
        <w:rPr>
          <w:rFonts w:ascii="Times New Roman" w:hAnsi="Times New Roman"/>
          <w:sz w:val="20"/>
          <w:szCs w:val="20"/>
        </w:rPr>
        <w:t xml:space="preserve"> […] avance avec une prudence une interprétation. « Dans bien des cas, peut-être, dit-il, l’incinération est choisie parce qu’on pense qu’elle débarrasse du mort plus complètement et plus définitivement que l’inhumation. » Quatre ans plus tard, prolongeant l’analyse, Philippe Ariès ajoutera en commentaire qu’elle permet au surplus de faire l’économie du pèlerinage aux tombeaux. Effaçant les traces, « l’incinération est le moyen le plus sûr d’échapper au culte des morts ».</w:t>
      </w:r>
    </w:p>
    <w:p w14:paraId="67CDF6BA"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Cette interprétation peut paraître à son tour radicale, d’autant plus que la crémation n’abolit pas à tout coup le culte des tombeaux. Les cimetières suisses ou allemands des régions protestantes, de tradition crématiste, l’attestent. […]</w:t>
      </w:r>
    </w:p>
    <w:p w14:paraId="637F2CA6"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Je pense d’abord aux « jardins du souvenir », ces espaces dans les cimetières réservés à la dispersion des cendres et auxquels avaient recours 25 % des Français en 1996. A l’occasion d’une enquête sur la crémation en France, j’ai visité ces lieux. On y trouve, à la limite du perceptible, des signes révélateurs du même besoin de trace, empreintes furtives d’un désir de lieu et de signe.</w:t>
      </w:r>
    </w:p>
    <w:p w14:paraId="20E0D431"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lastRenderedPageBreak/>
        <w:t>Si les uns laissent des berges de fleurs sur le lieu de dispersion (d’autres en plantent), certains font plus. Ils modèlent une petite butte de terre ou disposent un petit tas de cailloux sous lequel est souvent, plié et enseveli, épitaphe secrète, un petit papier portant le nom du défunt ou même une photographie, véritable valant-pour du cadavre inhumé. […]</w:t>
      </w:r>
    </w:p>
    <w:p w14:paraId="6C392740"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Cimetières nomades. Cimetières lilliputiens. Au nombre des cimetières fantômes ou clandestins, il y a aussi les cimetières domestiques. Le développement de la crémation en France, encore peu intégré aux usages, aux rites comme aux lois – contrairement au cadavre, la loi n’assigne aucune destination aux cendres</w:t>
      </w:r>
      <w:r w:rsidRPr="0016451C">
        <w:rPr>
          <w:rStyle w:val="Appelnotedebasdep"/>
          <w:rFonts w:ascii="Times New Roman" w:hAnsi="Times New Roman"/>
          <w:sz w:val="20"/>
          <w:szCs w:val="20"/>
        </w:rPr>
        <w:footnoteReference w:id="8"/>
      </w:r>
      <w:r w:rsidRPr="0016451C">
        <w:rPr>
          <w:rFonts w:ascii="Times New Roman" w:hAnsi="Times New Roman"/>
          <w:sz w:val="20"/>
          <w:szCs w:val="20"/>
        </w:rPr>
        <w:t xml:space="preserve"> –, révèle également dans cette dimension, l’espace privé, la persistance d’un besoin de trace, particulièrement net à l’occasion de la dispersion des cendres en pleine nature. Suite au sentiment de vide qu’elle provoque, cette dissipation des restes entraîne souvent, acte réparateur, une autre forme de compensation, à savoir la conservation de l’urne, qui ira ensuite trôner sur le piano, dans la bibliothèque, sur le bord de la cheminée, sur le balcon ou même dans le jardin, en compagnie des fleurs ou des nains de faïence. Qu’est-ce que cette urne vide conservée ainsi ? Rien d’autre que la réinvention du cénotaphe, du tombeau vide à domicile qui, dans sa fonction commémorative, a la même valeur que ceux qu’on érige au cimetière en hommage au marin perdu en mer ou au soldat disparu au front, monuments publics en souvenir de ces morts qui tous, précisément, ont disparu </w:t>
      </w:r>
      <w:r w:rsidRPr="0016451C">
        <w:rPr>
          <w:rFonts w:ascii="Times New Roman" w:hAnsi="Times New Roman"/>
          <w:i/>
          <w:iCs/>
          <w:sz w:val="20"/>
          <w:szCs w:val="20"/>
        </w:rPr>
        <w:t>sans laisser de traces</w:t>
      </w:r>
      <w:r w:rsidRPr="0016451C">
        <w:rPr>
          <w:rFonts w:ascii="Times New Roman" w:hAnsi="Times New Roman"/>
          <w:sz w:val="20"/>
          <w:szCs w:val="20"/>
        </w:rPr>
        <w:t>.</w:t>
      </w:r>
    </w:p>
    <w:p w14:paraId="67A3BF14"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En France, 66 % des familles repartent avec l’urne. « Cette proportion est très inférieure dans les pays où l’incinération est habituelle ; il semble qu’il s’agisse chez nous d’une réaction de transition, comme si le fait de remporter l’urne compensait la destruction du corps par le feu. » Mais n’est qu’une transition ou ne s’agit-il que de compenser ainsi la destruction du corps ? […]</w:t>
      </w:r>
    </w:p>
    <w:p w14:paraId="0FE653C9"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 xml:space="preserve">Faute de tombeau désigné, le mort, déposé ou dispersé, est laissé sur place par des proches qui, au fond, ne sachant qu’en faire, dans bien des cas l’abandonnent ; ou alors, soit qu’on l’épande en pleine nature, soit qu’il retourne chez lui, il se nomadise. Commencent ici divers vagabondages au fils desquels, si je puis dire, </w:t>
      </w:r>
      <w:r w:rsidRPr="0016451C">
        <w:rPr>
          <w:rFonts w:ascii="Times New Roman" w:hAnsi="Times New Roman"/>
          <w:i/>
          <w:iCs/>
          <w:sz w:val="20"/>
          <w:szCs w:val="20"/>
        </w:rPr>
        <w:t>le mort se cherche une place</w:t>
      </w:r>
      <w:r w:rsidRPr="0016451C">
        <w:rPr>
          <w:rFonts w:ascii="Times New Roman" w:hAnsi="Times New Roman"/>
          <w:sz w:val="20"/>
          <w:szCs w:val="20"/>
        </w:rPr>
        <w:t>. Exécutant la volonté du défunt ou décidant de sa destination, les vivants tentent de lui en trouver une, recherche de lieu au travers de laquelle se dit aussi souvent la persistance d’un autre désir, […] de rétention, de trace et d’intégration des défunts au souvenir […].</w:t>
      </w:r>
    </w:p>
    <w:p w14:paraId="1229009E"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Ainsi, des usages expéditifs qui voient les villes se débarrasser de leurs morts, leurs restes rejetés à la périphérie ou leurs cendres dispersées au vent ou dissoutes dans l’eau, aux pratiques crématistes qui se veulent libérées de l’image du corps mais que prolongent des réalités virtuelles iconophiles […], la crémation en Occident, dans son imaginaire, oscille entre deux mythes opposées ou complémentaires. Le mythe d’Empédocle et celui d’Orphée. Le premier entend sortir les morts de la vie, l’autre veut les y réintroduire vivants, on a vu comment [cimetière digital, etc.]. Entre ces deux tendances, qu’y a-t-il ? Sachant qu’Orphée a échoué, et Empédocle aussi, il ne reste qu’une chose : la sandale que rejette le volcan, c’est-à-dire la trace, indispensable. Je repense ici aux petits tas de cailloux des jardins du souvenir.</w:t>
      </w:r>
    </w:p>
    <w:p w14:paraId="4A096286"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Si certains proclament pouvoir se passer de traces matérielles et d’autres les remplacer par des virtualités animées et parlantes, ces petits tas de cailloux chuchotent tout le contraire des premiers et n’envisagent par les supports complexes des seconds. Ils conservent un geste, primordial. Entre la liquidation du mort et sa conservation (ce qui définit l’ambivalence de tout rite funéraire et sa double fonction), ils intègrent la contradiction, ce conflit entre le désir de garder à soi le défunt et la nécessité de s’en séparer. Sinon unanime, du moins universel – ce qui fait que rares, très rares, sont les civilisations sans culture matérielle de la mort -, ces petits tas de cailloux commémoratifs traduisent à leur tour un troisième complexe : un tiers-mythe, un mythe médian. Je le nommerai en l’occurrence le complexe du Petit Poucet.</w:t>
      </w:r>
    </w:p>
    <w:p w14:paraId="65158033" w14:textId="77777777" w:rsidR="00570097" w:rsidRPr="0016451C" w:rsidRDefault="00570097" w:rsidP="00570097">
      <w:pPr>
        <w:spacing w:line="240" w:lineRule="auto"/>
        <w:rPr>
          <w:rFonts w:ascii="Times New Roman" w:hAnsi="Times New Roman"/>
          <w:sz w:val="20"/>
          <w:szCs w:val="20"/>
        </w:rPr>
      </w:pPr>
      <w:r w:rsidRPr="0016451C">
        <w:rPr>
          <w:rFonts w:ascii="Times New Roman" w:hAnsi="Times New Roman"/>
          <w:sz w:val="20"/>
          <w:szCs w:val="20"/>
        </w:rPr>
        <w:t>Retenant la leçon de chacun, ce complexe passe entre les deux autres, dont il esquive les excès et modère les tentations. C’est un mythe de synthèse et de conciliation. D’Empédocle, il retient l’irréversible séparation que constitue la mort, et d’Orphée, l’impossible mais inextinguible désir de retenir à soi le disparu. Après tout, une fois venue la mort du proche, égarés par le chagrin dans les solitudes d’un deuil qu’on aimerait partager mais qu’on se doit désormais de garder pour soi, ne sommes-nous pas tous, consciemment ou non, des Petit Poucet qui avons juste besoin de ces petits cailloux qui permettent, tout doucement, de retrouver le chemin de la vie ? »</w:t>
      </w:r>
    </w:p>
    <w:p w14:paraId="04E41659" w14:textId="77777777" w:rsidR="00570097" w:rsidRDefault="00570097" w:rsidP="00570097">
      <w:pPr>
        <w:spacing w:line="240" w:lineRule="auto"/>
        <w:rPr>
          <w:rFonts w:ascii="Times New Roman" w:hAnsi="Times New Roman"/>
          <w:sz w:val="20"/>
          <w:szCs w:val="20"/>
        </w:rPr>
      </w:pPr>
    </w:p>
    <w:p w14:paraId="3D3A0470" w14:textId="77777777" w:rsidR="002A2B46" w:rsidRPr="00BB0C2F" w:rsidRDefault="00570097" w:rsidP="00570097">
      <w:pPr>
        <w:spacing w:line="240" w:lineRule="auto"/>
        <w:jc w:val="left"/>
        <w:rPr>
          <w:rFonts w:ascii="Times New Roman" w:hAnsi="Times New Roman"/>
          <w:sz w:val="20"/>
          <w:szCs w:val="20"/>
        </w:rPr>
      </w:pPr>
      <w:r w:rsidRPr="0016451C">
        <w:rPr>
          <w:rFonts w:ascii="Times New Roman" w:hAnsi="Times New Roman"/>
          <w:sz w:val="20"/>
          <w:szCs w:val="20"/>
        </w:rPr>
        <w:t xml:space="preserve">Jean-Didier Urbain, « Le complexe d’Empédocle. La révolution crématiste », postface de 1998 à </w:t>
      </w:r>
      <w:r w:rsidRPr="0016451C">
        <w:rPr>
          <w:rFonts w:ascii="Times New Roman" w:hAnsi="Times New Roman"/>
          <w:i/>
          <w:iCs/>
          <w:sz w:val="20"/>
          <w:szCs w:val="20"/>
        </w:rPr>
        <w:t>L’archipel des morts. Cimetières et mémoire en Occident</w:t>
      </w:r>
      <w:r w:rsidRPr="0016451C">
        <w:rPr>
          <w:rFonts w:ascii="Times New Roman" w:hAnsi="Times New Roman"/>
          <w:sz w:val="20"/>
          <w:szCs w:val="20"/>
        </w:rPr>
        <w:t>, Paris, Petite bibliothèque Payot, 2005 (1</w:t>
      </w:r>
      <w:r w:rsidRPr="0016451C">
        <w:rPr>
          <w:rFonts w:ascii="Times New Roman" w:hAnsi="Times New Roman"/>
          <w:sz w:val="20"/>
          <w:szCs w:val="20"/>
          <w:vertAlign w:val="superscript"/>
        </w:rPr>
        <w:t>re</w:t>
      </w:r>
      <w:r w:rsidRPr="0016451C">
        <w:rPr>
          <w:rFonts w:ascii="Times New Roman" w:hAnsi="Times New Roman"/>
          <w:sz w:val="20"/>
          <w:szCs w:val="20"/>
        </w:rPr>
        <w:t xml:space="preserve"> éd. </w:t>
      </w:r>
      <w:r w:rsidRPr="0016451C">
        <w:rPr>
          <w:rFonts w:ascii="Times New Roman" w:hAnsi="Times New Roman"/>
          <w:sz w:val="20"/>
          <w:szCs w:val="20"/>
          <w:u w:val="single"/>
        </w:rPr>
        <w:t>1989</w:t>
      </w:r>
      <w:r w:rsidRPr="0016451C">
        <w:rPr>
          <w:rFonts w:ascii="Times New Roman" w:hAnsi="Times New Roman"/>
          <w:sz w:val="20"/>
          <w:szCs w:val="20"/>
        </w:rPr>
        <w:t>), p.289-336. Dans la première édition du livre (1989), l’auteur n’avait que très peu parlé du développement de la crémation, pourtant déjà notable en Occident, « erreur de diagnostic » qu’il a reconnu dans la deuxième (de 1998), d’où cette postface.</w:t>
      </w:r>
      <w:r w:rsidR="002A2B46" w:rsidRPr="00347144">
        <w:rPr>
          <w:rFonts w:ascii="Times New Roman" w:hAnsi="Times New Roman"/>
          <w:sz w:val="20"/>
          <w:szCs w:val="20"/>
        </w:rPr>
        <w:br w:type="page"/>
      </w:r>
    </w:p>
    <w:p w14:paraId="2A965869" w14:textId="77777777" w:rsidR="00BB0C2F" w:rsidRPr="00BB0C2F" w:rsidRDefault="00BB0C2F" w:rsidP="00BB0C2F">
      <w:pPr>
        <w:pStyle w:val="articleparagraph"/>
        <w:spacing w:before="0" w:beforeAutospacing="0" w:after="0" w:afterAutospacing="0"/>
        <w:jc w:val="center"/>
        <w:rPr>
          <w:b/>
          <w:bCs/>
          <w:sz w:val="20"/>
          <w:szCs w:val="20"/>
        </w:rPr>
      </w:pPr>
      <w:r w:rsidRPr="00BB0C2F">
        <w:rPr>
          <w:b/>
          <w:bCs/>
          <w:sz w:val="20"/>
          <w:szCs w:val="20"/>
        </w:rPr>
        <w:lastRenderedPageBreak/>
        <w:t>L’épidémie de Covid-19 et la mort</w:t>
      </w:r>
    </w:p>
    <w:p w14:paraId="64CA8391" w14:textId="77777777" w:rsidR="00BB0C2F" w:rsidRPr="00BB0C2F" w:rsidRDefault="00BB0C2F" w:rsidP="00BB0C2F">
      <w:pPr>
        <w:spacing w:line="240" w:lineRule="auto"/>
        <w:rPr>
          <w:rFonts w:ascii="Times New Roman" w:hAnsi="Times New Roman"/>
          <w:sz w:val="20"/>
          <w:szCs w:val="20"/>
        </w:rPr>
      </w:pPr>
    </w:p>
    <w:p w14:paraId="48264032"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 xml:space="preserve">« Si le déni de la mort est une des caractéristiques des sociétés occidentales, l’épidémie due au SARS-CoV-2 illustre son paroxysme. Depuis la seconde guerre mondiale, ce déni n’a fait que s’amplifier, avec le progrès technologique et scientifique, les valeurs </w:t>
      </w:r>
      <w:proofErr w:type="spellStart"/>
      <w:r w:rsidRPr="00BB0C2F">
        <w:rPr>
          <w:rFonts w:ascii="Times New Roman" w:hAnsi="Times New Roman"/>
          <w:sz w:val="20"/>
          <w:szCs w:val="20"/>
        </w:rPr>
        <w:t>jeunistes</w:t>
      </w:r>
      <w:proofErr w:type="spellEnd"/>
      <w:r w:rsidRPr="00BB0C2F">
        <w:rPr>
          <w:rFonts w:ascii="Times New Roman" w:hAnsi="Times New Roman"/>
          <w:sz w:val="20"/>
          <w:szCs w:val="20"/>
        </w:rPr>
        <w:t xml:space="preserve"> qui nous gouvernent, fondées sur l’illusion du progrès infini, la promotion de l’effectivité, de la rentabilité, du succès. Il se manifeste aujourd’hui par une mise sous silence de la mort, une façon de la cacher, de ne pas y penser, avec pour conséquence une immense angoisse collective face à notre condition d’être humain vulnérable et mortel.</w:t>
      </w:r>
    </w:p>
    <w:p w14:paraId="7E7994ED"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Ce déni de la mort a eu trois conséquences. D’abord au niveau individuel, il n’aide pas à vivre. Il appauvrit nos vies. En faisant comme si la mort n’avait pas d’incidence sur notre manière de vivre, nous croyons vivre mieux, mais c’est l’inverse qui se produit. Nous restons souvent à la surface des choses, loin de l’essentiel.</w:t>
      </w:r>
    </w:p>
    <w:p w14:paraId="19535557"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Ensuite, ce déni entretient une illusion, celle de la toute-puissance scientifique et technologique, celle du progrès infini. Avec ce fantasme incroyable : imaginer qu’un jour on pourrait avoir raison de la mort.</w:t>
      </w:r>
    </w:p>
    <w:p w14:paraId="2CFDAD38"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Enfin, le déni de la mort nous conduit à ignorer tout ce qui relève de la vulnérabilité. Il est responsable d’une perte d’humanité, d’une perte de la culture de l’accompagnement, avec les souffrances qui y sont associées.</w:t>
      </w:r>
    </w:p>
    <w:p w14:paraId="1AEB032E"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 xml:space="preserve">Dès 1987, avec l’arrivée des soins palliatifs en France, a commencé un long combat pour sortir de ce déni. En 2005, lors de son audition au parlement, en vue de la loi relative aux droits des malades et à la fin de vie (dite loi Leonetti), la sociologue Danièle Hervieu-Léger avait eu cette réflexion : « Le déni de la mort se venge en déniant la vie. La mort qui n’a pas sa juste place finit par envahir toute l’existence. Ainsi notre société est-elle devenue à la fois </w:t>
      </w:r>
      <w:proofErr w:type="spellStart"/>
      <w:r w:rsidRPr="00BB0C2F">
        <w:rPr>
          <w:rFonts w:ascii="Times New Roman" w:hAnsi="Times New Roman"/>
          <w:sz w:val="20"/>
          <w:szCs w:val="20"/>
        </w:rPr>
        <w:t>thanatophobe</w:t>
      </w:r>
      <w:proofErr w:type="spellEnd"/>
      <w:r w:rsidRPr="00BB0C2F">
        <w:rPr>
          <w:rFonts w:ascii="Times New Roman" w:hAnsi="Times New Roman"/>
          <w:sz w:val="20"/>
          <w:szCs w:val="20"/>
        </w:rPr>
        <w:t xml:space="preserve"> et mortifère. » Le déni a pourtant perduré.</w:t>
      </w:r>
    </w:p>
    <w:p w14:paraId="44E5BA47"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L’épidémie actuelle l’illustre factuellement. La peur de la mort domine. Au lieu d’être considérée comme notre destin à tous, une réalité sur laquelle il faut méditer car elle est inéluctable, la mort devient l’ennemi à combattre. Faut-il pour autant ne pas se protéger ni protéger les autres, évidemment que non. Mais cette responsabilité doit être laissée à chacun et non édictée par un pouvoir médical devenu tout-puissant, qui poursuit aujourd’hui son fantasme d’éradiquer la mort, de préserver la vie à tout prix, au détriment de la liberté de la personne. Les acquis sur la dignité du mourir et le respect des droits des personnes en fin de vue sont brutalement mis à mal.</w:t>
      </w:r>
    </w:p>
    <w:p w14:paraId="3C2802F8"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Je ne remets aucunement en cause l’acharnement avec lequel médecins et soignants, au risque de leur propre vie, soignent des patients qui ont encore envie de vivre. Je remets en question la folie hygiéniste qui, sous prétexte de protéger les personnes âgées, arrivées dans la dernière trajectoire de leur vie, impose des situations proprement inhumaines. Cela a-t-il un sens de confiner une personne âgée, qui dans son for intérieur est relativement en paix à l’idée de mourir, comme c’est le cas de beaucoup ? De l’empêcher de vivre les dernières joies de sa vie, voir ses enfants, les embrasser, voir ses amis, continuer à échanger avec eux ? Leur demande-t-on leur avis, leur choix ? Demande-t-on aux proches ce qui est plus important pour eux : prendre le risque d’attraper le Covid-19 en prenant une dernière fois dans ses bras un parent aimé et lui dire au revoir ? Ou se protéger au risque d’une culpabilité qui les empoisonnera pour longtemps ?</w:t>
      </w:r>
    </w:p>
    <w:p w14:paraId="6606C161"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Ce déni de la mort est dramatique et le combat contre la mort est vain. Nous ne mesurons pas les souffrances qui naîtront de l’érosion de l’humain quand la distanciation sociale sera devenue la norme, comme des inégalités que cette peur de la mort aura induites, les désespoirs, les dépressions, les violences, les envies de suicide. Nous réaliserons après le confinement le mal qui aura été fait en privilégiant la vie au détriment de la personne.</w:t>
      </w:r>
    </w:p>
    <w:p w14:paraId="2C35858C"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Car qu’est-ce qu’une personne ? Sinon un être humain qui, se sachant mortel, et méditant sur sa finitude, est renvoyé à l’essentiel, à ses priorités, à ses responsabilités familiales, aux vraies questions sur le sens de son existence.</w:t>
      </w:r>
    </w:p>
    <w:p w14:paraId="1C512780"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Heureusement, quand notre société aura atteint le pic du déni de la mort, s’amorcera un déclin. Nombreux sont ceux qui, déjà dans le silence de leur confinement, méditent aujourd’hui sur le sens et la valeur de leur existence, sur le genre de vie qu’ils ont vraiment envie de mener. Une vie de retour aux choses simples, une vie où le contact avec ceux que l’on aime compte plus que tout, où la contemplation du beau et de la nature participe à la joie de vivre.</w:t>
      </w:r>
    </w:p>
    <w:p w14:paraId="70651298" w14:textId="77777777" w:rsidR="00BB0C2F" w:rsidRPr="00BB0C2F" w:rsidRDefault="00BB0C2F" w:rsidP="00BB0C2F">
      <w:pPr>
        <w:spacing w:line="240" w:lineRule="auto"/>
        <w:rPr>
          <w:rFonts w:ascii="Times New Roman" w:hAnsi="Times New Roman"/>
          <w:sz w:val="20"/>
          <w:szCs w:val="20"/>
        </w:rPr>
      </w:pPr>
      <w:r w:rsidRPr="00BB0C2F">
        <w:rPr>
          <w:rFonts w:ascii="Times New Roman" w:hAnsi="Times New Roman"/>
          <w:sz w:val="20"/>
          <w:szCs w:val="20"/>
        </w:rPr>
        <w:t>Une vie où l’on n’abandonné pas les plus vulnérables, où la solidarité humaine l’emporte. Une vie qui respecte les rites essentiels qui ponctuent l’existence et rassemble la communauté des vivants : la naissance, le mariage, la mort. Une vie où le devoir d’accompagnement de ceux qui vont mourir impose naturellement la présence, les mots d’adieu, bref d’entrer dans ce que le psychanalyste Michel de M-Uzan (1921-2018) appelait « l’orbite funèbre du mourant ».</w:t>
      </w:r>
    </w:p>
    <w:p w14:paraId="70873ACA" w14:textId="77777777" w:rsidR="00BB0C2F" w:rsidRPr="00BB0C2F" w:rsidRDefault="00BB0C2F" w:rsidP="00BB0C2F">
      <w:pPr>
        <w:spacing w:line="240" w:lineRule="auto"/>
        <w:rPr>
          <w:rFonts w:ascii="Times New Roman" w:hAnsi="Times New Roman"/>
          <w:sz w:val="20"/>
          <w:szCs w:val="20"/>
        </w:rPr>
      </w:pPr>
    </w:p>
    <w:p w14:paraId="0641EFBA" w14:textId="0EE7550A" w:rsidR="00BB0C2F" w:rsidRPr="00BB0C2F" w:rsidRDefault="00BB0C2F" w:rsidP="00BB0C2F">
      <w:pPr>
        <w:spacing w:line="240" w:lineRule="auto"/>
        <w:rPr>
          <w:rFonts w:ascii="Times New Roman" w:hAnsi="Times New Roman"/>
          <w:b/>
          <w:sz w:val="20"/>
          <w:szCs w:val="20"/>
        </w:rPr>
      </w:pPr>
      <w:r w:rsidRPr="00BB0C2F">
        <w:rPr>
          <w:rFonts w:ascii="Times New Roman" w:hAnsi="Times New Roman"/>
          <w:sz w:val="20"/>
          <w:szCs w:val="20"/>
        </w:rPr>
        <w:t xml:space="preserve">Tribune de Marie de Hennezel dans </w:t>
      </w:r>
      <w:r w:rsidRPr="00BB0C2F">
        <w:rPr>
          <w:rFonts w:ascii="Times New Roman" w:hAnsi="Times New Roman"/>
          <w:i/>
          <w:iCs/>
          <w:sz w:val="20"/>
          <w:szCs w:val="20"/>
        </w:rPr>
        <w:t>Le Monde</w:t>
      </w:r>
      <w:r w:rsidRPr="00BB0C2F">
        <w:rPr>
          <w:rFonts w:ascii="Times New Roman" w:hAnsi="Times New Roman"/>
          <w:sz w:val="20"/>
          <w:szCs w:val="20"/>
        </w:rPr>
        <w:t xml:space="preserve"> du 4 mai 2020.</w:t>
      </w:r>
      <w:r w:rsidRPr="00BB0C2F">
        <w:rPr>
          <w:rFonts w:ascii="Times New Roman" w:hAnsi="Times New Roman"/>
          <w:b/>
          <w:sz w:val="20"/>
          <w:szCs w:val="20"/>
        </w:rPr>
        <w:br w:type="page"/>
      </w:r>
    </w:p>
    <w:p w14:paraId="75C907B0" w14:textId="685E5724" w:rsidR="001B370C" w:rsidRPr="001B370C" w:rsidRDefault="00540DAE" w:rsidP="001B370C">
      <w:pPr>
        <w:spacing w:line="240" w:lineRule="auto"/>
        <w:jc w:val="center"/>
        <w:rPr>
          <w:rFonts w:ascii="Times New Roman" w:hAnsi="Times New Roman"/>
          <w:b/>
          <w:sz w:val="20"/>
          <w:szCs w:val="20"/>
        </w:rPr>
      </w:pPr>
      <w:r>
        <w:rPr>
          <w:rFonts w:ascii="Times New Roman" w:hAnsi="Times New Roman"/>
          <w:b/>
          <w:sz w:val="20"/>
          <w:szCs w:val="20"/>
        </w:rPr>
        <w:lastRenderedPageBreak/>
        <w:t>L</w:t>
      </w:r>
      <w:r w:rsidR="001B370C" w:rsidRPr="001B370C">
        <w:rPr>
          <w:rFonts w:ascii="Times New Roman" w:hAnsi="Times New Roman"/>
          <w:b/>
          <w:sz w:val="20"/>
          <w:szCs w:val="20"/>
        </w:rPr>
        <w:t>e débat</w:t>
      </w:r>
      <w:r w:rsidR="00143ED1">
        <w:rPr>
          <w:rFonts w:ascii="Times New Roman" w:hAnsi="Times New Roman"/>
          <w:b/>
          <w:sz w:val="20"/>
          <w:szCs w:val="20"/>
        </w:rPr>
        <w:t xml:space="preserve"> de 2012</w:t>
      </w:r>
      <w:r w:rsidR="001B370C" w:rsidRPr="001B370C">
        <w:rPr>
          <w:rFonts w:ascii="Times New Roman" w:hAnsi="Times New Roman"/>
          <w:b/>
          <w:sz w:val="20"/>
          <w:szCs w:val="20"/>
        </w:rPr>
        <w:t xml:space="preserve"> sur</w:t>
      </w:r>
      <w:r w:rsidR="00143ED1">
        <w:rPr>
          <w:rFonts w:ascii="Times New Roman" w:hAnsi="Times New Roman"/>
          <w:b/>
          <w:sz w:val="20"/>
          <w:szCs w:val="20"/>
        </w:rPr>
        <w:t xml:space="preserve"> la fin de vie en France</w:t>
      </w:r>
    </w:p>
    <w:p w14:paraId="3C38E452" w14:textId="77777777" w:rsidR="001B370C" w:rsidRPr="001B370C" w:rsidRDefault="001B370C" w:rsidP="001B370C">
      <w:pPr>
        <w:spacing w:line="240" w:lineRule="auto"/>
        <w:rPr>
          <w:rFonts w:ascii="Times New Roman" w:hAnsi="Times New Roman"/>
          <w:sz w:val="20"/>
          <w:szCs w:val="20"/>
        </w:rPr>
      </w:pPr>
    </w:p>
    <w:p w14:paraId="6D9C0184" w14:textId="77777777" w:rsidR="001B370C" w:rsidRPr="001B370C" w:rsidRDefault="001B370C" w:rsidP="001B370C">
      <w:pPr>
        <w:pStyle w:val="Default"/>
        <w:rPr>
          <w:sz w:val="20"/>
          <w:szCs w:val="20"/>
        </w:rPr>
      </w:pPr>
      <w:r w:rsidRPr="001B370C">
        <w:rPr>
          <w:sz w:val="20"/>
          <w:szCs w:val="20"/>
        </w:rPr>
        <w:t>1.</w:t>
      </w:r>
    </w:p>
    <w:p w14:paraId="14F31C18" w14:textId="77777777" w:rsidR="001B370C" w:rsidRPr="001B370C" w:rsidRDefault="001B370C" w:rsidP="001B370C">
      <w:pPr>
        <w:pStyle w:val="Default"/>
        <w:jc w:val="both"/>
        <w:rPr>
          <w:sz w:val="20"/>
          <w:szCs w:val="20"/>
        </w:rPr>
      </w:pPr>
      <w:r w:rsidRPr="001B370C">
        <w:rPr>
          <w:sz w:val="20"/>
          <w:szCs w:val="20"/>
        </w:rPr>
        <w:t>« Mon cas personnel, correspond au cas de beaucoup de gens dont je me fais le porte-parole. J’ai 70 ans, je suis atteinte de cancer du poumon avec métastase osseuse. Je recherche une qualité de vie même si ça devait abréger ma vie. Je ne me plains pas de ma vie actuelle et j’en profite le plus possible (</w:t>
      </w:r>
      <w:r w:rsidRPr="001B370C">
        <w:rPr>
          <w:i/>
          <w:sz w:val="20"/>
          <w:szCs w:val="20"/>
        </w:rPr>
        <w:t>carpe diem</w:t>
      </w:r>
      <w:r w:rsidRPr="001B370C">
        <w:rPr>
          <w:sz w:val="20"/>
          <w:szCs w:val="20"/>
        </w:rPr>
        <w:t xml:space="preserve">). Mais cet état va se dégrader et je voudrais pouvoir dire stop quand la vie aura perdu son intérêt pour moi, je ne veux pas subir inutilement la phase terminale du cancer. Je voudrais l’assistance d’un médecin, que ça se passe au grand jour avec mes enfants (qui sont d’accord avec moi) et pas dans la clandestinité. Je ne veux pas d’une mort violente que mes enfants traumatisés découvriraient après coup, je considère qu’une mort douce est une mort par les médicaments Je ne pourrai être tout à fait tranquille que si j’étais sûre de pouvoir programmer ma mort sereinement, le moment voulu, sans me cacher. Je veux mourir comme Socrate buvant la cigüe et continuant à discuter de sujets quotidiens. Il n’y a pas besoin de dramatiser la mort, elle fait partie de la vie, elle n’est dramatique à mon âge que quand elle est accompagnée de souffrances et d’une perte d’autonomie » </w:t>
      </w:r>
    </w:p>
    <w:p w14:paraId="4D897100" w14:textId="77777777" w:rsidR="001B370C" w:rsidRPr="001B370C" w:rsidRDefault="001B370C" w:rsidP="001B370C">
      <w:pPr>
        <w:pStyle w:val="Default"/>
        <w:rPr>
          <w:sz w:val="20"/>
          <w:szCs w:val="20"/>
        </w:rPr>
      </w:pPr>
    </w:p>
    <w:p w14:paraId="2CC0F441" w14:textId="77777777" w:rsidR="001B370C" w:rsidRPr="001B370C" w:rsidRDefault="001B370C" w:rsidP="001B370C">
      <w:pPr>
        <w:pStyle w:val="Default"/>
        <w:rPr>
          <w:sz w:val="20"/>
          <w:szCs w:val="20"/>
        </w:rPr>
      </w:pPr>
      <w:r w:rsidRPr="001B370C">
        <w:rPr>
          <w:sz w:val="20"/>
          <w:szCs w:val="20"/>
        </w:rPr>
        <w:t>2.</w:t>
      </w:r>
    </w:p>
    <w:p w14:paraId="016720A2" w14:textId="77777777" w:rsidR="001B370C" w:rsidRPr="001B370C" w:rsidRDefault="001B370C" w:rsidP="001B370C">
      <w:pPr>
        <w:pStyle w:val="Default"/>
        <w:jc w:val="both"/>
        <w:rPr>
          <w:sz w:val="20"/>
          <w:szCs w:val="20"/>
        </w:rPr>
      </w:pPr>
      <w:r w:rsidRPr="001B370C">
        <w:rPr>
          <w:sz w:val="20"/>
          <w:szCs w:val="20"/>
        </w:rPr>
        <w:t xml:space="preserve">« Il y a un mois que mon compagnon est décédé, il est mort dans des souffrances épouvantables, malgré ses directives anticipées, on n’en a pas tenu compte, on l’a amputé à 89 ans (il avait de la gangrène) et psychologiquement, ça a été terrible quand il s’en est aperçu. </w:t>
      </w:r>
      <w:proofErr w:type="spellStart"/>
      <w:r w:rsidRPr="001B370C">
        <w:rPr>
          <w:sz w:val="20"/>
          <w:szCs w:val="20"/>
        </w:rPr>
        <w:t>Ca</w:t>
      </w:r>
      <w:proofErr w:type="spellEnd"/>
      <w:r w:rsidRPr="001B370C">
        <w:rPr>
          <w:sz w:val="20"/>
          <w:szCs w:val="20"/>
        </w:rPr>
        <w:t xml:space="preserve"> n’a pas marché, on l’a suivi pendant 10 jours, il est devenu fou sous l’effet des drogues, au début les jeunes chirurgiens ne voulaient pas l’arrêter car ils disaient « on n’en a pas le droit, c’est la loi ». Dans un moment de lucidité mon mari a dit « je veux passer par la fenêtre ». Comme j’étais décidée à le faire, les médecins ont décidé de lui mettre de la morphine plus fort, il s’est endormi et est mort en 24h. Mais au final j’ai assisté à son agonie pendant 10 jours, il a beaucoup souffert, c’était un spectacle épouvantable. Je ne veux pas de ce genre de mort, que mes enfants voient la déchéance à ce </w:t>
      </w:r>
      <w:proofErr w:type="spellStart"/>
      <w:r w:rsidRPr="001B370C">
        <w:rPr>
          <w:sz w:val="20"/>
          <w:szCs w:val="20"/>
        </w:rPr>
        <w:t>point là</w:t>
      </w:r>
      <w:proofErr w:type="spellEnd"/>
      <w:r w:rsidRPr="001B370C">
        <w:rPr>
          <w:sz w:val="20"/>
          <w:szCs w:val="20"/>
        </w:rPr>
        <w:t xml:space="preserve"> » </w:t>
      </w:r>
    </w:p>
    <w:p w14:paraId="6C5B911C" w14:textId="77777777" w:rsidR="001B370C" w:rsidRPr="001B370C" w:rsidRDefault="001B370C" w:rsidP="001B370C">
      <w:pPr>
        <w:pStyle w:val="Default"/>
        <w:rPr>
          <w:sz w:val="20"/>
          <w:szCs w:val="20"/>
        </w:rPr>
      </w:pPr>
    </w:p>
    <w:p w14:paraId="0FDACA19" w14:textId="77777777" w:rsidR="001B370C" w:rsidRPr="001B370C" w:rsidRDefault="001B370C" w:rsidP="001B370C">
      <w:pPr>
        <w:pStyle w:val="Default"/>
        <w:rPr>
          <w:sz w:val="20"/>
          <w:szCs w:val="20"/>
        </w:rPr>
      </w:pPr>
      <w:r w:rsidRPr="001B370C">
        <w:rPr>
          <w:sz w:val="20"/>
          <w:szCs w:val="20"/>
        </w:rPr>
        <w:t>3.</w:t>
      </w:r>
    </w:p>
    <w:p w14:paraId="5787E7E3" w14:textId="77777777" w:rsidR="001B370C" w:rsidRPr="001B370C" w:rsidRDefault="001B370C" w:rsidP="001B370C">
      <w:pPr>
        <w:pStyle w:val="Default"/>
        <w:jc w:val="both"/>
        <w:rPr>
          <w:sz w:val="20"/>
          <w:szCs w:val="20"/>
        </w:rPr>
      </w:pPr>
      <w:r w:rsidRPr="001B370C">
        <w:rPr>
          <w:sz w:val="20"/>
          <w:szCs w:val="20"/>
        </w:rPr>
        <w:t xml:space="preserve">« Ma mère est morte l’an dernier suite à un cancer du poumon. Elle était en soins palliatifs. A la fin elle était très faible, elle ne mangeait plus, elle était déshydratée, tout son corps n’était plus que douleur, elle avait des escarres, une sonde urinaire, ses poumons se sont engorgés, elle avait des râles terribles, il y avait une odeur insupportable. J’ai demandé aux médecins de mettre fin à ses jours. Les médecins ont fait ce qui était légalement possible pour eux. Moi je ne veux pas mourir comme ça. Si je suis inconsciente, je souhaite pouvoir être euthanasiée, je ne veux pas être prisonnière d’un corps qui me ferait souffrir et je souhaite éviter à mes enfants ce que j’ai moi-même vécu. Chacun doit pouvoir choisir et décider, il doit y avoir des structures adaptées, c’est plus valorisant pour les médecins et soignants d’accompagner le patient et sa famille jusqu’au bout en sachant qu’on respecte sa volonté. Je veux une loi me permettant l’ultime liberté de partir dignement si je le souhaite. » </w:t>
      </w:r>
    </w:p>
    <w:p w14:paraId="13D7E242" w14:textId="77777777" w:rsidR="001B370C" w:rsidRPr="001B370C" w:rsidRDefault="001B370C" w:rsidP="001B370C">
      <w:pPr>
        <w:pStyle w:val="Default"/>
        <w:rPr>
          <w:sz w:val="20"/>
          <w:szCs w:val="20"/>
        </w:rPr>
      </w:pPr>
    </w:p>
    <w:p w14:paraId="5C0FBBF1" w14:textId="77777777" w:rsidR="001B370C" w:rsidRPr="001B370C" w:rsidRDefault="001B370C" w:rsidP="001B370C">
      <w:pPr>
        <w:pStyle w:val="Default"/>
        <w:rPr>
          <w:sz w:val="20"/>
          <w:szCs w:val="20"/>
        </w:rPr>
      </w:pPr>
      <w:r w:rsidRPr="001B370C">
        <w:rPr>
          <w:sz w:val="20"/>
          <w:szCs w:val="20"/>
        </w:rPr>
        <w:t>4.</w:t>
      </w:r>
    </w:p>
    <w:p w14:paraId="62A9EEB4" w14:textId="77777777" w:rsidR="001B370C" w:rsidRPr="001B370C" w:rsidRDefault="001B370C" w:rsidP="001B370C">
      <w:pPr>
        <w:pStyle w:val="Default"/>
        <w:jc w:val="both"/>
        <w:rPr>
          <w:sz w:val="20"/>
          <w:szCs w:val="20"/>
        </w:rPr>
      </w:pPr>
      <w:r w:rsidRPr="001B370C">
        <w:rPr>
          <w:sz w:val="20"/>
          <w:szCs w:val="20"/>
        </w:rPr>
        <w:t xml:space="preserve">« Je demande le droit de mourir dans la dignité et de respecter la vie de chacun : il faut une liberté pour tout : la vie mais aussi la mort. J’ai vu mon frère mourir dans des conditions lamentables pendant plus de 3 mois, sa famille a demandé les soins palliatifs, mais il n’y a eu le droit que 15 jours avant de mourir, c’était trop tard. Mon frère est mort atrocement à 60 ans, on n’a pas respecté ce qu’il voulait. Le droit de mourir dans la dignité ne veut pas dire achever les gens mais mourir dans des conditions humaines, on a le droit de choisir sa mort comme de choisir autre chose. » </w:t>
      </w:r>
    </w:p>
    <w:p w14:paraId="2C376DA5" w14:textId="77777777" w:rsidR="001B370C" w:rsidRPr="001B370C" w:rsidRDefault="001B370C" w:rsidP="001B370C">
      <w:pPr>
        <w:spacing w:line="240" w:lineRule="auto"/>
        <w:rPr>
          <w:rFonts w:ascii="Times New Roman" w:hAnsi="Times New Roman"/>
          <w:sz w:val="20"/>
          <w:szCs w:val="20"/>
        </w:rPr>
      </w:pPr>
    </w:p>
    <w:p w14:paraId="65762F40"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5.</w:t>
      </w:r>
    </w:p>
    <w:p w14:paraId="01FFA210" w14:textId="77777777" w:rsidR="001B370C" w:rsidRPr="001B370C" w:rsidRDefault="001B370C" w:rsidP="001B370C">
      <w:pPr>
        <w:pStyle w:val="Default"/>
        <w:jc w:val="both"/>
        <w:rPr>
          <w:sz w:val="20"/>
          <w:szCs w:val="20"/>
        </w:rPr>
      </w:pPr>
      <w:r w:rsidRPr="001B370C">
        <w:rPr>
          <w:sz w:val="20"/>
          <w:szCs w:val="20"/>
        </w:rPr>
        <w:t xml:space="preserve">« Ce que j’ai appris de la fin de vie de ma femme, c’est que souvent, les gens vivent seuls, même quand ils sont en couple, et ils sont donc malades seuls et ils meurent seuls. J’ai été surpris en rendant visite à ma femme en soins palliatifs un dimanche d’être le seul rendant visite à un malade : j’ai vu qu’en fait, la maladie, la mort projetait sur </w:t>
      </w:r>
      <w:proofErr w:type="spellStart"/>
      <w:r w:rsidRPr="001B370C">
        <w:rPr>
          <w:sz w:val="20"/>
          <w:szCs w:val="20"/>
        </w:rPr>
        <w:t>soi même</w:t>
      </w:r>
      <w:proofErr w:type="spellEnd"/>
      <w:r w:rsidRPr="001B370C">
        <w:rPr>
          <w:sz w:val="20"/>
          <w:szCs w:val="20"/>
        </w:rPr>
        <w:t xml:space="preserve"> un regard difficile, insupportable, c’est pour ça qu’on veut abréger les souffrances, par pour le malade, mais pour </w:t>
      </w:r>
      <w:proofErr w:type="spellStart"/>
      <w:r w:rsidRPr="001B370C">
        <w:rPr>
          <w:sz w:val="20"/>
          <w:szCs w:val="20"/>
        </w:rPr>
        <w:t>soi même</w:t>
      </w:r>
      <w:proofErr w:type="spellEnd"/>
      <w:r w:rsidRPr="001B370C">
        <w:rPr>
          <w:sz w:val="20"/>
          <w:szCs w:val="20"/>
        </w:rPr>
        <w:t xml:space="preserve"> ». </w:t>
      </w:r>
    </w:p>
    <w:p w14:paraId="46F9044C" w14:textId="77777777" w:rsidR="001B370C" w:rsidRPr="001B370C" w:rsidRDefault="001B370C" w:rsidP="001B370C">
      <w:pPr>
        <w:spacing w:line="240" w:lineRule="auto"/>
        <w:rPr>
          <w:rFonts w:ascii="Times New Roman" w:hAnsi="Times New Roman"/>
          <w:sz w:val="20"/>
          <w:szCs w:val="20"/>
        </w:rPr>
      </w:pPr>
    </w:p>
    <w:p w14:paraId="5A26B233" w14:textId="77777777" w:rsidR="001B370C" w:rsidRPr="001B370C" w:rsidRDefault="001B370C" w:rsidP="001B370C">
      <w:pPr>
        <w:pStyle w:val="Default"/>
        <w:jc w:val="both"/>
        <w:rPr>
          <w:sz w:val="20"/>
          <w:szCs w:val="20"/>
        </w:rPr>
      </w:pPr>
      <w:r w:rsidRPr="001B370C">
        <w:rPr>
          <w:sz w:val="20"/>
          <w:szCs w:val="20"/>
        </w:rPr>
        <w:t>6.</w:t>
      </w:r>
    </w:p>
    <w:p w14:paraId="198F3029" w14:textId="77777777" w:rsidR="001B370C" w:rsidRPr="001B370C" w:rsidRDefault="001B370C" w:rsidP="001B370C">
      <w:pPr>
        <w:pStyle w:val="Default"/>
        <w:jc w:val="both"/>
        <w:rPr>
          <w:sz w:val="20"/>
          <w:szCs w:val="20"/>
        </w:rPr>
      </w:pPr>
      <w:r w:rsidRPr="001B370C">
        <w:rPr>
          <w:sz w:val="20"/>
          <w:szCs w:val="20"/>
        </w:rPr>
        <w:t xml:space="preserve">« Je voulais témoigner de la qualité des SP [soins palliatifs], ma maman est décédée dans la clinique de Notre Dame du Lac en juillet dernier, elle était atteinte de nombreuses pathologies et elle était déprimée car mon père était mort, elle avait donc demandé à son médecin généraliste de l’euthanasier mais il n’avait pas pu. Grâce à ça elle a obtenu une place à Notre Dame du Lac, ça m’a ébranlé, j’étais partante pour l’euthanasie, en voyant la qualité des soins, j’ai trouvé ça admirable ». </w:t>
      </w:r>
    </w:p>
    <w:p w14:paraId="2537625F" w14:textId="77777777" w:rsidR="001B370C" w:rsidRPr="001B370C" w:rsidRDefault="001B370C" w:rsidP="001B370C">
      <w:pPr>
        <w:spacing w:line="240" w:lineRule="auto"/>
        <w:rPr>
          <w:rFonts w:ascii="Times New Roman" w:hAnsi="Times New Roman"/>
          <w:sz w:val="20"/>
          <w:szCs w:val="20"/>
        </w:rPr>
      </w:pPr>
    </w:p>
    <w:p w14:paraId="58C5A94E"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7.</w:t>
      </w:r>
    </w:p>
    <w:p w14:paraId="31FD0A86" w14:textId="77777777" w:rsidR="001B370C" w:rsidRPr="001B370C" w:rsidRDefault="001B370C" w:rsidP="001B370C">
      <w:pPr>
        <w:pStyle w:val="Default"/>
        <w:jc w:val="both"/>
        <w:rPr>
          <w:sz w:val="20"/>
          <w:szCs w:val="20"/>
        </w:rPr>
      </w:pPr>
      <w:r w:rsidRPr="001B370C">
        <w:rPr>
          <w:sz w:val="20"/>
          <w:szCs w:val="20"/>
        </w:rPr>
        <w:lastRenderedPageBreak/>
        <w:t>« Il y a un mois, mon frère a d</w:t>
      </w:r>
      <w:r w:rsidR="00496875">
        <w:rPr>
          <w:sz w:val="20"/>
          <w:szCs w:val="20"/>
        </w:rPr>
        <w:t>û</w:t>
      </w:r>
      <w:r w:rsidRPr="001B370C">
        <w:rPr>
          <w:sz w:val="20"/>
          <w:szCs w:val="20"/>
        </w:rPr>
        <w:t xml:space="preserve"> aller en service de réanimation de neurochirurgie suite à une hémorragie cérébrale massive. Il a passé trois jours dans le coma, puis avec l’accord de la famille, puisque qu’il n’y avait plus rien à faire, on a décidé de le débrancher. La famille était là, ça a été bien fait au point de vue technique, mais ça a été fait devant nous tous sans dire un mot. A un moment, mon frère était encore vivant, on lui tenait la main (elle était chaude), et d’un seul coup on a enlevé le respirateur et il était mort. Sans accompagnement de la famille, c’est d’une très grande violence psychologiquement. Quand un petit enfant a un bobo, un bisou suffit souvent à guérir le bobo, ça a rien </w:t>
      </w:r>
      <w:proofErr w:type="spellStart"/>
      <w:r w:rsidRPr="001B370C">
        <w:rPr>
          <w:sz w:val="20"/>
          <w:szCs w:val="20"/>
        </w:rPr>
        <w:t>a</w:t>
      </w:r>
      <w:proofErr w:type="spellEnd"/>
      <w:r w:rsidRPr="001B370C">
        <w:rPr>
          <w:sz w:val="20"/>
          <w:szCs w:val="20"/>
        </w:rPr>
        <w:t xml:space="preserve"> voir avec l’acte technique. Je ne voudrais pas que tout soit résumé à l’hôpital à des protocoles ou à des gestes techniques en oubliant l’humain, l’accompagnement. » </w:t>
      </w:r>
    </w:p>
    <w:p w14:paraId="538993D1" w14:textId="77777777" w:rsidR="001B370C" w:rsidRPr="001B370C" w:rsidRDefault="001B370C" w:rsidP="001B370C">
      <w:pPr>
        <w:pStyle w:val="Default"/>
        <w:rPr>
          <w:sz w:val="20"/>
          <w:szCs w:val="20"/>
        </w:rPr>
      </w:pPr>
    </w:p>
    <w:p w14:paraId="5FF88A4C" w14:textId="77777777" w:rsidR="001B370C" w:rsidRPr="001B370C" w:rsidRDefault="001B370C" w:rsidP="001B370C">
      <w:pPr>
        <w:pStyle w:val="Default"/>
        <w:jc w:val="both"/>
        <w:rPr>
          <w:sz w:val="20"/>
          <w:szCs w:val="20"/>
        </w:rPr>
      </w:pPr>
      <w:r w:rsidRPr="001B370C">
        <w:rPr>
          <w:sz w:val="20"/>
          <w:szCs w:val="20"/>
        </w:rPr>
        <w:t>8.</w:t>
      </w:r>
    </w:p>
    <w:p w14:paraId="5CDE697D" w14:textId="77777777" w:rsidR="001B370C" w:rsidRPr="001B370C" w:rsidRDefault="001B370C" w:rsidP="001B370C">
      <w:pPr>
        <w:pStyle w:val="Default"/>
        <w:jc w:val="both"/>
        <w:rPr>
          <w:sz w:val="20"/>
          <w:szCs w:val="20"/>
        </w:rPr>
      </w:pPr>
      <w:r w:rsidRPr="001B370C">
        <w:rPr>
          <w:sz w:val="20"/>
          <w:szCs w:val="20"/>
        </w:rPr>
        <w:t xml:space="preserve">« J’ai un peu plus de 50 ans, mon épouse est décédée il y a deux mois. Elle ne voulait pas mourir. Pendant deux ans, elle n’a parlé que de la vie, on n’a jamais parlé de la mort. Jamais la vie n’est horrible, c’est la souffrance qui est horrible. Dans la maladie, on s’accomplit. Elle a vécu son chemin, j’ai vécu le mien. Dans les deux derniers mois, elle ne parlait plus mais on dialoguait avec le regard, pas besoin de mot, un regard suffit ou même des yeux fermés. J’ai aussi compris que souvent, les vivants ferment les yeux des mourants mais les mourants ouvrent les yeux à des vivants. Dans les deux dernières semaines, on a vu que sa vie partait, j’ai fait rentrer les enfants de vacances, quand ils sont arrivés, personne n’a compris ce qui se passait : elle s’est relevée, a prononcé trois mots, a souri à ses enfants, a pu leur caresser les joues. Si j’avais voulu enlever sa vie deux jours avant, je lui aurai enlevé ses derniers moments de joie. Je veux rendre hommage aux SP de Grenoble, petit pavillon de dix lits, on passe toujours devant sans savoir qu’il existe, j’ai rencontré des gens merveilleux qui aident les malades, les accompagnants, enfants, j’ai rencontré des infirmières, aides-soignantes, personnes qui nettoient le sol, avec non pas des regards de mort mais de vie » </w:t>
      </w:r>
    </w:p>
    <w:p w14:paraId="5B81BF1E" w14:textId="77777777" w:rsidR="001B370C" w:rsidRPr="001B370C" w:rsidRDefault="001B370C" w:rsidP="001B370C">
      <w:pPr>
        <w:spacing w:line="240" w:lineRule="auto"/>
        <w:rPr>
          <w:rFonts w:ascii="Times New Roman" w:hAnsi="Times New Roman"/>
          <w:sz w:val="20"/>
          <w:szCs w:val="20"/>
        </w:rPr>
      </w:pPr>
    </w:p>
    <w:p w14:paraId="1B8DD285" w14:textId="5E07B3C5" w:rsidR="003D629D" w:rsidRDefault="001B370C" w:rsidP="001B370C">
      <w:pPr>
        <w:spacing w:line="240" w:lineRule="auto"/>
        <w:rPr>
          <w:rFonts w:ascii="Times New Roman" w:hAnsi="Times New Roman"/>
          <w:sz w:val="20"/>
          <w:szCs w:val="20"/>
        </w:rPr>
      </w:pPr>
      <w:r w:rsidRPr="001B370C">
        <w:rPr>
          <w:rFonts w:ascii="Times New Roman" w:hAnsi="Times New Roman"/>
          <w:sz w:val="20"/>
          <w:szCs w:val="20"/>
        </w:rPr>
        <w:t>Extraits du débat de Grenoble en octobre 2012 cité dans le « Rapport Sicard »</w:t>
      </w:r>
      <w:r w:rsidRPr="001B370C">
        <w:rPr>
          <w:rStyle w:val="Appelnotedebasdep"/>
          <w:rFonts w:ascii="Times New Roman" w:hAnsi="Times New Roman"/>
          <w:sz w:val="20"/>
          <w:szCs w:val="20"/>
        </w:rPr>
        <w:footnoteReference w:id="9"/>
      </w:r>
      <w:r w:rsidRPr="001B370C">
        <w:rPr>
          <w:rFonts w:ascii="Times New Roman" w:hAnsi="Times New Roman"/>
          <w:sz w:val="20"/>
          <w:szCs w:val="20"/>
        </w:rPr>
        <w:t xml:space="preserve"> (</w:t>
      </w:r>
      <w:r w:rsidRPr="001B370C">
        <w:rPr>
          <w:rFonts w:ascii="Times New Roman" w:hAnsi="Times New Roman"/>
          <w:i/>
          <w:sz w:val="20"/>
          <w:szCs w:val="20"/>
        </w:rPr>
        <w:t>Penser solidairement la fin de vie</w:t>
      </w:r>
      <w:r w:rsidRPr="001B370C">
        <w:rPr>
          <w:rFonts w:ascii="Times New Roman" w:hAnsi="Times New Roman"/>
          <w:sz w:val="20"/>
          <w:szCs w:val="20"/>
        </w:rPr>
        <w:t>), remis au président François Hollande le 18 décembre 2012.</w:t>
      </w:r>
      <w:r w:rsidR="003D629D">
        <w:rPr>
          <w:rFonts w:ascii="Times New Roman" w:hAnsi="Times New Roman"/>
          <w:sz w:val="20"/>
          <w:szCs w:val="20"/>
        </w:rPr>
        <w:br w:type="page"/>
      </w:r>
    </w:p>
    <w:p w14:paraId="584E2198" w14:textId="77777777" w:rsidR="003D629D" w:rsidRPr="0007443D" w:rsidRDefault="003D629D" w:rsidP="003D629D">
      <w:pPr>
        <w:spacing w:line="240" w:lineRule="auto"/>
        <w:jc w:val="center"/>
        <w:rPr>
          <w:rFonts w:ascii="Times New Roman" w:hAnsi="Times New Roman"/>
          <w:b/>
          <w:bCs/>
          <w:sz w:val="20"/>
          <w:szCs w:val="20"/>
        </w:rPr>
      </w:pPr>
      <w:bookmarkStart w:id="3" w:name="_Hlk152681285"/>
      <w:r w:rsidRPr="0007443D">
        <w:rPr>
          <w:rFonts w:ascii="Times New Roman" w:hAnsi="Times New Roman"/>
          <w:b/>
          <w:bCs/>
          <w:sz w:val="20"/>
          <w:szCs w:val="20"/>
        </w:rPr>
        <w:lastRenderedPageBreak/>
        <w:t>La loi Leonetti sur les malades en fin de vie</w:t>
      </w:r>
      <w:r>
        <w:rPr>
          <w:rFonts w:ascii="Times New Roman" w:hAnsi="Times New Roman"/>
          <w:b/>
          <w:bCs/>
          <w:sz w:val="20"/>
          <w:szCs w:val="20"/>
        </w:rPr>
        <w:t xml:space="preserve"> (2005)</w:t>
      </w:r>
    </w:p>
    <w:p w14:paraId="486B9AB0" w14:textId="77777777" w:rsidR="003D629D" w:rsidRPr="0007443D" w:rsidRDefault="003D629D" w:rsidP="003D629D">
      <w:pPr>
        <w:spacing w:line="240" w:lineRule="auto"/>
        <w:rPr>
          <w:rFonts w:ascii="Times New Roman" w:hAnsi="Times New Roman"/>
          <w:b/>
          <w:bCs/>
          <w:sz w:val="20"/>
          <w:szCs w:val="20"/>
        </w:rPr>
      </w:pPr>
    </w:p>
    <w:p w14:paraId="631A1CF0"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Article 1</w:t>
      </w:r>
    </w:p>
    <w:p w14:paraId="7BD51C91" w14:textId="77777777" w:rsidR="003D629D" w:rsidRDefault="003D629D" w:rsidP="003D629D">
      <w:pPr>
        <w:spacing w:line="240" w:lineRule="auto"/>
        <w:rPr>
          <w:rFonts w:ascii="Times New Roman" w:hAnsi="Times New Roman"/>
          <w:sz w:val="20"/>
          <w:szCs w:val="20"/>
        </w:rPr>
      </w:pPr>
      <w:r>
        <w:rPr>
          <w:rFonts w:ascii="Times New Roman" w:hAnsi="Times New Roman"/>
          <w:sz w:val="20"/>
          <w:szCs w:val="20"/>
        </w:rPr>
        <w:t>[…]</w:t>
      </w:r>
    </w:p>
    <w:p w14:paraId="39B5F0C5"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Ces actes ne doivent pas être poursuivis par une obstination déraisonnable. Lorsqu'ils apparaissent inutiles, disproportionnés ou n'ayant d'autre effet que le seul maintien artificiel de la vie, ils peuvent être suspendus ou ne pas être entrepris. Dans ce cas, le médecin sauvegarde la dignité du mourant et assure la qualité de sa vie en dispensant les soins visés à l'article L. 1110-10. »</w:t>
      </w:r>
    </w:p>
    <w:p w14:paraId="13E2866B" w14:textId="77777777" w:rsidR="003D629D" w:rsidRDefault="003D629D" w:rsidP="003D629D">
      <w:pPr>
        <w:spacing w:line="240" w:lineRule="auto"/>
        <w:rPr>
          <w:rFonts w:ascii="Times New Roman" w:hAnsi="Times New Roman"/>
          <w:sz w:val="20"/>
          <w:szCs w:val="20"/>
        </w:rPr>
      </w:pPr>
    </w:p>
    <w:p w14:paraId="744B69F8"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xml:space="preserve">Article 2 </w:t>
      </w:r>
    </w:p>
    <w:p w14:paraId="0C2D4AA7" w14:textId="77777777" w:rsidR="003D629D" w:rsidRDefault="003D629D" w:rsidP="003D629D">
      <w:pPr>
        <w:spacing w:line="240" w:lineRule="auto"/>
        <w:rPr>
          <w:rFonts w:ascii="Times New Roman" w:hAnsi="Times New Roman"/>
          <w:sz w:val="20"/>
          <w:szCs w:val="20"/>
        </w:rPr>
      </w:pPr>
      <w:r>
        <w:rPr>
          <w:rFonts w:ascii="Times New Roman" w:hAnsi="Times New Roman"/>
          <w:sz w:val="20"/>
          <w:szCs w:val="20"/>
        </w:rPr>
        <w:t>[…]</w:t>
      </w:r>
    </w:p>
    <w:p w14:paraId="4095B060"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Si le médecin constate qu'il ne peut soulager la souffrance d'une personne, en phase avancée ou terminale d'une affection grave et incurable, quelle qu'en soit la cause, qu'en lui appliquant un traitement qui peut avoir pour effet secondaire d'abréger sa vie, il doit en informer le malade, sans préjudice des dispositions du quatrième alinéa de l'article L. 1111-2, la personne de confiance visée à l'article L. 1111-6, la famille ou, à défaut, un des proches. La procédure suivie est inscrite dans le dossier médical. »</w:t>
      </w:r>
    </w:p>
    <w:p w14:paraId="499C2632"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w:t>
      </w:r>
    </w:p>
    <w:p w14:paraId="06722568"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Lorsque la personne est hors d'état d'exprimer sa volonté, la limitation ou l'arrêt de traitement susceptible de mettre sa vie en danger ne peut être réalisé sans avoir respecté la procédure collégiale définie par le code de déontologie médicale et sans que la personne de confiance prévue à l'article L. 1111-6 ou la famille ou, à défaut, un de ses proches et, le cas échéant, les directives anticipées de la personne, aient été consultés. La décision motivée de limitation ou d'arrêt de traitement est inscrite dans le dossier médical. »</w:t>
      </w:r>
    </w:p>
    <w:p w14:paraId="6411C711" w14:textId="77777777" w:rsidR="003D629D" w:rsidRDefault="003D629D" w:rsidP="003D629D">
      <w:pPr>
        <w:spacing w:line="240" w:lineRule="auto"/>
        <w:rPr>
          <w:rFonts w:ascii="Times New Roman" w:hAnsi="Times New Roman"/>
          <w:sz w:val="20"/>
          <w:szCs w:val="20"/>
        </w:rPr>
      </w:pPr>
    </w:p>
    <w:p w14:paraId="190ED189"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Article 6</w:t>
      </w:r>
    </w:p>
    <w:p w14:paraId="68893FFF" w14:textId="77777777" w:rsidR="003D629D" w:rsidRDefault="003D629D" w:rsidP="003D629D">
      <w:pPr>
        <w:spacing w:line="240" w:lineRule="auto"/>
        <w:rPr>
          <w:rFonts w:ascii="Times New Roman" w:hAnsi="Times New Roman"/>
          <w:sz w:val="20"/>
          <w:szCs w:val="20"/>
        </w:rPr>
      </w:pPr>
      <w:r>
        <w:rPr>
          <w:rFonts w:ascii="Times New Roman" w:hAnsi="Times New Roman"/>
          <w:sz w:val="20"/>
          <w:szCs w:val="20"/>
        </w:rPr>
        <w:t>[…]</w:t>
      </w:r>
    </w:p>
    <w:p w14:paraId="7469018F"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Art. L. 1111-10. - Lorsqu'une personne, en phase avancée ou terminale d'une affection grave et incurable, quelle qu'en soit la cause, décide de limiter ou d'arrêter tout traitement, le médecin respecte sa volonté après l'avoir informée des conséquences de son choix. La décision du malade est inscrite dans son dossier médical.</w:t>
      </w:r>
    </w:p>
    <w:p w14:paraId="7B6DC8AD"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Le médecin sauvegarde la dignité du mourant et assure la qualité de sa fin de vie en dispensant les soins visés à l'article L. 1110-10. »</w:t>
      </w:r>
    </w:p>
    <w:p w14:paraId="3DB88D42" w14:textId="77777777" w:rsidR="003D629D" w:rsidRDefault="003D629D" w:rsidP="003D629D">
      <w:pPr>
        <w:spacing w:line="240" w:lineRule="auto"/>
        <w:rPr>
          <w:rFonts w:ascii="Times New Roman" w:hAnsi="Times New Roman"/>
          <w:sz w:val="20"/>
          <w:szCs w:val="20"/>
        </w:rPr>
      </w:pPr>
    </w:p>
    <w:p w14:paraId="6C0FF2EB"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Article 7</w:t>
      </w:r>
    </w:p>
    <w:p w14:paraId="3AE70853" w14:textId="77777777" w:rsidR="003D629D" w:rsidRDefault="003D629D" w:rsidP="003D629D">
      <w:pPr>
        <w:spacing w:line="240" w:lineRule="auto"/>
        <w:rPr>
          <w:rFonts w:ascii="Times New Roman" w:hAnsi="Times New Roman"/>
          <w:sz w:val="20"/>
          <w:szCs w:val="20"/>
        </w:rPr>
      </w:pPr>
      <w:r>
        <w:rPr>
          <w:rFonts w:ascii="Times New Roman" w:hAnsi="Times New Roman"/>
          <w:sz w:val="20"/>
          <w:szCs w:val="20"/>
        </w:rPr>
        <w:t>[…]</w:t>
      </w:r>
    </w:p>
    <w:p w14:paraId="4C3721CE"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Art. L. 1111-11. - Toute personne majeure peut rédiger des directives anticipées pour le cas où elle serait un jour hors d'état d'exprimer sa volonté. Ces directives anticipées indiquent les souhaits de la personne relatifs à sa fin de vie concernant les conditions de la limitation ou l'arrêt de traitement. Elles sont révocables à tout moment.</w:t>
      </w:r>
    </w:p>
    <w:p w14:paraId="7A18CAE0"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A condition qu'elles aient été établies moins de trois ans avant l'état d'inconscience de la personne, le médecin en tient compte pour toute décision d'investigation, d'intervention ou de traitement la concernant.</w:t>
      </w:r>
    </w:p>
    <w:p w14:paraId="242BFAEC"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Un décret en Conseil d'Etat définit les conditions de validité, de confidentialité et de conservation des directives anticipées. »</w:t>
      </w:r>
    </w:p>
    <w:p w14:paraId="4645F9D7" w14:textId="77777777" w:rsidR="003D629D" w:rsidRDefault="003D629D" w:rsidP="003D629D">
      <w:pPr>
        <w:spacing w:line="240" w:lineRule="auto"/>
        <w:rPr>
          <w:rFonts w:ascii="Times New Roman" w:hAnsi="Times New Roman"/>
          <w:sz w:val="20"/>
          <w:szCs w:val="20"/>
        </w:rPr>
      </w:pPr>
    </w:p>
    <w:p w14:paraId="058E793D"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Article 8</w:t>
      </w:r>
    </w:p>
    <w:p w14:paraId="45CDBB41" w14:textId="77777777" w:rsidR="003D629D" w:rsidRDefault="003D629D" w:rsidP="003D629D">
      <w:pPr>
        <w:spacing w:line="240" w:lineRule="auto"/>
        <w:rPr>
          <w:rFonts w:ascii="Times New Roman" w:hAnsi="Times New Roman"/>
          <w:sz w:val="20"/>
          <w:szCs w:val="20"/>
        </w:rPr>
      </w:pPr>
      <w:r>
        <w:rPr>
          <w:rFonts w:ascii="Times New Roman" w:hAnsi="Times New Roman"/>
          <w:sz w:val="20"/>
          <w:szCs w:val="20"/>
        </w:rPr>
        <w:t>[…]</w:t>
      </w:r>
    </w:p>
    <w:p w14:paraId="009578E5"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Art. L. 1111-12. - Lorsqu'une personne, en phase avancée ou terminale d'une affection grave et incurable, quelle qu'en soit la cause et hors d'état d'exprimer sa volonté, a désigné une personne de confiance en application de l'article L. 1111-6, l'avis de cette dernière, sauf urgence ou impossibilité, prévaut sur tout autre avis non médical, à l'exclusion des directives anticipées, dans les décisions d'investigation, d'intervention ou de traitement prises par le médecin. »</w:t>
      </w:r>
    </w:p>
    <w:p w14:paraId="014B9939" w14:textId="77777777" w:rsidR="003D629D" w:rsidRDefault="003D629D" w:rsidP="003D629D">
      <w:pPr>
        <w:spacing w:line="240" w:lineRule="auto"/>
        <w:rPr>
          <w:rFonts w:ascii="Times New Roman" w:hAnsi="Times New Roman"/>
          <w:sz w:val="20"/>
          <w:szCs w:val="20"/>
        </w:rPr>
      </w:pPr>
    </w:p>
    <w:p w14:paraId="4C41E3BE"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Article 9</w:t>
      </w:r>
    </w:p>
    <w:p w14:paraId="16CAD2AB" w14:textId="77777777" w:rsidR="003D629D" w:rsidRDefault="003D629D" w:rsidP="003D629D">
      <w:pPr>
        <w:spacing w:line="240" w:lineRule="auto"/>
        <w:rPr>
          <w:rFonts w:ascii="Times New Roman" w:hAnsi="Times New Roman"/>
          <w:sz w:val="20"/>
          <w:szCs w:val="20"/>
        </w:rPr>
      </w:pPr>
      <w:r>
        <w:rPr>
          <w:rFonts w:ascii="Times New Roman" w:hAnsi="Times New Roman"/>
          <w:sz w:val="20"/>
          <w:szCs w:val="20"/>
        </w:rPr>
        <w:t>[…]</w:t>
      </w:r>
    </w:p>
    <w:p w14:paraId="7E009ECB"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Art. L. 1111-13. - Lorsqu'une personne, en phase avancée ou terminale d'une affection grave et incurable, quelle qu'en soit la cause, est hors d'état d'exprimer sa volonté, le médecin peut décider de limiter ou d'arrêter un traitement inutile, disproportionné ou n'ayant d'autre objet que la seule prolongation artificielle de la vie de cette personne, après avoir respecté la procédure collégiale définie par le code de déontologie médicale et consulté la personne de confiance visée à l'article L. 1111-6, la famille ou, à défaut, un de ses proches et, le cas échéant, les directives anticipées de la personne. Sa décision, motivée, est inscrite dans le dossier médical.</w:t>
      </w:r>
    </w:p>
    <w:p w14:paraId="78D8C62E"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 Le médecin sauvegarde la dignité du mourant et assure la qualité de sa fin de vie en dispensant les soins visés à l'article L. 1110-10. »</w:t>
      </w:r>
    </w:p>
    <w:p w14:paraId="2F37DD68" w14:textId="77777777" w:rsidR="003D629D" w:rsidRPr="0007443D" w:rsidRDefault="003D629D" w:rsidP="003D629D">
      <w:pPr>
        <w:spacing w:line="240" w:lineRule="auto"/>
        <w:rPr>
          <w:rFonts w:ascii="Times New Roman" w:hAnsi="Times New Roman"/>
          <w:sz w:val="20"/>
          <w:szCs w:val="20"/>
        </w:rPr>
      </w:pPr>
      <w:r w:rsidRPr="0007443D">
        <w:rPr>
          <w:rFonts w:ascii="Times New Roman" w:hAnsi="Times New Roman"/>
          <w:sz w:val="20"/>
          <w:szCs w:val="20"/>
        </w:rPr>
        <w:t>[…]</w:t>
      </w:r>
    </w:p>
    <w:p w14:paraId="0D359AA7" w14:textId="77777777" w:rsidR="003D629D" w:rsidRDefault="003D629D" w:rsidP="003D629D">
      <w:pPr>
        <w:spacing w:line="240" w:lineRule="auto"/>
        <w:rPr>
          <w:rFonts w:ascii="Times New Roman" w:hAnsi="Times New Roman"/>
          <w:sz w:val="20"/>
          <w:szCs w:val="20"/>
        </w:rPr>
      </w:pPr>
    </w:p>
    <w:p w14:paraId="68888473" w14:textId="5C7AB12A" w:rsidR="001B370C" w:rsidRDefault="003D629D" w:rsidP="003D629D">
      <w:pPr>
        <w:spacing w:line="240" w:lineRule="auto"/>
        <w:rPr>
          <w:rFonts w:ascii="Times New Roman" w:hAnsi="Times New Roman"/>
          <w:sz w:val="20"/>
          <w:szCs w:val="20"/>
        </w:rPr>
      </w:pPr>
      <w:r w:rsidRPr="0007443D">
        <w:rPr>
          <w:rFonts w:ascii="Times New Roman" w:hAnsi="Times New Roman"/>
          <w:bCs/>
          <w:sz w:val="20"/>
          <w:szCs w:val="20"/>
        </w:rPr>
        <w:t>Loi n° 2005-370 du 22 avril 2005 relative aux droits des malades et à la fin de vie. Source :</w:t>
      </w:r>
      <w:r w:rsidRPr="0007443D">
        <w:rPr>
          <w:rFonts w:ascii="Times New Roman" w:hAnsi="Times New Roman"/>
          <w:b/>
          <w:bCs/>
          <w:sz w:val="20"/>
          <w:szCs w:val="20"/>
        </w:rPr>
        <w:t xml:space="preserve"> </w:t>
      </w:r>
      <w:r w:rsidRPr="0007443D">
        <w:rPr>
          <w:rFonts w:ascii="Times New Roman" w:hAnsi="Times New Roman"/>
          <w:i/>
          <w:sz w:val="20"/>
          <w:szCs w:val="20"/>
        </w:rPr>
        <w:t>Journal officiel de la République française</w:t>
      </w:r>
      <w:r w:rsidRPr="0007443D">
        <w:rPr>
          <w:rFonts w:ascii="Times New Roman" w:hAnsi="Times New Roman"/>
          <w:sz w:val="20"/>
          <w:szCs w:val="20"/>
        </w:rPr>
        <w:t xml:space="preserve"> n°95 du 23 avril 2005, p.7089, texte n° 1. Jacques Chirac était Président de la République, Jean-Pierre Raffarin Premier ministre, Philippe Douste-Blazy ministre de la Santé.</w:t>
      </w:r>
      <w:bookmarkEnd w:id="3"/>
      <w:r>
        <w:rPr>
          <w:rFonts w:ascii="Times New Roman" w:hAnsi="Times New Roman"/>
          <w:sz w:val="20"/>
          <w:szCs w:val="20"/>
        </w:rPr>
        <w:br w:type="page"/>
      </w:r>
    </w:p>
    <w:p w14:paraId="2AD1EC05" w14:textId="77777777" w:rsidR="001B370C" w:rsidRDefault="001B370C">
      <w:pPr>
        <w:spacing w:line="240" w:lineRule="auto"/>
        <w:jc w:val="left"/>
        <w:rPr>
          <w:rFonts w:ascii="Times New Roman" w:hAnsi="Times New Roman"/>
          <w:sz w:val="20"/>
          <w:szCs w:val="20"/>
        </w:rPr>
      </w:pPr>
      <w:r>
        <w:rPr>
          <w:rFonts w:ascii="Times New Roman" w:hAnsi="Times New Roman"/>
          <w:sz w:val="20"/>
          <w:szCs w:val="20"/>
        </w:rPr>
        <w:lastRenderedPageBreak/>
        <w:br w:type="page"/>
      </w:r>
    </w:p>
    <w:p w14:paraId="52583C07" w14:textId="77777777" w:rsidR="001B370C" w:rsidRPr="001B370C" w:rsidRDefault="00143ED1" w:rsidP="001B370C">
      <w:pPr>
        <w:spacing w:line="240" w:lineRule="auto"/>
        <w:jc w:val="center"/>
        <w:rPr>
          <w:rFonts w:ascii="Times New Roman" w:hAnsi="Times New Roman"/>
          <w:b/>
          <w:sz w:val="20"/>
          <w:szCs w:val="20"/>
        </w:rPr>
      </w:pPr>
      <w:r>
        <w:rPr>
          <w:rFonts w:ascii="Times New Roman" w:hAnsi="Times New Roman"/>
          <w:b/>
          <w:sz w:val="20"/>
          <w:szCs w:val="20"/>
        </w:rPr>
        <w:lastRenderedPageBreak/>
        <w:t>La maladie d’</w:t>
      </w:r>
      <w:r w:rsidR="001B370C" w:rsidRPr="001B370C">
        <w:rPr>
          <w:rFonts w:ascii="Times New Roman" w:hAnsi="Times New Roman"/>
          <w:b/>
          <w:sz w:val="20"/>
          <w:szCs w:val="20"/>
        </w:rPr>
        <w:t>Alzh</w:t>
      </w:r>
      <w:r>
        <w:rPr>
          <w:rFonts w:ascii="Times New Roman" w:hAnsi="Times New Roman"/>
          <w:b/>
          <w:sz w:val="20"/>
          <w:szCs w:val="20"/>
        </w:rPr>
        <w:t xml:space="preserve">eimer, </w:t>
      </w:r>
      <w:r w:rsidR="001B370C" w:rsidRPr="001B370C">
        <w:rPr>
          <w:rFonts w:ascii="Times New Roman" w:hAnsi="Times New Roman"/>
          <w:b/>
          <w:sz w:val="20"/>
          <w:szCs w:val="20"/>
        </w:rPr>
        <w:t>maladie du</w:t>
      </w:r>
      <w:r>
        <w:rPr>
          <w:rFonts w:ascii="Times New Roman" w:hAnsi="Times New Roman"/>
          <w:b/>
          <w:sz w:val="20"/>
          <w:szCs w:val="20"/>
        </w:rPr>
        <w:t xml:space="preserve"> XXI</w:t>
      </w:r>
      <w:r w:rsidRPr="00143ED1">
        <w:rPr>
          <w:rFonts w:ascii="Times New Roman" w:hAnsi="Times New Roman"/>
          <w:b/>
          <w:sz w:val="20"/>
          <w:szCs w:val="20"/>
          <w:vertAlign w:val="superscript"/>
        </w:rPr>
        <w:t>e</w:t>
      </w:r>
      <w:r w:rsidR="001B370C" w:rsidRPr="001B370C">
        <w:rPr>
          <w:rFonts w:ascii="Times New Roman" w:hAnsi="Times New Roman"/>
          <w:b/>
          <w:sz w:val="20"/>
          <w:szCs w:val="20"/>
        </w:rPr>
        <w:t xml:space="preserve"> siècle ?</w:t>
      </w:r>
    </w:p>
    <w:p w14:paraId="1E03CBEF" w14:textId="77777777" w:rsidR="001B370C" w:rsidRPr="001B370C" w:rsidRDefault="001B370C" w:rsidP="001B370C">
      <w:pPr>
        <w:spacing w:line="240" w:lineRule="auto"/>
        <w:rPr>
          <w:rFonts w:ascii="Times New Roman" w:hAnsi="Times New Roman"/>
          <w:sz w:val="20"/>
          <w:szCs w:val="20"/>
        </w:rPr>
      </w:pPr>
    </w:p>
    <w:p w14:paraId="12B35F2D"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 Des quatre années [2005-2008] durant lesquelles ta maladie, retroussant tout scrupule, se mettrait au travail, tandis que j’apprendrai, à force d’erreurs et de maladresses, le métier pour lequel j’étais le moins fait [accompagnant], je ne me sens pas le courage de parler. D’autant que de toute cette période, je n’ai pris presque aucune note, comme si je voulais me persuader qu’il ne s’agissait là que d’un épisode à vide, et aussi, parce qu’écrire sur toi en cachette de toi m’aurait profondément déplu.</w:t>
      </w:r>
    </w:p>
    <w:p w14:paraId="0657028A"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Les neurologues m’en avaient pourtant averti :</w:t>
      </w:r>
    </w:p>
    <w:p w14:paraId="53091CA8" w14:textId="77777777" w:rsidR="001B370C" w:rsidRPr="001B370C" w:rsidRDefault="001B370C" w:rsidP="001B370C">
      <w:pPr>
        <w:pStyle w:val="Paragraphedeliste"/>
        <w:numPr>
          <w:ilvl w:val="0"/>
          <w:numId w:val="16"/>
        </w:numPr>
        <w:rPr>
          <w:sz w:val="20"/>
          <w:szCs w:val="20"/>
        </w:rPr>
      </w:pPr>
      <w:r w:rsidRPr="001B370C">
        <w:rPr>
          <w:sz w:val="20"/>
          <w:szCs w:val="20"/>
        </w:rPr>
        <w:t>Votre femme est gravement atteinte, comme l’avaient montré les tests psychométriques ponctuellement réitérés. Sur trente questions posées tu ne répondrais bientôt qu’à dix.</w:t>
      </w:r>
    </w:p>
    <w:p w14:paraId="1F9D3F89"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Je m’interdis d’admettre la lecture d’un tel bilan. Je lus, relus, refusais de relire, relisais. Niant la vérité, j’y retournais secrètement, l’écoutais entre deux portes. […]</w:t>
      </w:r>
    </w:p>
    <w:p w14:paraId="6E9B30D3"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 xml:space="preserve">L’incohérence se fera d’abord courtoise, infime, qui, avec l’audace des timides et la minutie du miniaturiste, envahira sournoisement le territoire des scissures hémisphériques et des lobes </w:t>
      </w:r>
      <w:proofErr w:type="spellStart"/>
      <w:r w:rsidRPr="001B370C">
        <w:rPr>
          <w:rFonts w:ascii="Times New Roman" w:hAnsi="Times New Roman"/>
          <w:sz w:val="20"/>
          <w:szCs w:val="20"/>
        </w:rPr>
        <w:t>scruteurs</w:t>
      </w:r>
      <w:proofErr w:type="spellEnd"/>
      <w:r w:rsidRPr="001B370C">
        <w:rPr>
          <w:rFonts w:ascii="Times New Roman" w:hAnsi="Times New Roman"/>
          <w:sz w:val="20"/>
          <w:szCs w:val="20"/>
        </w:rPr>
        <w:t>, escaladera cavités et ventricules, avant de naufrager sur la mer céphalorachidienne.</w:t>
      </w:r>
    </w:p>
    <w:p w14:paraId="52AD087C"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Tout se disloquera patiemment, et les belles constructions de l’intelligence, dressées dans la rotondité du crâne comme palais de cristal sous la voûte céleste, s’effriteront décombres. Cela se mettra lentement à ressembler à un champ de ruines quittant le monde des formes pour l’informe, avant de s’achever cafouillis et bafouillages.</w:t>
      </w:r>
    </w:p>
    <w:p w14:paraId="532B645F"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w:t>
      </w:r>
    </w:p>
    <w:p w14:paraId="42B67CDC"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Ta mise en institution fut décidée par l’autorité médicale après d’ultimes résistances de ma part.</w:t>
      </w:r>
    </w:p>
    <w:p w14:paraId="6DE0D06C"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w:t>
      </w:r>
    </w:p>
    <w:p w14:paraId="64A8AA88"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J’ignorais, en partant [de leur maison de Sainte-Michel-la-Grange], que je ne me sentirais plus bien nulle part, et que ce n’est pas en quittant un lieu qu’on lui laisse en cadeau la souffrance qu’on y a subie. Cette souffrance nous suit partout comme une mauvaise conscience. On l’emporte avec soi, où que l’on aille : notre double.</w:t>
      </w:r>
    </w:p>
    <w:p w14:paraId="35A30171"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Une autre naïveté consistait à croire que, malgré des lieux de vie séparés, nous-mêmes ne le serions pas. Or, une fois l’un des conjoints « institués », c’en est fini du couple. On pourrait bien se revoir chaque jour, se parler, se promener : le couple resterait à jamais éclaté. Il n’est pour le malade coup plus terrible que celui-là : l’être privé de mémoire se croira oublié.</w:t>
      </w:r>
    </w:p>
    <w:p w14:paraId="497B2451"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Quant à l’accompagnant, il sera l’épicentre d’un séisme dont on préfèrera ignorer la magnitude, et dont il ne fera toujours que semblant de se remettre. Interdit de projet, c’est un peu comme s’il était en deuil de l’avenir, vivait un deuil anticipé ; déjà veuf d’une vivante. Il tenterait en vain de s’astreindre à l’évidence que rien ne serait plus jamais comme avant.</w:t>
      </w:r>
    </w:p>
    <w:p w14:paraId="142D1038"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Tout cela, je l’ignorais, et ne le pressentais que trop, avec terreur. Dans la voiture qui nous emportait, je ne pus m’empêcher de me formuler à moi-même une sorte de prière qui revenait à dire : “Donne-moi, Seigneur, assez de force pour pouvoir aider celle qui aura toujours plus besoin de moi, alors que j’avais encore tant besoin d’elle ; assez de force, alors qu’il m’en faudra toujours plus !” […]</w:t>
      </w:r>
    </w:p>
    <w:p w14:paraId="1FD3F130"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J’aurai à comprendre également qu’en quittant la grande pour la Résidence, celle qui m’avait fait le plus de bien par son dévouement indéfectible, sa joyeuse disponibilité, son inépuisable énergie, était devenue celle qui me ferait le plus souffrir. Celle qui m’avait le plus et le mieux aimé serait celle qui ne pourrait plus rien pour moi. Celle à qui j’avais pu tout dire serait celle à qui je ne pourrais plus rien dire, voire à qui je n’aurais plus rien à dire.</w:t>
      </w:r>
    </w:p>
    <w:p w14:paraId="20D884CC"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Ç’avait été une plénitude, ce serait une excavation où chacun vivrait son enfer personnel. Ç’avait été une concertation de complémentaires, ce serait un désert sans grain de sable où se raccrocher. […]</w:t>
      </w:r>
    </w:p>
    <w:p w14:paraId="2D6B4F17"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Hautement gardé par ses lourdes portes, le « Passage protégé », autrement dit le « Foyer », ne laisse pas de faire penser au « grand passage » que tout le monde redoute, et par lequel tout le monde passera. Il en est la salle d’attente, le déambulatoire des pas perpétuellement perdus.</w:t>
      </w:r>
    </w:p>
    <w:p w14:paraId="08C5FC0D"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Là résident ceux qui ont décidé de s’éterniser aux lisières de l’éternité. Rien ne m’y avait jamais préparé ; personne ne l’est jamais.</w:t>
      </w:r>
    </w:p>
    <w:p w14:paraId="2E633845"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Faut-il dire de ceux-là qu’ils n’en finissent pas de vivre ou de mourir ? Sont-ils encore vivants ou déjà morts ? Sont-ils morts et vivants ? Ni vivants ni morts ? […]</w:t>
      </w:r>
    </w:p>
    <w:p w14:paraId="2F7275BA"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Quelque chose m’a frappé : combien, en si peu de temps, avait partout fleuri et s’étaient déchaînés tant de téléphones portables qui n’étaient pas sans me rappeler le mitraillage des questions dont j’étais victime. J’ai songé que le permanent recours à tous ces aide-mémoire, enregistrant toutes les informations possibles, mettait au chômage, en s’y substituant, la fonction mnésique des individus.</w:t>
      </w:r>
    </w:p>
    <w:p w14:paraId="551B1F0F"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 xml:space="preserve">L’entraînement stupéfiant des anciens bardes sachant des milliers de vers par cœur, la disparition accélérée d’une connaissance orale plus que millénaire, le </w:t>
      </w:r>
      <w:r w:rsidRPr="001B370C">
        <w:rPr>
          <w:rFonts w:ascii="Times New Roman" w:hAnsi="Times New Roman"/>
          <w:i/>
          <w:sz w:val="20"/>
          <w:szCs w:val="20"/>
        </w:rPr>
        <w:t>memento mori</w:t>
      </w:r>
      <w:r w:rsidRPr="001B370C">
        <w:rPr>
          <w:rFonts w:ascii="Times New Roman" w:hAnsi="Times New Roman"/>
          <w:sz w:val="20"/>
          <w:szCs w:val="20"/>
        </w:rPr>
        <w:t xml:space="preserve"> dilué dans l’activisme tourbillonnaire, le « devoir de mémoire », l’oubli des rituels vidés de leur signification, jusqu’à « l’édifice immense du souvenir » ressuscité par Proust, tout cela était en train de s’estomper dans le champ de la pensée pour laisser place à de fragiles archives éphémères et insignifiantes.</w:t>
      </w:r>
    </w:p>
    <w:p w14:paraId="0C836F06" w14:textId="77777777" w:rsidR="001B370C" w:rsidRPr="001B370C" w:rsidRDefault="001B370C" w:rsidP="001B370C">
      <w:pPr>
        <w:spacing w:line="240" w:lineRule="auto"/>
        <w:rPr>
          <w:rFonts w:ascii="Times New Roman" w:hAnsi="Times New Roman"/>
          <w:sz w:val="20"/>
          <w:szCs w:val="20"/>
        </w:rPr>
      </w:pPr>
      <w:r w:rsidRPr="001B370C">
        <w:rPr>
          <w:rFonts w:ascii="Times New Roman" w:hAnsi="Times New Roman"/>
          <w:sz w:val="20"/>
          <w:szCs w:val="20"/>
        </w:rPr>
        <w:t xml:space="preserve">On peut imaginer que dans un futur proche, l’humanité serait à l’échelle planétaire affligée de la maladie-sans-nom, entraînant une pulvérisation du temps, une atomisation de l’être réduit à la seule instantanéité. Sans passé, et </w:t>
      </w:r>
      <w:r w:rsidRPr="001B370C">
        <w:rPr>
          <w:rFonts w:ascii="Times New Roman" w:hAnsi="Times New Roman"/>
          <w:sz w:val="20"/>
          <w:szCs w:val="20"/>
        </w:rPr>
        <w:lastRenderedPageBreak/>
        <w:t>donc sans avenir, on n’en finirait pas de ne plus se reconnaître mutuellement, et par suite, de ne plus se connaître soi-même. » (p.85-86).</w:t>
      </w:r>
    </w:p>
    <w:p w14:paraId="2946F43A" w14:textId="77777777" w:rsidR="001B370C" w:rsidRPr="001B370C" w:rsidRDefault="001B370C" w:rsidP="001B370C">
      <w:pPr>
        <w:spacing w:line="240" w:lineRule="auto"/>
        <w:rPr>
          <w:rFonts w:ascii="Times New Roman" w:hAnsi="Times New Roman"/>
          <w:sz w:val="20"/>
          <w:szCs w:val="20"/>
        </w:rPr>
      </w:pPr>
    </w:p>
    <w:p w14:paraId="22140DA5" w14:textId="45F5FEF7" w:rsidR="003027FE" w:rsidRDefault="001B370C" w:rsidP="001B370C">
      <w:pPr>
        <w:spacing w:line="240" w:lineRule="auto"/>
        <w:rPr>
          <w:rFonts w:ascii="Times New Roman" w:hAnsi="Times New Roman"/>
          <w:sz w:val="20"/>
          <w:szCs w:val="20"/>
        </w:rPr>
      </w:pPr>
      <w:r w:rsidRPr="001B370C">
        <w:rPr>
          <w:rFonts w:ascii="Times New Roman" w:hAnsi="Times New Roman"/>
          <w:sz w:val="20"/>
          <w:szCs w:val="20"/>
        </w:rPr>
        <w:t xml:space="preserve">Jean </w:t>
      </w:r>
      <w:proofErr w:type="spellStart"/>
      <w:r w:rsidRPr="001B370C">
        <w:rPr>
          <w:rFonts w:ascii="Times New Roman" w:hAnsi="Times New Roman"/>
          <w:sz w:val="20"/>
          <w:szCs w:val="20"/>
        </w:rPr>
        <w:t>Biès</w:t>
      </w:r>
      <w:proofErr w:type="spellEnd"/>
      <w:r w:rsidRPr="001B370C">
        <w:rPr>
          <w:rFonts w:ascii="Times New Roman" w:hAnsi="Times New Roman"/>
          <w:sz w:val="20"/>
          <w:szCs w:val="20"/>
        </w:rPr>
        <w:t xml:space="preserve"> (1933-2014), </w:t>
      </w:r>
      <w:r w:rsidRPr="001B370C">
        <w:rPr>
          <w:rFonts w:ascii="Times New Roman" w:hAnsi="Times New Roman"/>
          <w:i/>
          <w:sz w:val="20"/>
          <w:szCs w:val="20"/>
        </w:rPr>
        <w:t>Le Deuil blanc. Journal d’un accompagnant</w:t>
      </w:r>
      <w:r w:rsidRPr="001B370C">
        <w:rPr>
          <w:rFonts w:ascii="Times New Roman" w:hAnsi="Times New Roman"/>
          <w:sz w:val="20"/>
          <w:szCs w:val="20"/>
        </w:rPr>
        <w:t xml:space="preserve">, </w:t>
      </w:r>
      <w:proofErr w:type="spellStart"/>
      <w:r w:rsidRPr="001B370C">
        <w:rPr>
          <w:rFonts w:ascii="Times New Roman" w:hAnsi="Times New Roman"/>
          <w:sz w:val="20"/>
          <w:szCs w:val="20"/>
        </w:rPr>
        <w:t>Hozhoni</w:t>
      </w:r>
      <w:proofErr w:type="spellEnd"/>
      <w:r w:rsidRPr="001B370C">
        <w:rPr>
          <w:rFonts w:ascii="Times New Roman" w:hAnsi="Times New Roman"/>
          <w:sz w:val="20"/>
          <w:szCs w:val="20"/>
        </w:rPr>
        <w:t>, 2015.</w:t>
      </w:r>
      <w:r w:rsidR="003027FE">
        <w:rPr>
          <w:rFonts w:ascii="Times New Roman" w:hAnsi="Times New Roman"/>
          <w:sz w:val="20"/>
          <w:szCs w:val="20"/>
        </w:rPr>
        <w:br w:type="page"/>
      </w:r>
    </w:p>
    <w:p w14:paraId="515A4A69" w14:textId="77777777" w:rsidR="007B7ADA" w:rsidRPr="00521AC6" w:rsidRDefault="007B7ADA" w:rsidP="007B7ADA">
      <w:pPr>
        <w:spacing w:line="240" w:lineRule="auto"/>
        <w:contextualSpacing/>
        <w:jc w:val="center"/>
        <w:rPr>
          <w:rFonts w:ascii="Times New Roman" w:hAnsi="Times New Roman"/>
          <w:b/>
          <w:bCs/>
          <w:sz w:val="20"/>
          <w:szCs w:val="20"/>
        </w:rPr>
      </w:pPr>
      <w:r w:rsidRPr="00521AC6">
        <w:rPr>
          <w:rFonts w:ascii="Times New Roman" w:hAnsi="Times New Roman"/>
          <w:b/>
          <w:bCs/>
          <w:sz w:val="20"/>
          <w:szCs w:val="20"/>
        </w:rPr>
        <w:lastRenderedPageBreak/>
        <w:t>Le plaidoyer de Jacques Attali en faveur de l’euthanasie (1981)</w:t>
      </w:r>
    </w:p>
    <w:p w14:paraId="0FE5797C" w14:textId="77777777" w:rsidR="007B7ADA" w:rsidRPr="00521AC6" w:rsidRDefault="007B7ADA" w:rsidP="007B7ADA">
      <w:pPr>
        <w:spacing w:line="240" w:lineRule="auto"/>
        <w:contextualSpacing/>
        <w:rPr>
          <w:rFonts w:ascii="Times New Roman" w:hAnsi="Times New Roman"/>
          <w:sz w:val="20"/>
          <w:szCs w:val="20"/>
        </w:rPr>
      </w:pPr>
    </w:p>
    <w:p w14:paraId="71724DA1" w14:textId="77777777" w:rsidR="007B7ADA"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J’ai constaté en étudiant les problèmes économiques généraux de la société occidentale que les coûts de la santé sont un des facteurs essentiels de la crise économique. » (p.265)</w:t>
      </w:r>
    </w:p>
    <w:p w14:paraId="4919138C" w14:textId="77777777" w:rsidR="007B7ADA" w:rsidRPr="00521AC6" w:rsidRDefault="007B7ADA" w:rsidP="007B7ADA">
      <w:pPr>
        <w:spacing w:line="240" w:lineRule="auto"/>
        <w:contextualSpacing/>
        <w:rPr>
          <w:rFonts w:ascii="Times New Roman" w:hAnsi="Times New Roman"/>
          <w:sz w:val="20"/>
          <w:szCs w:val="20"/>
        </w:rPr>
      </w:pPr>
    </w:p>
    <w:p w14:paraId="620FB7A7"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Aujourd’hui, la crise est triple. D’une part, comme dans la période antérieure, le système ne peut plus assurer à lui tout seul son fonctionnement. Aujourd’hui, d’une certaine façon, la médecine est largement incapable de soigner toutes les maladies car les coûts deviennent trop élevés.</w:t>
      </w:r>
    </w:p>
    <w:p w14:paraId="10055AB0"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D’autre part, on observe une perte de crédibilité du médecin. On a beaucoup plus confiance dans les données quantifiées que dans le médecin.</w:t>
      </w:r>
    </w:p>
    <w:p w14:paraId="3874BD52"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Enfin apparaissent des maladies ou des formes de comportement qui ne sont plus redevables de la médecine classique. Ces trois caractéristiques conduisent à une sorte de continuum naturel qui passe de la médecine clinique à la prothèse et j’ai essayé de distinguer trois phases qui s’interpénètrent dans cette transformation.</w:t>
      </w:r>
    </w:p>
    <w:p w14:paraId="718FD325"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Dans une première phase, le système tente de durer en surveillant ses coûts financiers. Mais cette volonté débouche sur la nécessité de surveiller les comportements et donc de définir des normes de santé, d’activités, auxquelles l’individu doit se soumettre. Ainsi apparaît la notion de profil de vue économe en dépense de santé.</w:t>
      </w:r>
    </w:p>
    <w:p w14:paraId="35A422E9" w14:textId="05B0E68E"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Dès lors, on passe à la seconde phase qui est celle de l’autodénonciation du mal grâce aux outils d’autocontrôle du comportement. L’individu peut ainsi se conformer à la norme de profil de vie et devenir autonome par rapport à sa maladie.</w:t>
      </w:r>
    </w:p>
    <w:p w14:paraId="74DC10D8" w14:textId="77777777" w:rsidR="007B7ADA"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Le principal critère du comportement était, dans le premier ordre, donner un sens à la mort, dans le second ordre, contenir la mort, dans le troisième ordre, augmenter l’espérance de vie, dans le quatrième, celui que nous vivons, c’est la recherche d’un profil de vie économe en dépenses de santé. » (p.269-270)</w:t>
      </w:r>
    </w:p>
    <w:p w14:paraId="397F2442" w14:textId="77777777" w:rsidR="007B7ADA" w:rsidRPr="00521AC6" w:rsidRDefault="007B7ADA" w:rsidP="007B7ADA">
      <w:pPr>
        <w:spacing w:line="240" w:lineRule="auto"/>
        <w:contextualSpacing/>
        <w:rPr>
          <w:rFonts w:ascii="Times New Roman" w:hAnsi="Times New Roman"/>
          <w:sz w:val="20"/>
          <w:szCs w:val="20"/>
        </w:rPr>
      </w:pPr>
    </w:p>
    <w:p w14:paraId="5D9EC022"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M. S. – Est-il possible et souhaitable de vivre 120 ans… ?</w:t>
      </w:r>
    </w:p>
    <w:p w14:paraId="2E3DAF1F"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xml:space="preserve">J. A. – Médicalement, je n’en sais rien. On m’a toujours dit que c’était possible. Est-ce souhaitable ? Je répondrai en plusieurs temps. D’abord je crois que dans la logique même du système industriel dans lequel nous nous trouvons, l’allongement de la durée de la vie n’est plus un objectif souhaité par la logique du pouvoir. Pourquoi ? Parce qu’aussi longtemps qu’il s’agissait d’allonger l’espérance de vie afin d’atteindre le seuil maximum de rentabilité de la machine humaine, </w:t>
      </w:r>
      <w:proofErr w:type="gramStart"/>
      <w:r w:rsidRPr="00521AC6">
        <w:rPr>
          <w:rFonts w:ascii="Times New Roman" w:hAnsi="Times New Roman"/>
          <w:sz w:val="20"/>
          <w:szCs w:val="20"/>
        </w:rPr>
        <w:t>en terme de</w:t>
      </w:r>
      <w:proofErr w:type="gramEnd"/>
      <w:r w:rsidRPr="00521AC6">
        <w:rPr>
          <w:rFonts w:ascii="Times New Roman" w:hAnsi="Times New Roman"/>
          <w:sz w:val="20"/>
          <w:szCs w:val="20"/>
        </w:rPr>
        <w:t xml:space="preserve"> travail, c’était parfait.</w:t>
      </w:r>
    </w:p>
    <w:p w14:paraId="0F73F8C7"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Mais dès qu’on dépasse 60/65 ans, l’homme vit plus longtemps qu’il ne produit et il coûte alors cher à la société.</w:t>
      </w:r>
    </w:p>
    <w:p w14:paraId="6F1BACD4" w14:textId="77777777"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xml:space="preserve">D’où je crois que dans la logique même de la société industrielle, l’objectif ne va plus être d’allonger l’espérance de vie, mais de faire en sorte qu’à l’intérieur même d’une durée de vie déterminée, l’homme vive le mieux possible mais de telle sorte que les dépenses de santé seront les plus réduites possible </w:t>
      </w:r>
      <w:proofErr w:type="gramStart"/>
      <w:r w:rsidRPr="00521AC6">
        <w:rPr>
          <w:rFonts w:ascii="Times New Roman" w:hAnsi="Times New Roman"/>
          <w:sz w:val="20"/>
          <w:szCs w:val="20"/>
        </w:rPr>
        <w:t>en terme de</w:t>
      </w:r>
      <w:proofErr w:type="gramEnd"/>
      <w:r w:rsidRPr="00521AC6">
        <w:rPr>
          <w:rFonts w:ascii="Times New Roman" w:hAnsi="Times New Roman"/>
          <w:sz w:val="20"/>
          <w:szCs w:val="20"/>
        </w:rPr>
        <w:t xml:space="preserve"> coûts pour la collectivité. Alors apparaît un nouveau critère d’espérance de vie : celui de la valeur d’un système de santé, fonction non pas de l’allongement de l’espérance de vie mais du nombre d’années sans maladie et particulièrement dans hospitalisation. En effet du point de vue de la société, il est bien préférable que la machine humaine s’arrête brutalement plutôt qu’elle ne se détériore progressivement.</w:t>
      </w:r>
    </w:p>
    <w:p w14:paraId="13C2263F" w14:textId="77777777" w:rsidR="007B7ADA"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xml:space="preserve">C’est parfaitement clair si l’on se rappelle que les deux tiers des dépenses de santé sont </w:t>
      </w:r>
      <w:proofErr w:type="gramStart"/>
      <w:r w:rsidRPr="00521AC6">
        <w:rPr>
          <w:rFonts w:ascii="Times New Roman" w:hAnsi="Times New Roman"/>
          <w:sz w:val="20"/>
          <w:szCs w:val="20"/>
        </w:rPr>
        <w:t>concentrées</w:t>
      </w:r>
      <w:proofErr w:type="gramEnd"/>
      <w:r w:rsidRPr="00521AC6">
        <w:rPr>
          <w:rFonts w:ascii="Times New Roman" w:hAnsi="Times New Roman"/>
          <w:sz w:val="20"/>
          <w:szCs w:val="20"/>
        </w:rPr>
        <w:t xml:space="preserve"> sur les derniers mois de la vie. De même, cynisme mis à part, les dépenses de santé n’atteindraient / pas le tiers du niveau actuel (175 milliards de francs en 1979) si les individus mouraient tous brutalement dans des accidents de voiture. Ainsi force est de reconnaître que la logique ne réside plus dans l’augmentation de l’espérance de vie mais dans celle de la durée de vie sans maladie. (p.273-274)</w:t>
      </w:r>
    </w:p>
    <w:p w14:paraId="1A4201A7" w14:textId="77777777" w:rsidR="007B7ADA" w:rsidRPr="00521AC6" w:rsidRDefault="007B7ADA" w:rsidP="007B7ADA">
      <w:pPr>
        <w:spacing w:line="240" w:lineRule="auto"/>
        <w:contextualSpacing/>
        <w:rPr>
          <w:rFonts w:ascii="Times New Roman" w:hAnsi="Times New Roman"/>
          <w:sz w:val="20"/>
          <w:szCs w:val="20"/>
        </w:rPr>
      </w:pPr>
    </w:p>
    <w:p w14:paraId="71461112" w14:textId="77777777" w:rsidR="007B7ADA"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Je suis pour ma part, en tant que socialiste, objectivement contre l’allongement de la vie parce que c’est un leurre, un faux problème. Je crois que se poser ce type de problème permet d’éviter des questions plus essentielles telle (sic) que celle de la libération du temps réellement vécu dans la vie présente. A quoi cela sert de vivre jusqu’à 100 ans, si nous gagnons 20 ans de dictature. » (p.274)</w:t>
      </w:r>
    </w:p>
    <w:p w14:paraId="2809E297" w14:textId="77777777" w:rsidR="007B7ADA" w:rsidRPr="00521AC6" w:rsidRDefault="007B7ADA" w:rsidP="007B7ADA">
      <w:pPr>
        <w:spacing w:line="240" w:lineRule="auto"/>
        <w:contextualSpacing/>
        <w:rPr>
          <w:rFonts w:ascii="Times New Roman" w:hAnsi="Times New Roman"/>
          <w:sz w:val="20"/>
          <w:szCs w:val="20"/>
        </w:rPr>
      </w:pPr>
    </w:p>
    <w:p w14:paraId="1E4688DC" w14:textId="1D7A4FCE" w:rsidR="007B7ADA" w:rsidRPr="00521AC6"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L’euthanasie sera un des instruments essentiels de nos sociétés futures dans tous les cas de figures. Dans une logique socialiste, pour commencer, le problème se pose comme suit : la logique socialiste c’est la liberté et la liberté fondamentale, c’est le suicide ; en conséquence, le droit au suicide direct ou indirect est donc une valeur absolue dans ce type de société. Dans une société capitaliste, des machines à tuer, des prothèses qui permettront d’éliminer la vie lorsqu’elle sera trop insupportable, où économiquement trop coûteuse, verront le jour et seront de pratique courante. Je pense donc que l’euthanasie, qu</w:t>
      </w:r>
      <w:r w:rsidR="008B0DB0">
        <w:rPr>
          <w:rFonts w:ascii="Times New Roman" w:hAnsi="Times New Roman"/>
          <w:sz w:val="20"/>
          <w:szCs w:val="20"/>
        </w:rPr>
        <w:t>’</w:t>
      </w:r>
      <w:r w:rsidRPr="00521AC6">
        <w:rPr>
          <w:rFonts w:ascii="Times New Roman" w:hAnsi="Times New Roman"/>
          <w:sz w:val="20"/>
          <w:szCs w:val="20"/>
        </w:rPr>
        <w:t>elle soit une valeur de liberté ou une marchandise, sera une des règles de la vie future. » (p.274-275)</w:t>
      </w:r>
    </w:p>
    <w:p w14:paraId="12FD16C6" w14:textId="77777777" w:rsidR="007B7ADA" w:rsidRDefault="007B7ADA" w:rsidP="007B7ADA">
      <w:pPr>
        <w:spacing w:line="240" w:lineRule="auto"/>
        <w:contextualSpacing/>
        <w:rPr>
          <w:rFonts w:ascii="Times New Roman" w:hAnsi="Times New Roman"/>
          <w:sz w:val="20"/>
          <w:szCs w:val="20"/>
        </w:rPr>
      </w:pPr>
    </w:p>
    <w:p w14:paraId="09432CB7" w14:textId="125F5BE9" w:rsidR="00B862AE" w:rsidRDefault="007B7ADA" w:rsidP="007B7ADA">
      <w:pPr>
        <w:spacing w:line="240" w:lineRule="auto"/>
        <w:contextualSpacing/>
        <w:rPr>
          <w:rFonts w:ascii="Times New Roman" w:hAnsi="Times New Roman"/>
          <w:sz w:val="20"/>
          <w:szCs w:val="20"/>
        </w:rPr>
      </w:pPr>
      <w:r w:rsidRPr="00521AC6">
        <w:rPr>
          <w:rFonts w:ascii="Times New Roman" w:hAnsi="Times New Roman"/>
          <w:sz w:val="20"/>
          <w:szCs w:val="20"/>
        </w:rPr>
        <w:t xml:space="preserve">Entretien de Michel Salomon avec Jacques Attali dans </w:t>
      </w:r>
      <w:r w:rsidRPr="00521AC6">
        <w:rPr>
          <w:rFonts w:ascii="Times New Roman" w:hAnsi="Times New Roman"/>
          <w:i/>
          <w:iCs/>
          <w:sz w:val="20"/>
          <w:szCs w:val="20"/>
        </w:rPr>
        <w:t>L’avenir de la vie</w:t>
      </w:r>
      <w:r w:rsidRPr="00521AC6">
        <w:rPr>
          <w:rFonts w:ascii="Times New Roman" w:hAnsi="Times New Roman"/>
          <w:sz w:val="20"/>
          <w:szCs w:val="20"/>
        </w:rPr>
        <w:t>, préface d’Edgar Morin, Paris, Seghers, 1981.</w:t>
      </w:r>
      <w:r w:rsidR="00B862AE">
        <w:rPr>
          <w:rFonts w:ascii="Times New Roman" w:hAnsi="Times New Roman"/>
          <w:sz w:val="20"/>
          <w:szCs w:val="20"/>
        </w:rPr>
        <w:br w:type="page"/>
      </w:r>
    </w:p>
    <w:p w14:paraId="2C6A9EEE" w14:textId="77777777" w:rsidR="00B862AE" w:rsidRPr="00B862AE" w:rsidRDefault="00B862AE" w:rsidP="00B862AE">
      <w:pPr>
        <w:spacing w:line="240" w:lineRule="auto"/>
        <w:jc w:val="center"/>
        <w:rPr>
          <w:rFonts w:ascii="Times New Roman" w:hAnsi="Times New Roman"/>
          <w:b/>
          <w:sz w:val="20"/>
          <w:szCs w:val="20"/>
        </w:rPr>
      </w:pPr>
      <w:r w:rsidRPr="00B862AE">
        <w:rPr>
          <w:rFonts w:ascii="Times New Roman" w:hAnsi="Times New Roman"/>
          <w:b/>
          <w:sz w:val="20"/>
          <w:szCs w:val="20"/>
        </w:rPr>
        <w:lastRenderedPageBreak/>
        <w:t>Entretien préparatoire à une interruption médicale de grossesse (IMG)</w:t>
      </w:r>
    </w:p>
    <w:p w14:paraId="115FE1C3" w14:textId="77777777" w:rsidR="00B862AE" w:rsidRPr="00B862AE" w:rsidRDefault="00B862AE" w:rsidP="00B862AE">
      <w:pPr>
        <w:spacing w:line="240" w:lineRule="auto"/>
        <w:rPr>
          <w:rFonts w:ascii="Times New Roman" w:hAnsi="Times New Roman"/>
          <w:sz w:val="20"/>
          <w:szCs w:val="20"/>
        </w:rPr>
      </w:pPr>
    </w:p>
    <w:p w14:paraId="2664AC64"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 Un cas de trisomie 21 ; lui, absent de l’entretien : ingénieur commercial ; elle, conseil en propriété industrielle, habitant Versailles, catholique.</w:t>
      </w:r>
    </w:p>
    <w:p w14:paraId="7F3634CB"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Patiente (P) – Voilà (agacée), on m’a annoncé une trisomie 21 comme ça, par téléphone. J’avoue que j’ai été un peu surprise.</w:t>
      </w:r>
    </w:p>
    <w:p w14:paraId="5D943FFD"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Médecin (M) – Avant qu’on se parle, je voudrais, madame, qu’on fasse davantage connaissance.</w:t>
      </w:r>
    </w:p>
    <w:p w14:paraId="1B67AAA6"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Très bien. (Elle raconte alors spontanément que c’est sa deuxième grossesse « heureusement », la première ayant eu lieu grâce à la procréation assistée, il y a six ans. Elle voudrait refaire des analyses pour être sûre qu’on a affaire à une trisomie. Elle se dit qu’on a peut-être fait une erreur d’éprouvette. Elle prend conscience de ma présence et, fait totalement inusité, me parle et m’invite à me rapprocher si je veux, puis me réoublie. Elle continue. Elle est prolixe. Le médecin la ramène au dossier médical.)</w:t>
      </w:r>
    </w:p>
    <w:p w14:paraId="730A5EB2"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Quel est votre âge ?</w:t>
      </w:r>
    </w:p>
    <w:p w14:paraId="6FDFBBF0"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38 ans. Je peux vous dire qu’au bout d’une semaine (depuis l’annonce), j’ai fait un travail psychologique considérable. Ça, ça vaut pour la mère (que je suis) en tout cas, pas pour le père. Il n’a même pas compris. Cela dit, moi j’ai fait une psychanalyse. J’essaye de vivre en harmonie avec tout ce que je peux vivre en profondeur. Une amie m’a fait sortir mon émotion, mon sentiment…</w:t>
      </w:r>
    </w:p>
    <w:p w14:paraId="7539C7F7"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Bon. L’échographie était normale ?</w:t>
      </w:r>
    </w:p>
    <w:p w14:paraId="44B95095"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Ben, en fait, je ne remets pas en question la médecine, hein ? Mais j’avais lu un livre sur l’</w:t>
      </w:r>
      <w:r w:rsidRPr="00B862AE">
        <w:rPr>
          <w:rFonts w:ascii="Times New Roman" w:hAnsi="Times New Roman"/>
          <w:i/>
          <w:sz w:val="20"/>
          <w:szCs w:val="20"/>
        </w:rPr>
        <w:t>Eloge de la différence</w:t>
      </w:r>
      <w:r w:rsidRPr="00B862AE">
        <w:rPr>
          <w:rFonts w:ascii="Times New Roman" w:hAnsi="Times New Roman"/>
          <w:sz w:val="20"/>
          <w:szCs w:val="20"/>
        </w:rPr>
        <w:t>… (Elle continue. Il coupe.)</w:t>
      </w:r>
    </w:p>
    <w:p w14:paraId="145535BB"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(revenant sur la question de la certitude du diagnostic) – A mon avis, c’est une erreur de faire un autre examen. Ce n’est jamais arrivé qu’on fasse une erreur de tube…</w:t>
      </w:r>
    </w:p>
    <w:p w14:paraId="23FAF2FE"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 xml:space="preserve">P – Non, non, </w:t>
      </w:r>
      <w:proofErr w:type="gramStart"/>
      <w:r w:rsidRPr="00B862AE">
        <w:rPr>
          <w:rFonts w:ascii="Times New Roman" w:hAnsi="Times New Roman"/>
          <w:sz w:val="20"/>
          <w:szCs w:val="20"/>
        </w:rPr>
        <w:t>c’est pas</w:t>
      </w:r>
      <w:proofErr w:type="gramEnd"/>
      <w:r w:rsidRPr="00B862AE">
        <w:rPr>
          <w:rFonts w:ascii="Times New Roman" w:hAnsi="Times New Roman"/>
          <w:sz w:val="20"/>
          <w:szCs w:val="20"/>
        </w:rPr>
        <w:t xml:space="preserve"> ça… Mais avorter de mon… enfant, parce que pour moi, c’est mon enfant.</w:t>
      </w:r>
    </w:p>
    <w:p w14:paraId="6D48CC9E"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Si cela ne vous est pas évident, pour nous c’est évident. Mais si vous avez un doute, à la limite, il faut le faire [l’examen]. Mais je crois finalement que ce n’est pas la peine… (Il embraye sur la description clinique du cas.) C’est des enfants qui ont des problèmes mentaux… […] C’est-à-dire qu’ils ne peuvent pas être autonomes et qu’ils ne peuvent pas s’intégrer socialement…</w:t>
      </w:r>
    </w:p>
    <w:p w14:paraId="1CDEBB24"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Oh, je ne suis pas très mondaine… mais ça veut dire qu’il ou elle – parce que c’est une petite fille ! – sera enfermé !... Intellectuellement, j’ai pris la décision, mais j’ai peur de ne pas pouvoir l’assumer.</w:t>
      </w:r>
    </w:p>
    <w:p w14:paraId="27BE23BB"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Je crois que le plus important, c’est que la décision soit prise. Ça, c’est le plus important. Et il y a un élément que vous n’avez pas pris en compte : c’est l’enfant que vous avez déjà !</w:t>
      </w:r>
    </w:p>
    <w:p w14:paraId="446D73A2"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Mais comment on fait pour prendre une décision ? Vous savez, je prends des décisions en trente secondes normalement…</w:t>
      </w:r>
    </w:p>
    <w:p w14:paraId="35F9D842"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Alors il vous faut prendre votre temps… Vous avez parlé à vos parents ? Et votre mari ?</w:t>
      </w:r>
    </w:p>
    <w:p w14:paraId="4CEA1D9D"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Ils sont tous pour l’avortement.</w:t>
      </w:r>
    </w:p>
    <w:p w14:paraId="4C7EEE5F"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Il y a bien une solution légale…</w:t>
      </w:r>
    </w:p>
    <w:p w14:paraId="3C8B804A"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L’abandon. Non, il n’en est pas question. Non… peut-être que la deuxième amniocentèse, ça serait une manière de prendre du temps ?</w:t>
      </w:r>
    </w:p>
    <w:p w14:paraId="4EC55F30"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Non, il faut décider, sinon on est dans le déni.</w:t>
      </w:r>
    </w:p>
    <w:p w14:paraId="04E19925"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Mon mari, il dit que, si je décide de poursuivre, je l’assumerai seule. Je ne peux pas.</w:t>
      </w:r>
    </w:p>
    <w:p w14:paraId="5DBCD8B6"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(un peu las) – Ça fait partie des paramètres à prendre en compte.</w:t>
      </w:r>
    </w:p>
    <w:p w14:paraId="30D2A7C4"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w:t>
      </w:r>
    </w:p>
    <w:p w14:paraId="1C7AE864"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Mais qu’est-ce qui peut m’aider à prendre une décision ?</w:t>
      </w:r>
    </w:p>
    <w:p w14:paraId="3232042B"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 Je n’ai pas moi d’opinion personnelle quant à cette grossesse-là. Mais je voudrais que vous en ayez une. Il y a des associations de parents trisomiques. Mais quand on a des enfants trisomiques, on ne peut plus avoir la même opinion que quand on en attend un.</w:t>
      </w:r>
    </w:p>
    <w:p w14:paraId="43D6B62B"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Alors autre chose : c’est un fœtus ou un embryon ?</w:t>
      </w:r>
    </w:p>
    <w:p w14:paraId="1F177394"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(soupir, un peu décontenancé) – Je n’en sais rien…</w:t>
      </w:r>
    </w:p>
    <w:p w14:paraId="61B9B414"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Parce que je suis juriste, et vous savez que l’embryon a plus de droit que le fœtus…</w:t>
      </w:r>
    </w:p>
    <w:p w14:paraId="2C3E4FC3"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(très poli) – Je crois que vous vous trompez.</w:t>
      </w:r>
    </w:p>
    <w:p w14:paraId="6D86C647"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P – Oui, enfin un enfant, un bébé, il a des droits…</w:t>
      </w:r>
    </w:p>
    <w:p w14:paraId="667174D9"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M (agacé) – C’est quoi : un embryon, un fœtus ou un bébé ?</w:t>
      </w:r>
    </w:p>
    <w:p w14:paraId="299C87C5"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 xml:space="preserve">P – Un bébé, c’est un bébé, c’est mon bébé. D’accord, pour les autres, </w:t>
      </w:r>
      <w:proofErr w:type="gramStart"/>
      <w:r w:rsidRPr="00B862AE">
        <w:rPr>
          <w:rFonts w:ascii="Times New Roman" w:hAnsi="Times New Roman"/>
          <w:sz w:val="20"/>
          <w:szCs w:val="20"/>
        </w:rPr>
        <w:t>c’est pas</w:t>
      </w:r>
      <w:proofErr w:type="gramEnd"/>
      <w:r w:rsidRPr="00B862AE">
        <w:rPr>
          <w:rFonts w:ascii="Times New Roman" w:hAnsi="Times New Roman"/>
          <w:sz w:val="20"/>
          <w:szCs w:val="20"/>
        </w:rPr>
        <w:t xml:space="preserve"> un bébé, c’est un « embryon et dépêche-toi d’aller avorter ». Ça n’arrête pas ! Pour moi, ça fait trois mois que c’est un bébé ; et puis, tout d’un coup, « c’est un embryon ». Mais attendez ! Même mon mari ! Et ma cousine : elle m’a dit : « Je me suis renseignée, c’est un embryon, qu’il n’était même pas sexué, et (elle m’a dit) que c’était… rien. » Alors du coup, j’ai fait des recherches dans les textes du code de la santé publique. Parce qu’on m’interdit de me sentir mère ! Mais moi je me sens mère ! Bon… Je vais avorter, mais je veux faire le BIEN. Ça fait une semaine (que je pense ainsi) : je voudrais savoir si j’ai l’autorité parentale sur ce bébé, si je pourrais donc l’inscrire sur le livret de famille, le faire enterrer. J’ai fait disjoncter tout le monde en leur disant que je vais assister à l’enterrement. […] Pour eux, </w:t>
      </w:r>
      <w:r w:rsidRPr="00B862AE">
        <w:rPr>
          <w:rFonts w:ascii="Times New Roman" w:hAnsi="Times New Roman"/>
          <w:sz w:val="20"/>
          <w:szCs w:val="20"/>
        </w:rPr>
        <w:lastRenderedPageBreak/>
        <w:t xml:space="preserve">on avorte, </w:t>
      </w:r>
      <w:proofErr w:type="gramStart"/>
      <w:r w:rsidRPr="00B862AE">
        <w:rPr>
          <w:rFonts w:ascii="Times New Roman" w:hAnsi="Times New Roman"/>
          <w:sz w:val="20"/>
          <w:szCs w:val="20"/>
        </w:rPr>
        <w:t>c’est rien</w:t>
      </w:r>
      <w:proofErr w:type="gramEnd"/>
      <w:r w:rsidRPr="00B862AE">
        <w:rPr>
          <w:rFonts w:ascii="Times New Roman" w:hAnsi="Times New Roman"/>
          <w:sz w:val="20"/>
          <w:szCs w:val="20"/>
        </w:rPr>
        <w:t>, après on en a un autre derrière, même deux. Mais moi, je me fous des autres ! Mon problème, c’est que je</w:t>
      </w:r>
      <w:r w:rsidRPr="00B862AE">
        <w:rPr>
          <w:rFonts w:ascii="Times New Roman" w:hAnsi="Times New Roman"/>
          <w:i/>
          <w:sz w:val="20"/>
          <w:szCs w:val="20"/>
        </w:rPr>
        <w:t xml:space="preserve"> suis</w:t>
      </w:r>
      <w:r w:rsidRPr="00B862AE">
        <w:rPr>
          <w:rFonts w:ascii="Times New Roman" w:hAnsi="Times New Roman"/>
          <w:sz w:val="20"/>
          <w:szCs w:val="20"/>
        </w:rPr>
        <w:t xml:space="preserve"> mère, et de cet enfant-là. Je ne vois pas la trisomie. Et comment je peux faire qu’il n’existe pas ? […] Etc.</w:t>
      </w:r>
    </w:p>
    <w:p w14:paraId="7511495C"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 xml:space="preserve">Le médecin raccompagne la patiente puis rentre, faisant mine comiquement de s’essuyer le front, puis, gentiment : « Vous avez vu, hein, c’était chiant. Et c’était </w:t>
      </w:r>
      <w:proofErr w:type="spellStart"/>
      <w:r w:rsidRPr="00B862AE">
        <w:rPr>
          <w:rFonts w:ascii="Times New Roman" w:hAnsi="Times New Roman"/>
          <w:sz w:val="20"/>
          <w:szCs w:val="20"/>
        </w:rPr>
        <w:t>looong</w:t>
      </w:r>
      <w:proofErr w:type="spellEnd"/>
      <w:r w:rsidRPr="00B862AE">
        <w:rPr>
          <w:rFonts w:ascii="Times New Roman" w:hAnsi="Times New Roman"/>
          <w:sz w:val="20"/>
          <w:szCs w:val="20"/>
        </w:rPr>
        <w:t xml:space="preserve"> !!... Et, en même temps… c’est mieux comme ça : il faut bien qu’ils fassent leur décision ! Et puis, comme elle a oublié d’être bête, elle va réfléchir… » </w:t>
      </w:r>
    </w:p>
    <w:p w14:paraId="3338427D" w14:textId="77777777" w:rsidR="00B862AE"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La patiente a réclamé et obtenu d’attendre avant de prendre sa décision. Elle veut continuer à interroger ses proches. Elle a repris rendez-vous avec le médecin et finira par faire une IMG dans son service. »</w:t>
      </w:r>
    </w:p>
    <w:p w14:paraId="105B76D3" w14:textId="77777777" w:rsidR="00B862AE" w:rsidRPr="00B862AE" w:rsidRDefault="00B862AE" w:rsidP="00B862AE">
      <w:pPr>
        <w:spacing w:line="240" w:lineRule="auto"/>
        <w:rPr>
          <w:rFonts w:ascii="Times New Roman" w:hAnsi="Times New Roman"/>
          <w:sz w:val="20"/>
          <w:szCs w:val="20"/>
        </w:rPr>
      </w:pPr>
    </w:p>
    <w:p w14:paraId="6D1DD469" w14:textId="1FEA4616" w:rsidR="001B370C" w:rsidRPr="00B862AE" w:rsidRDefault="00B862AE" w:rsidP="00B862AE">
      <w:pPr>
        <w:spacing w:line="240" w:lineRule="auto"/>
        <w:rPr>
          <w:rFonts w:ascii="Times New Roman" w:hAnsi="Times New Roman"/>
          <w:sz w:val="20"/>
          <w:szCs w:val="20"/>
        </w:rPr>
      </w:pPr>
      <w:r w:rsidRPr="00B862AE">
        <w:rPr>
          <w:rFonts w:ascii="Times New Roman" w:hAnsi="Times New Roman"/>
          <w:sz w:val="20"/>
          <w:szCs w:val="20"/>
        </w:rPr>
        <w:t xml:space="preserve">Dominique Memmi, </w:t>
      </w:r>
      <w:r w:rsidRPr="00B862AE">
        <w:rPr>
          <w:rFonts w:ascii="Times New Roman" w:hAnsi="Times New Roman"/>
          <w:i/>
          <w:sz w:val="20"/>
          <w:szCs w:val="20"/>
        </w:rPr>
        <w:t>Faire vivre et laisser mourir. Le gouvernement contemporain de la naissance et de la mort</w:t>
      </w:r>
      <w:r w:rsidRPr="00B862AE">
        <w:rPr>
          <w:rFonts w:ascii="Times New Roman" w:hAnsi="Times New Roman"/>
          <w:sz w:val="20"/>
          <w:szCs w:val="20"/>
        </w:rPr>
        <w:t>, Paris, Le Découverte, coll. « politique et société », 2003, 305 p.</w:t>
      </w:r>
    </w:p>
    <w:p w14:paraId="765C2BBC" w14:textId="77777777" w:rsidR="001B370C" w:rsidRPr="001B370C" w:rsidRDefault="001B370C" w:rsidP="001B370C">
      <w:pPr>
        <w:spacing w:line="240" w:lineRule="auto"/>
        <w:rPr>
          <w:rFonts w:ascii="Times New Roman" w:hAnsi="Times New Roman"/>
          <w:sz w:val="20"/>
          <w:szCs w:val="20"/>
        </w:rPr>
      </w:pPr>
    </w:p>
    <w:p w14:paraId="4906BF5C" w14:textId="77777777" w:rsidR="002A2B46" w:rsidRPr="00347144" w:rsidRDefault="002A2B46" w:rsidP="00347144">
      <w:pPr>
        <w:spacing w:line="240" w:lineRule="auto"/>
        <w:rPr>
          <w:rFonts w:ascii="Times New Roman" w:hAnsi="Times New Roman"/>
          <w:sz w:val="20"/>
          <w:szCs w:val="20"/>
        </w:rPr>
      </w:pPr>
    </w:p>
    <w:p w14:paraId="22E81433" w14:textId="77777777" w:rsidR="0015192E" w:rsidRPr="00787E13" w:rsidRDefault="0015192E" w:rsidP="001B370C">
      <w:pPr>
        <w:spacing w:line="360" w:lineRule="auto"/>
        <w:jc w:val="left"/>
        <w:rPr>
          <w:rFonts w:ascii="Times New Roman" w:hAnsi="Times New Roman"/>
          <w:sz w:val="24"/>
        </w:rPr>
      </w:pPr>
    </w:p>
    <w:sectPr w:rsidR="0015192E" w:rsidRPr="00787E13">
      <w:headerReference w:type="even" r:id="rId14"/>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06E9E" w14:textId="77777777" w:rsidR="000E3D53" w:rsidRDefault="000E3D53">
      <w:r>
        <w:separator/>
      </w:r>
    </w:p>
  </w:endnote>
  <w:endnote w:type="continuationSeparator" w:id="0">
    <w:p w14:paraId="736AF2F3" w14:textId="77777777" w:rsidR="000E3D53" w:rsidRDefault="000E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idot">
    <w:altName w:val="Times New Roman"/>
    <w:charset w:val="B1"/>
    <w:family w:val="auto"/>
    <w:pitch w:val="variable"/>
    <w:sig w:usb0="00000000"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2903A" w14:textId="77777777" w:rsidR="000E3D53" w:rsidRDefault="000E3D53">
      <w:r>
        <w:separator/>
      </w:r>
    </w:p>
  </w:footnote>
  <w:footnote w:type="continuationSeparator" w:id="0">
    <w:p w14:paraId="03512B7A" w14:textId="77777777" w:rsidR="000E3D53" w:rsidRDefault="000E3D53">
      <w:r>
        <w:continuationSeparator/>
      </w:r>
    </w:p>
  </w:footnote>
  <w:footnote w:id="1">
    <w:p w14:paraId="05712397" w14:textId="77777777" w:rsidR="00800138" w:rsidRPr="00514936" w:rsidRDefault="00800138" w:rsidP="00800138">
      <w:pPr>
        <w:pStyle w:val="Notedebasdepage"/>
      </w:pPr>
      <w:r w:rsidRPr="00514936">
        <w:rPr>
          <w:rStyle w:val="Appelnotedebasdep"/>
        </w:rPr>
        <w:footnoteRef/>
      </w:r>
      <w:r>
        <w:t xml:space="preserve"> À</w:t>
      </w:r>
      <w:r w:rsidRPr="00514936">
        <w:t xml:space="preserve"> Tarbes.</w:t>
      </w:r>
    </w:p>
  </w:footnote>
  <w:footnote w:id="2">
    <w:p w14:paraId="606F1033" w14:textId="77777777" w:rsidR="009D7219" w:rsidRPr="00AE2D74" w:rsidRDefault="009D7219" w:rsidP="009D7219">
      <w:pPr>
        <w:pStyle w:val="Notedebasdepage"/>
      </w:pPr>
      <w:r w:rsidRPr="00AE2D74">
        <w:rPr>
          <w:rStyle w:val="Appelnotedebasdep"/>
        </w:rPr>
        <w:footnoteRef/>
      </w:r>
      <w:r w:rsidRPr="00AE2D74">
        <w:t xml:space="preserve"> Ici il se réfère au livre de Marie Bonaparte, </w:t>
      </w:r>
      <w:r w:rsidRPr="00AE2D74">
        <w:rPr>
          <w:i/>
        </w:rPr>
        <w:t>Mythes de guerre</w:t>
      </w:r>
      <w:r w:rsidRPr="00AE2D74">
        <w:t>, PUF, 1950 (1</w:t>
      </w:r>
      <w:r w:rsidRPr="00AE2D74">
        <w:rPr>
          <w:vertAlign w:val="superscript"/>
        </w:rPr>
        <w:t>ère</w:t>
      </w:r>
      <w:r w:rsidRPr="00AE2D74">
        <w:t xml:space="preserve"> éd. Londres, 1946).</w:t>
      </w:r>
    </w:p>
  </w:footnote>
  <w:footnote w:id="3">
    <w:p w14:paraId="1FCD6526" w14:textId="77777777" w:rsidR="00175AB8" w:rsidRPr="001B5FDD" w:rsidRDefault="00175AB8" w:rsidP="00175AB8">
      <w:pPr>
        <w:pStyle w:val="Notedebasdepage"/>
      </w:pPr>
      <w:r w:rsidRPr="001B5FDD">
        <w:rPr>
          <w:rStyle w:val="Appelnotedebasdep"/>
        </w:rPr>
        <w:footnoteRef/>
      </w:r>
      <w:r w:rsidRPr="001B5FDD">
        <w:t xml:space="preserve"> </w:t>
      </w:r>
      <w:r w:rsidRPr="001B5FDD">
        <w:rPr>
          <w:i/>
        </w:rPr>
        <w:t>Le Figaro</w:t>
      </w:r>
      <w:r w:rsidRPr="001B5FDD">
        <w:t xml:space="preserve"> et </w:t>
      </w:r>
      <w:r w:rsidRPr="001B5FDD">
        <w:rPr>
          <w:i/>
        </w:rPr>
        <w:t>Le Monde</w:t>
      </w:r>
      <w:r w:rsidRPr="001B5FDD">
        <w:t>.</w:t>
      </w:r>
    </w:p>
  </w:footnote>
  <w:footnote w:id="4">
    <w:p w14:paraId="25AE1682" w14:textId="77777777" w:rsidR="00175AB8" w:rsidRPr="001B5FDD" w:rsidRDefault="00175AB8" w:rsidP="00175AB8">
      <w:pPr>
        <w:pStyle w:val="Notedebasdepage"/>
      </w:pPr>
      <w:r w:rsidRPr="001B5FDD">
        <w:rPr>
          <w:rStyle w:val="Appelnotedebasdep"/>
        </w:rPr>
        <w:footnoteRef/>
      </w:r>
      <w:r w:rsidRPr="001B5FDD">
        <w:t xml:space="preserve"> Auguste Detoeuf, </w:t>
      </w:r>
      <w:r w:rsidRPr="001B5FDD">
        <w:rPr>
          <w:i/>
        </w:rPr>
        <w:t>Propos de O.-L. Barenton</w:t>
      </w:r>
      <w:r>
        <w:rPr>
          <w:i/>
        </w:rPr>
        <w:t>, confiseur, ancien élève de l’É</w:t>
      </w:r>
      <w:r w:rsidRPr="001B5FDD">
        <w:rPr>
          <w:i/>
        </w:rPr>
        <w:t>cole Polytechnique</w:t>
      </w:r>
      <w:r>
        <w:t>, Paris, É</w:t>
      </w:r>
      <w:r w:rsidRPr="001B5FDD">
        <w:t>ditions du Tambourinaire, 1948.</w:t>
      </w:r>
    </w:p>
  </w:footnote>
  <w:footnote w:id="5">
    <w:p w14:paraId="22A23971" w14:textId="77777777" w:rsidR="00175AB8" w:rsidRPr="00DA07E9" w:rsidRDefault="00175AB8" w:rsidP="00175AB8">
      <w:pPr>
        <w:pStyle w:val="Notedebasdepage"/>
      </w:pPr>
      <w:r w:rsidRPr="00DA07E9">
        <w:rPr>
          <w:rStyle w:val="Appelnotedebasdep"/>
        </w:rPr>
        <w:footnoteRef/>
      </w:r>
      <w:r w:rsidRPr="00DA07E9">
        <w:t xml:space="preserve"> Claude François en 1978, Georges Brassens en 1981, Tino Rossi en 1983.</w:t>
      </w:r>
    </w:p>
  </w:footnote>
  <w:footnote w:id="6">
    <w:p w14:paraId="44827114" w14:textId="77777777" w:rsidR="00D21909" w:rsidRPr="00D8562F" w:rsidRDefault="00D21909" w:rsidP="00D1640D">
      <w:pPr>
        <w:pStyle w:val="Notedebasdepage"/>
      </w:pPr>
      <w:r w:rsidRPr="00D8562F">
        <w:rPr>
          <w:rStyle w:val="Appelnotedebasdep"/>
        </w:rPr>
        <w:footnoteRef/>
      </w:r>
      <w:r w:rsidRPr="00D8562F">
        <w:t xml:space="preserve"> L’expression de « soins palliatifs » désigne l’effort mené pour atténuer les symptômes d’une maladie, sans nécessairement agir sur sa cause. Il s’agit, dans les institutions citées, de « contrôler » les inconforts dus à la maladie [note du texte].</w:t>
      </w:r>
    </w:p>
  </w:footnote>
  <w:footnote w:id="7">
    <w:p w14:paraId="5B38DB9D" w14:textId="77777777" w:rsidR="00D21909" w:rsidRPr="00D8562F" w:rsidRDefault="00D21909" w:rsidP="00D1640D">
      <w:pPr>
        <w:pStyle w:val="Notedebasdepage"/>
      </w:pPr>
      <w:r w:rsidRPr="00D8562F">
        <w:rPr>
          <w:rStyle w:val="Appelnotedebasdep"/>
        </w:rPr>
        <w:footnoteRef/>
      </w:r>
      <w:r w:rsidRPr="00D8562F">
        <w:t xml:space="preserve"> Cette expression a été forgée par Cicely Saunders, fondatrice de St-Christopher Hospice à Londres, pour désigner les multiples composantes de la souffrance chronique : physique, psychologique, spirituelle et sociale [note du texte]</w:t>
      </w:r>
    </w:p>
  </w:footnote>
  <w:footnote w:id="8">
    <w:p w14:paraId="2F4DFD96" w14:textId="77777777" w:rsidR="00570097" w:rsidRDefault="00570097" w:rsidP="00570097">
      <w:pPr>
        <w:pStyle w:val="Notedebasdepage"/>
      </w:pPr>
      <w:r>
        <w:rPr>
          <w:rStyle w:val="Appelnotedebasdep"/>
        </w:rPr>
        <w:footnoteRef/>
      </w:r>
      <w:r>
        <w:t xml:space="preserve"> Ce n’est plus le cas aujourd’hui.</w:t>
      </w:r>
    </w:p>
  </w:footnote>
  <w:footnote w:id="9">
    <w:p w14:paraId="5E063E61" w14:textId="77777777" w:rsidR="00D21909" w:rsidRDefault="00D21909" w:rsidP="001B370C">
      <w:pPr>
        <w:pStyle w:val="Notedebasdepage"/>
      </w:pPr>
      <w:r>
        <w:rPr>
          <w:rStyle w:val="Appelnotedebasdep"/>
        </w:rPr>
        <w:footnoteRef/>
      </w:r>
      <w:r>
        <w:t xml:space="preserve"> Du nom de Didier Sicard, président de cette Commission de réflexion sur la fin de vie créée par François Hollande en juillet 2012, à la suite de la proposition 21 de son programme électoral.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895B" w14:textId="77777777" w:rsidR="00D21909" w:rsidRDefault="00D21909" w:rsidP="00AB5661">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D6C5228" w14:textId="77777777" w:rsidR="00D21909" w:rsidRDefault="00D2190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DABC" w14:textId="77777777" w:rsidR="00D21909" w:rsidRDefault="00D21909" w:rsidP="00AB5661">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00138">
      <w:rPr>
        <w:rStyle w:val="Numrodepage"/>
        <w:noProof/>
      </w:rPr>
      <w:t>21</w:t>
    </w:r>
    <w:r>
      <w:rPr>
        <w:rStyle w:val="Numrodepage"/>
      </w:rPr>
      <w:fldChar w:fldCharType="end"/>
    </w:r>
  </w:p>
  <w:p w14:paraId="51083118" w14:textId="77777777" w:rsidR="00D21909" w:rsidRDefault="00D219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3A1E"/>
    <w:multiLevelType w:val="multilevel"/>
    <w:tmpl w:val="7E563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95D64"/>
    <w:multiLevelType w:val="hybridMultilevel"/>
    <w:tmpl w:val="714CE95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1203398B"/>
    <w:multiLevelType w:val="hybridMultilevel"/>
    <w:tmpl w:val="841E137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1616718F"/>
    <w:multiLevelType w:val="hybridMultilevel"/>
    <w:tmpl w:val="F77049B0"/>
    <w:lvl w:ilvl="0" w:tplc="B030C13E">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BC92280"/>
    <w:multiLevelType w:val="hybridMultilevel"/>
    <w:tmpl w:val="4524F2F8"/>
    <w:lvl w:ilvl="0" w:tplc="32A8D5EC">
      <w:start w:val="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B3728B"/>
    <w:multiLevelType w:val="multilevel"/>
    <w:tmpl w:val="18A82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B025A1"/>
    <w:multiLevelType w:val="hybridMultilevel"/>
    <w:tmpl w:val="CE8A37B8"/>
    <w:lvl w:ilvl="0" w:tplc="0C22E81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3C055A2A"/>
    <w:multiLevelType w:val="hybridMultilevel"/>
    <w:tmpl w:val="FA0AFB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DF6568"/>
    <w:multiLevelType w:val="hybridMultilevel"/>
    <w:tmpl w:val="163C64DE"/>
    <w:lvl w:ilvl="0" w:tplc="F48AD424">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FF24C5"/>
    <w:multiLevelType w:val="hybridMultilevel"/>
    <w:tmpl w:val="EC60E430"/>
    <w:lvl w:ilvl="0" w:tplc="2E80458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733D02"/>
    <w:multiLevelType w:val="hybridMultilevel"/>
    <w:tmpl w:val="CC1A8C6C"/>
    <w:lvl w:ilvl="0" w:tplc="A0ECEB6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7EF5B27"/>
    <w:multiLevelType w:val="multilevel"/>
    <w:tmpl w:val="6B727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924DBA"/>
    <w:multiLevelType w:val="multilevel"/>
    <w:tmpl w:val="3E7EE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BC3825"/>
    <w:multiLevelType w:val="hybridMultilevel"/>
    <w:tmpl w:val="6AD261B2"/>
    <w:lvl w:ilvl="0" w:tplc="82022AF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5888110B"/>
    <w:multiLevelType w:val="hybridMultilevel"/>
    <w:tmpl w:val="439AB798"/>
    <w:lvl w:ilvl="0" w:tplc="BD645E8A">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E05D75"/>
    <w:multiLevelType w:val="hybridMultilevel"/>
    <w:tmpl w:val="ADD0B342"/>
    <w:lvl w:ilvl="0" w:tplc="F456273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5D9B4EB6"/>
    <w:multiLevelType w:val="hybridMultilevel"/>
    <w:tmpl w:val="683053BC"/>
    <w:lvl w:ilvl="0" w:tplc="2A2057A2">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4A645C"/>
    <w:multiLevelType w:val="hybridMultilevel"/>
    <w:tmpl w:val="9DF66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5507DEE"/>
    <w:multiLevelType w:val="multilevel"/>
    <w:tmpl w:val="BE14B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3252F"/>
    <w:multiLevelType w:val="hybridMultilevel"/>
    <w:tmpl w:val="2934F7FE"/>
    <w:lvl w:ilvl="0" w:tplc="459AAEC4">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4B650A"/>
    <w:multiLevelType w:val="multilevel"/>
    <w:tmpl w:val="107A7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8E13F9"/>
    <w:multiLevelType w:val="multilevel"/>
    <w:tmpl w:val="D7F0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241634"/>
    <w:multiLevelType w:val="hybridMultilevel"/>
    <w:tmpl w:val="62E8BA50"/>
    <w:lvl w:ilvl="0" w:tplc="3B2A319A">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94A658C"/>
    <w:multiLevelType w:val="hybridMultilevel"/>
    <w:tmpl w:val="3F2A8FEA"/>
    <w:lvl w:ilvl="0" w:tplc="A9103428">
      <w:start w:val="1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3"/>
  </w:num>
  <w:num w:numId="3">
    <w:abstractNumId w:val="14"/>
  </w:num>
  <w:num w:numId="4">
    <w:abstractNumId w:val="16"/>
  </w:num>
  <w:num w:numId="5">
    <w:abstractNumId w:val="19"/>
  </w:num>
  <w:num w:numId="6">
    <w:abstractNumId w:val="8"/>
  </w:num>
  <w:num w:numId="7">
    <w:abstractNumId w:val="22"/>
  </w:num>
  <w:num w:numId="8">
    <w:abstractNumId w:val="7"/>
  </w:num>
  <w:num w:numId="9">
    <w:abstractNumId w:val="0"/>
  </w:num>
  <w:num w:numId="10">
    <w:abstractNumId w:val="20"/>
  </w:num>
  <w:num w:numId="11">
    <w:abstractNumId w:val="5"/>
  </w:num>
  <w:num w:numId="12">
    <w:abstractNumId w:val="18"/>
  </w:num>
  <w:num w:numId="13">
    <w:abstractNumId w:val="21"/>
  </w:num>
  <w:num w:numId="14">
    <w:abstractNumId w:val="12"/>
  </w:num>
  <w:num w:numId="15">
    <w:abstractNumId w:val="11"/>
  </w:num>
  <w:num w:numId="16">
    <w:abstractNumId w:val="10"/>
  </w:num>
  <w:num w:numId="17">
    <w:abstractNumId w:val="4"/>
  </w:num>
  <w:num w:numId="18">
    <w:abstractNumId w:val="9"/>
  </w:num>
  <w:num w:numId="19">
    <w:abstractNumId w:val="1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6"/>
  </w:num>
  <w:num w:numId="23">
    <w:abstractNumId w:val="17"/>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A43"/>
    <w:rsid w:val="00003F4F"/>
    <w:rsid w:val="0000514C"/>
    <w:rsid w:val="00006DBE"/>
    <w:rsid w:val="00016457"/>
    <w:rsid w:val="00033405"/>
    <w:rsid w:val="0003548E"/>
    <w:rsid w:val="0006146A"/>
    <w:rsid w:val="000665CD"/>
    <w:rsid w:val="0007267F"/>
    <w:rsid w:val="00072771"/>
    <w:rsid w:val="00073BBD"/>
    <w:rsid w:val="00074819"/>
    <w:rsid w:val="00082BF6"/>
    <w:rsid w:val="00086363"/>
    <w:rsid w:val="00095BF4"/>
    <w:rsid w:val="000A1022"/>
    <w:rsid w:val="000A4F8D"/>
    <w:rsid w:val="000B14C0"/>
    <w:rsid w:val="000C7CEB"/>
    <w:rsid w:val="000D1115"/>
    <w:rsid w:val="000D29A3"/>
    <w:rsid w:val="000D2EBE"/>
    <w:rsid w:val="000E3D53"/>
    <w:rsid w:val="000E53AF"/>
    <w:rsid w:val="000F5402"/>
    <w:rsid w:val="000F5833"/>
    <w:rsid w:val="000F7DBB"/>
    <w:rsid w:val="00106BC6"/>
    <w:rsid w:val="001168EF"/>
    <w:rsid w:val="00120FE4"/>
    <w:rsid w:val="00121353"/>
    <w:rsid w:val="00121A7E"/>
    <w:rsid w:val="001241E3"/>
    <w:rsid w:val="00126F74"/>
    <w:rsid w:val="00134C38"/>
    <w:rsid w:val="00143ED1"/>
    <w:rsid w:val="0015192E"/>
    <w:rsid w:val="001524ED"/>
    <w:rsid w:val="00155747"/>
    <w:rsid w:val="0016482F"/>
    <w:rsid w:val="0016703D"/>
    <w:rsid w:val="00167A4D"/>
    <w:rsid w:val="001701F8"/>
    <w:rsid w:val="00175AB8"/>
    <w:rsid w:val="001A5B62"/>
    <w:rsid w:val="001B1ED1"/>
    <w:rsid w:val="001B3689"/>
    <w:rsid w:val="001B370C"/>
    <w:rsid w:val="001B4030"/>
    <w:rsid w:val="001C0F98"/>
    <w:rsid w:val="001C2665"/>
    <w:rsid w:val="001C559A"/>
    <w:rsid w:val="001C6885"/>
    <w:rsid w:val="001C7678"/>
    <w:rsid w:val="001D097E"/>
    <w:rsid w:val="001D3959"/>
    <w:rsid w:val="001E1A0C"/>
    <w:rsid w:val="001E1D1F"/>
    <w:rsid w:val="001E5DD8"/>
    <w:rsid w:val="001E77CA"/>
    <w:rsid w:val="001E7F41"/>
    <w:rsid w:val="001F5530"/>
    <w:rsid w:val="002016E8"/>
    <w:rsid w:val="00201EDF"/>
    <w:rsid w:val="00212536"/>
    <w:rsid w:val="002238CD"/>
    <w:rsid w:val="00234D29"/>
    <w:rsid w:val="00235406"/>
    <w:rsid w:val="002366D6"/>
    <w:rsid w:val="002427D0"/>
    <w:rsid w:val="00245A82"/>
    <w:rsid w:val="00250E2F"/>
    <w:rsid w:val="00262B19"/>
    <w:rsid w:val="00266F13"/>
    <w:rsid w:val="00274D1A"/>
    <w:rsid w:val="00281096"/>
    <w:rsid w:val="00284021"/>
    <w:rsid w:val="0028718D"/>
    <w:rsid w:val="00290B3E"/>
    <w:rsid w:val="002A17F5"/>
    <w:rsid w:val="002A2B46"/>
    <w:rsid w:val="002A380E"/>
    <w:rsid w:val="002A55DB"/>
    <w:rsid w:val="002A564E"/>
    <w:rsid w:val="002B0D1C"/>
    <w:rsid w:val="002C204A"/>
    <w:rsid w:val="002E53D8"/>
    <w:rsid w:val="002F36D7"/>
    <w:rsid w:val="002F46C9"/>
    <w:rsid w:val="00300496"/>
    <w:rsid w:val="003027FE"/>
    <w:rsid w:val="00304F56"/>
    <w:rsid w:val="00305EA8"/>
    <w:rsid w:val="0031093A"/>
    <w:rsid w:val="00314CED"/>
    <w:rsid w:val="00314F7D"/>
    <w:rsid w:val="00321C91"/>
    <w:rsid w:val="00324D3C"/>
    <w:rsid w:val="00337054"/>
    <w:rsid w:val="00341DE0"/>
    <w:rsid w:val="00345210"/>
    <w:rsid w:val="00346E02"/>
    <w:rsid w:val="00347144"/>
    <w:rsid w:val="00357ACF"/>
    <w:rsid w:val="0036443A"/>
    <w:rsid w:val="00364F33"/>
    <w:rsid w:val="003A73DA"/>
    <w:rsid w:val="003B3B0A"/>
    <w:rsid w:val="003B3C32"/>
    <w:rsid w:val="003B6EBB"/>
    <w:rsid w:val="003C203D"/>
    <w:rsid w:val="003C793C"/>
    <w:rsid w:val="003D0AB5"/>
    <w:rsid w:val="003D629D"/>
    <w:rsid w:val="003E2E2E"/>
    <w:rsid w:val="003E3504"/>
    <w:rsid w:val="003E3A6B"/>
    <w:rsid w:val="003F2790"/>
    <w:rsid w:val="003F3B7D"/>
    <w:rsid w:val="003F7D3A"/>
    <w:rsid w:val="00401461"/>
    <w:rsid w:val="004107B7"/>
    <w:rsid w:val="004145A6"/>
    <w:rsid w:val="00416994"/>
    <w:rsid w:val="00417B9D"/>
    <w:rsid w:val="00422A0F"/>
    <w:rsid w:val="00427388"/>
    <w:rsid w:val="00441C0A"/>
    <w:rsid w:val="0045081E"/>
    <w:rsid w:val="0046128D"/>
    <w:rsid w:val="004664CD"/>
    <w:rsid w:val="00471882"/>
    <w:rsid w:val="00472118"/>
    <w:rsid w:val="00483D62"/>
    <w:rsid w:val="00484084"/>
    <w:rsid w:val="00484EE1"/>
    <w:rsid w:val="00485E25"/>
    <w:rsid w:val="00491FBC"/>
    <w:rsid w:val="00492CF2"/>
    <w:rsid w:val="00493C75"/>
    <w:rsid w:val="00495983"/>
    <w:rsid w:val="00496212"/>
    <w:rsid w:val="00496875"/>
    <w:rsid w:val="004A6A10"/>
    <w:rsid w:val="004B59F7"/>
    <w:rsid w:val="004C0C11"/>
    <w:rsid w:val="004C3928"/>
    <w:rsid w:val="004C6C4E"/>
    <w:rsid w:val="004D6819"/>
    <w:rsid w:val="004E07F4"/>
    <w:rsid w:val="004F05B6"/>
    <w:rsid w:val="004F2426"/>
    <w:rsid w:val="004F677F"/>
    <w:rsid w:val="004F69A5"/>
    <w:rsid w:val="00503C8B"/>
    <w:rsid w:val="00505B17"/>
    <w:rsid w:val="00514730"/>
    <w:rsid w:val="005203B9"/>
    <w:rsid w:val="0052355A"/>
    <w:rsid w:val="00531C8D"/>
    <w:rsid w:val="00540DAE"/>
    <w:rsid w:val="005454A1"/>
    <w:rsid w:val="00547D58"/>
    <w:rsid w:val="0055608D"/>
    <w:rsid w:val="00566A43"/>
    <w:rsid w:val="00570097"/>
    <w:rsid w:val="0057134C"/>
    <w:rsid w:val="00584317"/>
    <w:rsid w:val="00591BA5"/>
    <w:rsid w:val="005A29B8"/>
    <w:rsid w:val="005A372A"/>
    <w:rsid w:val="005A59E9"/>
    <w:rsid w:val="005A76ED"/>
    <w:rsid w:val="005B5E16"/>
    <w:rsid w:val="005B68A6"/>
    <w:rsid w:val="005D264D"/>
    <w:rsid w:val="005D5E01"/>
    <w:rsid w:val="005F357A"/>
    <w:rsid w:val="005F414D"/>
    <w:rsid w:val="005F7BBF"/>
    <w:rsid w:val="0060196D"/>
    <w:rsid w:val="00601A76"/>
    <w:rsid w:val="006062D8"/>
    <w:rsid w:val="00623BEF"/>
    <w:rsid w:val="00625A08"/>
    <w:rsid w:val="00626D4F"/>
    <w:rsid w:val="00626F8E"/>
    <w:rsid w:val="006273C2"/>
    <w:rsid w:val="006366D6"/>
    <w:rsid w:val="00640415"/>
    <w:rsid w:val="0064347A"/>
    <w:rsid w:val="00650E04"/>
    <w:rsid w:val="0065261E"/>
    <w:rsid w:val="00655CD4"/>
    <w:rsid w:val="006613AE"/>
    <w:rsid w:val="00664F46"/>
    <w:rsid w:val="0068381C"/>
    <w:rsid w:val="0069543D"/>
    <w:rsid w:val="006A1267"/>
    <w:rsid w:val="006A6184"/>
    <w:rsid w:val="006B5441"/>
    <w:rsid w:val="006C1E24"/>
    <w:rsid w:val="006C6DA1"/>
    <w:rsid w:val="006D005A"/>
    <w:rsid w:val="006D0F6C"/>
    <w:rsid w:val="006D4F11"/>
    <w:rsid w:val="006D524C"/>
    <w:rsid w:val="006D59B7"/>
    <w:rsid w:val="006D64BA"/>
    <w:rsid w:val="006E24FB"/>
    <w:rsid w:val="006F4A29"/>
    <w:rsid w:val="006F5385"/>
    <w:rsid w:val="00701F5A"/>
    <w:rsid w:val="007055AE"/>
    <w:rsid w:val="007055E7"/>
    <w:rsid w:val="0071497B"/>
    <w:rsid w:val="007201BD"/>
    <w:rsid w:val="007219E9"/>
    <w:rsid w:val="007238B9"/>
    <w:rsid w:val="007332A8"/>
    <w:rsid w:val="0074728D"/>
    <w:rsid w:val="00755901"/>
    <w:rsid w:val="00760A43"/>
    <w:rsid w:val="00761551"/>
    <w:rsid w:val="0077233F"/>
    <w:rsid w:val="00772A83"/>
    <w:rsid w:val="00777208"/>
    <w:rsid w:val="00777719"/>
    <w:rsid w:val="00783C70"/>
    <w:rsid w:val="00787E13"/>
    <w:rsid w:val="0079237D"/>
    <w:rsid w:val="007A12A9"/>
    <w:rsid w:val="007A4151"/>
    <w:rsid w:val="007B0460"/>
    <w:rsid w:val="007B7ADA"/>
    <w:rsid w:val="007C37BF"/>
    <w:rsid w:val="007D1770"/>
    <w:rsid w:val="007D2F84"/>
    <w:rsid w:val="007D369D"/>
    <w:rsid w:val="007D52FE"/>
    <w:rsid w:val="007E13E0"/>
    <w:rsid w:val="007E5FAC"/>
    <w:rsid w:val="007F4A8C"/>
    <w:rsid w:val="007F6A73"/>
    <w:rsid w:val="00800138"/>
    <w:rsid w:val="00812F41"/>
    <w:rsid w:val="008219DA"/>
    <w:rsid w:val="00826813"/>
    <w:rsid w:val="0083489D"/>
    <w:rsid w:val="008348BD"/>
    <w:rsid w:val="00834D73"/>
    <w:rsid w:val="0083694B"/>
    <w:rsid w:val="008377BF"/>
    <w:rsid w:val="00840B54"/>
    <w:rsid w:val="0084136D"/>
    <w:rsid w:val="00843D1C"/>
    <w:rsid w:val="00852DDB"/>
    <w:rsid w:val="00857719"/>
    <w:rsid w:val="0088301A"/>
    <w:rsid w:val="008868AA"/>
    <w:rsid w:val="008933FE"/>
    <w:rsid w:val="00895404"/>
    <w:rsid w:val="008A68D9"/>
    <w:rsid w:val="008B0DB0"/>
    <w:rsid w:val="008B44F9"/>
    <w:rsid w:val="008B65F2"/>
    <w:rsid w:val="008C1BEC"/>
    <w:rsid w:val="008D1C0C"/>
    <w:rsid w:val="008D516B"/>
    <w:rsid w:val="008F18E9"/>
    <w:rsid w:val="008F7AC3"/>
    <w:rsid w:val="008F7B41"/>
    <w:rsid w:val="008F7B7F"/>
    <w:rsid w:val="00917287"/>
    <w:rsid w:val="009178A2"/>
    <w:rsid w:val="00940527"/>
    <w:rsid w:val="00945300"/>
    <w:rsid w:val="00955B46"/>
    <w:rsid w:val="00973919"/>
    <w:rsid w:val="009762A0"/>
    <w:rsid w:val="00980D8C"/>
    <w:rsid w:val="009822FF"/>
    <w:rsid w:val="009865D9"/>
    <w:rsid w:val="009A4941"/>
    <w:rsid w:val="009B448D"/>
    <w:rsid w:val="009C2E9D"/>
    <w:rsid w:val="009C537C"/>
    <w:rsid w:val="009D2D82"/>
    <w:rsid w:val="009D5B15"/>
    <w:rsid w:val="009D7219"/>
    <w:rsid w:val="009E2292"/>
    <w:rsid w:val="009F09FB"/>
    <w:rsid w:val="009F4071"/>
    <w:rsid w:val="009F507D"/>
    <w:rsid w:val="009F5B0A"/>
    <w:rsid w:val="00A01D9E"/>
    <w:rsid w:val="00A02DB0"/>
    <w:rsid w:val="00A10709"/>
    <w:rsid w:val="00A10947"/>
    <w:rsid w:val="00A20691"/>
    <w:rsid w:val="00A2354B"/>
    <w:rsid w:val="00A23736"/>
    <w:rsid w:val="00A32133"/>
    <w:rsid w:val="00A33DBC"/>
    <w:rsid w:val="00A348B7"/>
    <w:rsid w:val="00A44D1C"/>
    <w:rsid w:val="00A46A69"/>
    <w:rsid w:val="00A46C80"/>
    <w:rsid w:val="00A52AF9"/>
    <w:rsid w:val="00A64C38"/>
    <w:rsid w:val="00A66D38"/>
    <w:rsid w:val="00A70959"/>
    <w:rsid w:val="00A728CF"/>
    <w:rsid w:val="00A76810"/>
    <w:rsid w:val="00A85EE5"/>
    <w:rsid w:val="00A979D3"/>
    <w:rsid w:val="00AA0A37"/>
    <w:rsid w:val="00AA584B"/>
    <w:rsid w:val="00AA6A66"/>
    <w:rsid w:val="00AA724D"/>
    <w:rsid w:val="00AB19BD"/>
    <w:rsid w:val="00AB4314"/>
    <w:rsid w:val="00AB4666"/>
    <w:rsid w:val="00AB5661"/>
    <w:rsid w:val="00AC186B"/>
    <w:rsid w:val="00AC2EE9"/>
    <w:rsid w:val="00AC45C3"/>
    <w:rsid w:val="00AC5D0C"/>
    <w:rsid w:val="00AD02E5"/>
    <w:rsid w:val="00AD20B7"/>
    <w:rsid w:val="00B05336"/>
    <w:rsid w:val="00B30C65"/>
    <w:rsid w:val="00B31A43"/>
    <w:rsid w:val="00B32485"/>
    <w:rsid w:val="00B35FD5"/>
    <w:rsid w:val="00B402CA"/>
    <w:rsid w:val="00B5077D"/>
    <w:rsid w:val="00B557B6"/>
    <w:rsid w:val="00B60D55"/>
    <w:rsid w:val="00B629AD"/>
    <w:rsid w:val="00B6320D"/>
    <w:rsid w:val="00B75AB2"/>
    <w:rsid w:val="00B840FD"/>
    <w:rsid w:val="00B862AE"/>
    <w:rsid w:val="00B93FAD"/>
    <w:rsid w:val="00B94671"/>
    <w:rsid w:val="00B9555C"/>
    <w:rsid w:val="00BA07B8"/>
    <w:rsid w:val="00BA3F08"/>
    <w:rsid w:val="00BA67BF"/>
    <w:rsid w:val="00BB0B0B"/>
    <w:rsid w:val="00BB0C2F"/>
    <w:rsid w:val="00BC13C4"/>
    <w:rsid w:val="00BC347C"/>
    <w:rsid w:val="00BC5CBD"/>
    <w:rsid w:val="00BD36EC"/>
    <w:rsid w:val="00BD5CA5"/>
    <w:rsid w:val="00BD5F17"/>
    <w:rsid w:val="00BE6C23"/>
    <w:rsid w:val="00BF0D81"/>
    <w:rsid w:val="00BF6F6C"/>
    <w:rsid w:val="00C02BC2"/>
    <w:rsid w:val="00C10C20"/>
    <w:rsid w:val="00C1193C"/>
    <w:rsid w:val="00C2399C"/>
    <w:rsid w:val="00C2797F"/>
    <w:rsid w:val="00C30F47"/>
    <w:rsid w:val="00C35E71"/>
    <w:rsid w:val="00C36C9D"/>
    <w:rsid w:val="00C40ED1"/>
    <w:rsid w:val="00C42000"/>
    <w:rsid w:val="00C4207C"/>
    <w:rsid w:val="00C42B34"/>
    <w:rsid w:val="00C435C4"/>
    <w:rsid w:val="00C459D4"/>
    <w:rsid w:val="00C53B6D"/>
    <w:rsid w:val="00C55D9D"/>
    <w:rsid w:val="00C605D4"/>
    <w:rsid w:val="00C62D6E"/>
    <w:rsid w:val="00C70814"/>
    <w:rsid w:val="00C76574"/>
    <w:rsid w:val="00C865D6"/>
    <w:rsid w:val="00C94E40"/>
    <w:rsid w:val="00C957D4"/>
    <w:rsid w:val="00C96465"/>
    <w:rsid w:val="00CA18B0"/>
    <w:rsid w:val="00CA219D"/>
    <w:rsid w:val="00CA4875"/>
    <w:rsid w:val="00CB0059"/>
    <w:rsid w:val="00CB5E17"/>
    <w:rsid w:val="00CB5F12"/>
    <w:rsid w:val="00CB61B7"/>
    <w:rsid w:val="00CC2AF9"/>
    <w:rsid w:val="00CC4097"/>
    <w:rsid w:val="00CC6F16"/>
    <w:rsid w:val="00CD0CDE"/>
    <w:rsid w:val="00CD0FC7"/>
    <w:rsid w:val="00CD10D3"/>
    <w:rsid w:val="00CD5552"/>
    <w:rsid w:val="00CE44B3"/>
    <w:rsid w:val="00CE53D0"/>
    <w:rsid w:val="00CE6E30"/>
    <w:rsid w:val="00CE7D2D"/>
    <w:rsid w:val="00CF189A"/>
    <w:rsid w:val="00CF2C97"/>
    <w:rsid w:val="00CF7543"/>
    <w:rsid w:val="00D03F96"/>
    <w:rsid w:val="00D040A1"/>
    <w:rsid w:val="00D13F32"/>
    <w:rsid w:val="00D160E7"/>
    <w:rsid w:val="00D1640D"/>
    <w:rsid w:val="00D170C0"/>
    <w:rsid w:val="00D17145"/>
    <w:rsid w:val="00D21909"/>
    <w:rsid w:val="00D32109"/>
    <w:rsid w:val="00D326FF"/>
    <w:rsid w:val="00D33CD9"/>
    <w:rsid w:val="00D33D37"/>
    <w:rsid w:val="00D3574F"/>
    <w:rsid w:val="00D447C1"/>
    <w:rsid w:val="00D4514A"/>
    <w:rsid w:val="00D45DF4"/>
    <w:rsid w:val="00D52EE0"/>
    <w:rsid w:val="00D677AA"/>
    <w:rsid w:val="00D73E0F"/>
    <w:rsid w:val="00D75D33"/>
    <w:rsid w:val="00D772A3"/>
    <w:rsid w:val="00D93236"/>
    <w:rsid w:val="00D9594C"/>
    <w:rsid w:val="00D965C8"/>
    <w:rsid w:val="00D9713E"/>
    <w:rsid w:val="00DA1118"/>
    <w:rsid w:val="00DA4D2D"/>
    <w:rsid w:val="00DA5E8C"/>
    <w:rsid w:val="00DB2639"/>
    <w:rsid w:val="00DB39BA"/>
    <w:rsid w:val="00DB5955"/>
    <w:rsid w:val="00DC4A48"/>
    <w:rsid w:val="00DD0940"/>
    <w:rsid w:val="00DD33A7"/>
    <w:rsid w:val="00DD43A2"/>
    <w:rsid w:val="00DE21C5"/>
    <w:rsid w:val="00DE4424"/>
    <w:rsid w:val="00DE78B5"/>
    <w:rsid w:val="00DF08CD"/>
    <w:rsid w:val="00DF27B4"/>
    <w:rsid w:val="00E050C9"/>
    <w:rsid w:val="00E114E2"/>
    <w:rsid w:val="00E115A0"/>
    <w:rsid w:val="00E14037"/>
    <w:rsid w:val="00E14721"/>
    <w:rsid w:val="00E26F63"/>
    <w:rsid w:val="00E27472"/>
    <w:rsid w:val="00E3175E"/>
    <w:rsid w:val="00E326F0"/>
    <w:rsid w:val="00E46441"/>
    <w:rsid w:val="00E470EF"/>
    <w:rsid w:val="00E5274C"/>
    <w:rsid w:val="00E538F9"/>
    <w:rsid w:val="00E53AD3"/>
    <w:rsid w:val="00E63D69"/>
    <w:rsid w:val="00E66029"/>
    <w:rsid w:val="00E71123"/>
    <w:rsid w:val="00E762DA"/>
    <w:rsid w:val="00E907F4"/>
    <w:rsid w:val="00EA1D7E"/>
    <w:rsid w:val="00EA3761"/>
    <w:rsid w:val="00EA4D39"/>
    <w:rsid w:val="00EB4BF3"/>
    <w:rsid w:val="00EB78F8"/>
    <w:rsid w:val="00EC1348"/>
    <w:rsid w:val="00EC7761"/>
    <w:rsid w:val="00ED18E8"/>
    <w:rsid w:val="00ED2608"/>
    <w:rsid w:val="00ED2E78"/>
    <w:rsid w:val="00EE4BB4"/>
    <w:rsid w:val="00EE5E23"/>
    <w:rsid w:val="00EF1031"/>
    <w:rsid w:val="00EF1A0A"/>
    <w:rsid w:val="00EF4FF6"/>
    <w:rsid w:val="00F00ADC"/>
    <w:rsid w:val="00F033A6"/>
    <w:rsid w:val="00F15E9D"/>
    <w:rsid w:val="00F2103E"/>
    <w:rsid w:val="00F24443"/>
    <w:rsid w:val="00F3359B"/>
    <w:rsid w:val="00F34AE5"/>
    <w:rsid w:val="00F438A6"/>
    <w:rsid w:val="00F45223"/>
    <w:rsid w:val="00F47019"/>
    <w:rsid w:val="00F54863"/>
    <w:rsid w:val="00F55FBC"/>
    <w:rsid w:val="00F75C5D"/>
    <w:rsid w:val="00F77EC7"/>
    <w:rsid w:val="00F84310"/>
    <w:rsid w:val="00FA53C4"/>
    <w:rsid w:val="00FB3B06"/>
    <w:rsid w:val="00FB4156"/>
    <w:rsid w:val="00FC140E"/>
    <w:rsid w:val="00FC4715"/>
    <w:rsid w:val="00FE3B78"/>
    <w:rsid w:val="00FE6498"/>
    <w:rsid w:val="00FF4B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3723919"/>
  <w15:chartTrackingRefBased/>
  <w15:docId w15:val="{13425E97-599C-41AF-82EA-829645A1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186B"/>
    <w:pPr>
      <w:spacing w:line="240" w:lineRule="exact"/>
      <w:jc w:val="both"/>
    </w:pPr>
    <w:rPr>
      <w:rFonts w:ascii="News Gothic MT" w:hAnsi="News Gothic MT"/>
      <w:sz w:val="16"/>
      <w:szCs w:val="24"/>
    </w:rPr>
  </w:style>
  <w:style w:type="paragraph" w:styleId="Titre2">
    <w:name w:val="heading 2"/>
    <w:basedOn w:val="Normal"/>
    <w:next w:val="Normal"/>
    <w:qFormat/>
    <w:rsid w:val="00AC186B"/>
    <w:pPr>
      <w:keepNext/>
      <w:outlineLvl w:val="1"/>
    </w:pPr>
    <w:rPr>
      <w:rFonts w:ascii="Times New Roman" w:hAnsi="Times New Roman"/>
      <w:b/>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EA3761"/>
    <w:rPr>
      <w:rFonts w:ascii="Garamond" w:hAnsi="Garamond"/>
      <w:sz w:val="24"/>
    </w:rPr>
  </w:style>
  <w:style w:type="paragraph" w:styleId="Titre">
    <w:name w:val="Title"/>
    <w:basedOn w:val="Normal"/>
    <w:qFormat/>
    <w:rsid w:val="00EA3761"/>
    <w:pPr>
      <w:jc w:val="center"/>
    </w:pPr>
    <w:rPr>
      <w:rFonts w:ascii="Garamond" w:hAnsi="Garamond"/>
      <w:sz w:val="24"/>
    </w:rPr>
  </w:style>
  <w:style w:type="paragraph" w:styleId="Notedebasdepage">
    <w:name w:val="footnote text"/>
    <w:basedOn w:val="Normal"/>
    <w:link w:val="NotedebasdepageCar"/>
    <w:uiPriority w:val="99"/>
    <w:qFormat/>
    <w:rsid w:val="00EA3761"/>
    <w:pPr>
      <w:spacing w:line="240" w:lineRule="auto"/>
      <w:jc w:val="left"/>
    </w:pPr>
    <w:rPr>
      <w:rFonts w:ascii="Times New Roman" w:hAnsi="Times New Roman"/>
      <w:sz w:val="20"/>
      <w:szCs w:val="20"/>
    </w:rPr>
  </w:style>
  <w:style w:type="character" w:styleId="Appelnotedebasdep">
    <w:name w:val="footnote reference"/>
    <w:uiPriority w:val="99"/>
    <w:rsid w:val="00EA3761"/>
    <w:rPr>
      <w:vertAlign w:val="superscript"/>
    </w:rPr>
  </w:style>
  <w:style w:type="paragraph" w:styleId="En-tte">
    <w:name w:val="header"/>
    <w:basedOn w:val="Normal"/>
    <w:rsid w:val="00EA3761"/>
    <w:pPr>
      <w:tabs>
        <w:tab w:val="center" w:pos="4536"/>
        <w:tab w:val="right" w:pos="9072"/>
      </w:tabs>
    </w:pPr>
  </w:style>
  <w:style w:type="character" w:styleId="Numrodepage">
    <w:name w:val="page number"/>
    <w:basedOn w:val="Policepardfaut"/>
    <w:rsid w:val="00EA3761"/>
  </w:style>
  <w:style w:type="paragraph" w:styleId="Corpsdetexte2">
    <w:name w:val="Body Text 2"/>
    <w:basedOn w:val="Normal"/>
    <w:rsid w:val="00EA3761"/>
    <w:pPr>
      <w:spacing w:after="120" w:line="480" w:lineRule="auto"/>
    </w:pPr>
  </w:style>
  <w:style w:type="paragraph" w:styleId="NormalWeb">
    <w:name w:val="Normal (Web)"/>
    <w:basedOn w:val="Normal"/>
    <w:uiPriority w:val="99"/>
    <w:rsid w:val="00485E25"/>
    <w:pPr>
      <w:spacing w:before="100" w:beforeAutospacing="1" w:after="100" w:afterAutospacing="1" w:line="240" w:lineRule="auto"/>
      <w:jc w:val="left"/>
    </w:pPr>
    <w:rPr>
      <w:rFonts w:ascii="Times New Roman" w:hAnsi="Times New Roman"/>
      <w:sz w:val="24"/>
    </w:rPr>
  </w:style>
  <w:style w:type="character" w:customStyle="1" w:styleId="NotedebasdepageCar">
    <w:name w:val="Note de bas de page Car"/>
    <w:link w:val="Notedebasdepage"/>
    <w:uiPriority w:val="99"/>
    <w:rsid w:val="00640415"/>
  </w:style>
  <w:style w:type="paragraph" w:styleId="Pieddepage">
    <w:name w:val="footer"/>
    <w:basedOn w:val="Normal"/>
    <w:link w:val="PieddepageCar"/>
    <w:rsid w:val="007055E7"/>
    <w:pPr>
      <w:tabs>
        <w:tab w:val="center" w:pos="4536"/>
        <w:tab w:val="right" w:pos="9072"/>
      </w:tabs>
    </w:pPr>
  </w:style>
  <w:style w:type="character" w:customStyle="1" w:styleId="PieddepageCar">
    <w:name w:val="Pied de page Car"/>
    <w:basedOn w:val="Policepardfaut"/>
    <w:link w:val="Pieddepage"/>
    <w:rsid w:val="007055E7"/>
    <w:rPr>
      <w:rFonts w:ascii="News Gothic MT" w:hAnsi="News Gothic MT"/>
      <w:sz w:val="16"/>
      <w:szCs w:val="24"/>
    </w:rPr>
  </w:style>
  <w:style w:type="paragraph" w:styleId="Paragraphedeliste">
    <w:name w:val="List Paragraph"/>
    <w:basedOn w:val="Normal"/>
    <w:uiPriority w:val="34"/>
    <w:qFormat/>
    <w:rsid w:val="007055E7"/>
    <w:pPr>
      <w:spacing w:line="240" w:lineRule="auto"/>
      <w:ind w:left="720"/>
      <w:contextualSpacing/>
      <w:jc w:val="left"/>
    </w:pPr>
    <w:rPr>
      <w:rFonts w:ascii="Times New Roman" w:hAnsi="Times New Roman"/>
      <w:sz w:val="24"/>
    </w:rPr>
  </w:style>
  <w:style w:type="paragraph" w:customStyle="1" w:styleId="Default">
    <w:name w:val="Default"/>
    <w:rsid w:val="00471882"/>
    <w:pPr>
      <w:autoSpaceDE w:val="0"/>
      <w:autoSpaceDN w:val="0"/>
      <w:adjustRightInd w:val="0"/>
    </w:pPr>
    <w:rPr>
      <w:color w:val="000000"/>
      <w:sz w:val="24"/>
      <w:szCs w:val="24"/>
    </w:rPr>
  </w:style>
  <w:style w:type="character" w:styleId="lev">
    <w:name w:val="Strong"/>
    <w:basedOn w:val="Policepardfaut"/>
    <w:uiPriority w:val="22"/>
    <w:qFormat/>
    <w:rsid w:val="003B6EBB"/>
    <w:rPr>
      <w:b/>
      <w:bCs/>
    </w:rPr>
  </w:style>
  <w:style w:type="character" w:styleId="Lienhypertexte">
    <w:name w:val="Hyperlink"/>
    <w:basedOn w:val="Policepardfaut"/>
    <w:uiPriority w:val="99"/>
    <w:unhideWhenUsed/>
    <w:rsid w:val="003B6EBB"/>
    <w:rPr>
      <w:color w:val="0000FF"/>
      <w:u w:val="single"/>
    </w:rPr>
  </w:style>
  <w:style w:type="character" w:customStyle="1" w:styleId="CorpsdetexteCar">
    <w:name w:val="Corps de texte Car"/>
    <w:basedOn w:val="Policepardfaut"/>
    <w:link w:val="Corpsdetexte"/>
    <w:rsid w:val="00262B19"/>
    <w:rPr>
      <w:rFonts w:ascii="Garamond" w:hAnsi="Garamond"/>
      <w:sz w:val="24"/>
      <w:szCs w:val="24"/>
    </w:rPr>
  </w:style>
  <w:style w:type="paragraph" w:customStyle="1" w:styleId="Style1">
    <w:name w:val="Style1"/>
    <w:basedOn w:val="Normal"/>
    <w:qFormat/>
    <w:rsid w:val="005B5E16"/>
    <w:pPr>
      <w:spacing w:line="240" w:lineRule="auto"/>
    </w:pPr>
    <w:rPr>
      <w:rFonts w:ascii="Didot" w:eastAsiaTheme="minorHAnsi" w:hAnsi="Didot" w:cstheme="minorBidi"/>
      <w:sz w:val="24"/>
      <w:lang w:eastAsia="en-US"/>
    </w:rPr>
  </w:style>
  <w:style w:type="character" w:styleId="Textedelespacerserv">
    <w:name w:val="Placeholder Text"/>
    <w:basedOn w:val="Policepardfaut"/>
    <w:uiPriority w:val="99"/>
    <w:semiHidden/>
    <w:rsid w:val="00540DAE"/>
    <w:rPr>
      <w:color w:val="808080"/>
    </w:rPr>
  </w:style>
  <w:style w:type="character" w:customStyle="1" w:styleId="petitemajusculeCar">
    <w:name w:val="petite majuscule Car"/>
    <w:basedOn w:val="Policepardfaut"/>
    <w:link w:val="petitemajuscule"/>
    <w:locked/>
    <w:rsid w:val="005A59E9"/>
    <w:rPr>
      <w:smallCaps/>
    </w:rPr>
  </w:style>
  <w:style w:type="paragraph" w:customStyle="1" w:styleId="petitemajuscule">
    <w:name w:val="petite majuscule"/>
    <w:basedOn w:val="Normal"/>
    <w:link w:val="petitemajusculeCar"/>
    <w:qFormat/>
    <w:rsid w:val="005A59E9"/>
    <w:pPr>
      <w:spacing w:line="240" w:lineRule="auto"/>
    </w:pPr>
    <w:rPr>
      <w:rFonts w:ascii="Times New Roman" w:hAnsi="Times New Roman"/>
      <w:smallCaps/>
      <w:sz w:val="20"/>
      <w:szCs w:val="20"/>
    </w:rPr>
  </w:style>
  <w:style w:type="table" w:styleId="Grilledutableau">
    <w:name w:val="Table Grid"/>
    <w:basedOn w:val="TableauNormal"/>
    <w:uiPriority w:val="39"/>
    <w:rsid w:val="005A59E9"/>
    <w:rPr>
      <w:rFonts w:asciiTheme="minorHAnsi" w:eastAsiaTheme="minorHAnsi" w:hAnsiTheme="minorHAns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__paragraph"/>
    <w:basedOn w:val="Normal"/>
    <w:rsid w:val="00BB0C2F"/>
    <w:pPr>
      <w:spacing w:before="100" w:beforeAutospacing="1" w:after="100" w:afterAutospacing="1" w:line="240" w:lineRule="auto"/>
      <w:jc w:val="left"/>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9204">
      <w:bodyDiv w:val="1"/>
      <w:marLeft w:val="0"/>
      <w:marRight w:val="0"/>
      <w:marTop w:val="0"/>
      <w:marBottom w:val="0"/>
      <w:divBdr>
        <w:top w:val="none" w:sz="0" w:space="0" w:color="auto"/>
        <w:left w:val="none" w:sz="0" w:space="0" w:color="auto"/>
        <w:bottom w:val="none" w:sz="0" w:space="0" w:color="auto"/>
        <w:right w:val="none" w:sz="0" w:space="0" w:color="auto"/>
      </w:divBdr>
      <w:divsChild>
        <w:div w:id="1939213102">
          <w:marLeft w:val="0"/>
          <w:marRight w:val="0"/>
          <w:marTop w:val="0"/>
          <w:marBottom w:val="0"/>
          <w:divBdr>
            <w:top w:val="none" w:sz="0" w:space="0" w:color="auto"/>
            <w:left w:val="none" w:sz="0" w:space="0" w:color="auto"/>
            <w:bottom w:val="none" w:sz="0" w:space="0" w:color="auto"/>
            <w:right w:val="none" w:sz="0" w:space="0" w:color="auto"/>
          </w:divBdr>
          <w:divsChild>
            <w:div w:id="1557233466">
              <w:marLeft w:val="0"/>
              <w:marRight w:val="0"/>
              <w:marTop w:val="0"/>
              <w:marBottom w:val="0"/>
              <w:divBdr>
                <w:top w:val="none" w:sz="0" w:space="0" w:color="auto"/>
                <w:left w:val="none" w:sz="0" w:space="0" w:color="auto"/>
                <w:bottom w:val="none" w:sz="0" w:space="0" w:color="auto"/>
                <w:right w:val="none" w:sz="0" w:space="0" w:color="auto"/>
              </w:divBdr>
              <w:divsChild>
                <w:div w:id="1473209193">
                  <w:marLeft w:val="0"/>
                  <w:marRight w:val="0"/>
                  <w:marTop w:val="0"/>
                  <w:marBottom w:val="0"/>
                  <w:divBdr>
                    <w:top w:val="none" w:sz="0" w:space="0" w:color="auto"/>
                    <w:left w:val="none" w:sz="0" w:space="0" w:color="auto"/>
                    <w:bottom w:val="none" w:sz="0" w:space="0" w:color="auto"/>
                    <w:right w:val="none" w:sz="0" w:space="0" w:color="auto"/>
                  </w:divBdr>
                  <w:divsChild>
                    <w:div w:id="1223324762">
                      <w:marLeft w:val="0"/>
                      <w:marRight w:val="0"/>
                      <w:marTop w:val="0"/>
                      <w:marBottom w:val="0"/>
                      <w:divBdr>
                        <w:top w:val="none" w:sz="0" w:space="0" w:color="auto"/>
                        <w:left w:val="none" w:sz="0" w:space="0" w:color="auto"/>
                        <w:bottom w:val="none" w:sz="0" w:space="0" w:color="auto"/>
                        <w:right w:val="none" w:sz="0" w:space="0" w:color="auto"/>
                      </w:divBdr>
                      <w:divsChild>
                        <w:div w:id="1602178836">
                          <w:marLeft w:val="0"/>
                          <w:marRight w:val="0"/>
                          <w:marTop w:val="0"/>
                          <w:marBottom w:val="0"/>
                          <w:divBdr>
                            <w:top w:val="none" w:sz="0" w:space="0" w:color="auto"/>
                            <w:left w:val="none" w:sz="0" w:space="0" w:color="auto"/>
                            <w:bottom w:val="none" w:sz="0" w:space="0" w:color="auto"/>
                            <w:right w:val="none" w:sz="0" w:space="0" w:color="auto"/>
                          </w:divBdr>
                          <w:divsChild>
                            <w:div w:id="1080057828">
                              <w:marLeft w:val="0"/>
                              <w:marRight w:val="0"/>
                              <w:marTop w:val="0"/>
                              <w:marBottom w:val="0"/>
                              <w:divBdr>
                                <w:top w:val="none" w:sz="0" w:space="0" w:color="auto"/>
                                <w:left w:val="none" w:sz="0" w:space="0" w:color="auto"/>
                                <w:bottom w:val="none" w:sz="0" w:space="0" w:color="auto"/>
                                <w:right w:val="none" w:sz="0" w:space="0" w:color="auto"/>
                              </w:divBdr>
                              <w:divsChild>
                                <w:div w:id="571962484">
                                  <w:marLeft w:val="0"/>
                                  <w:marRight w:val="0"/>
                                  <w:marTop w:val="0"/>
                                  <w:marBottom w:val="0"/>
                                  <w:divBdr>
                                    <w:top w:val="none" w:sz="0" w:space="0" w:color="auto"/>
                                    <w:left w:val="none" w:sz="0" w:space="0" w:color="auto"/>
                                    <w:bottom w:val="none" w:sz="0" w:space="0" w:color="auto"/>
                                    <w:right w:val="none" w:sz="0" w:space="0" w:color="auto"/>
                                  </w:divBdr>
                                  <w:divsChild>
                                    <w:div w:id="1427262160">
                                      <w:marLeft w:val="0"/>
                                      <w:marRight w:val="0"/>
                                      <w:marTop w:val="0"/>
                                      <w:marBottom w:val="0"/>
                                      <w:divBdr>
                                        <w:top w:val="none" w:sz="0" w:space="0" w:color="auto"/>
                                        <w:left w:val="none" w:sz="0" w:space="0" w:color="auto"/>
                                        <w:bottom w:val="none" w:sz="0" w:space="0" w:color="auto"/>
                                        <w:right w:val="none" w:sz="0" w:space="0" w:color="auto"/>
                                      </w:divBdr>
                                      <w:divsChild>
                                        <w:div w:id="173496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83109">
      <w:bodyDiv w:val="1"/>
      <w:marLeft w:val="0"/>
      <w:marRight w:val="0"/>
      <w:marTop w:val="0"/>
      <w:marBottom w:val="0"/>
      <w:divBdr>
        <w:top w:val="none" w:sz="0" w:space="0" w:color="auto"/>
        <w:left w:val="none" w:sz="0" w:space="0" w:color="auto"/>
        <w:bottom w:val="none" w:sz="0" w:space="0" w:color="auto"/>
        <w:right w:val="none" w:sz="0" w:space="0" w:color="auto"/>
      </w:divBdr>
      <w:divsChild>
        <w:div w:id="1731491655">
          <w:marLeft w:val="0"/>
          <w:marRight w:val="0"/>
          <w:marTop w:val="0"/>
          <w:marBottom w:val="0"/>
          <w:divBdr>
            <w:top w:val="none" w:sz="0" w:space="0" w:color="auto"/>
            <w:left w:val="none" w:sz="0" w:space="0" w:color="auto"/>
            <w:bottom w:val="none" w:sz="0" w:space="0" w:color="auto"/>
            <w:right w:val="none" w:sz="0" w:space="0" w:color="auto"/>
          </w:divBdr>
          <w:divsChild>
            <w:div w:id="319773371">
              <w:marLeft w:val="0"/>
              <w:marRight w:val="0"/>
              <w:marTop w:val="0"/>
              <w:marBottom w:val="0"/>
              <w:divBdr>
                <w:top w:val="none" w:sz="0" w:space="0" w:color="auto"/>
                <w:left w:val="none" w:sz="0" w:space="0" w:color="auto"/>
                <w:bottom w:val="none" w:sz="0" w:space="0" w:color="auto"/>
                <w:right w:val="none" w:sz="0" w:space="0" w:color="auto"/>
              </w:divBdr>
              <w:divsChild>
                <w:div w:id="485587690">
                  <w:marLeft w:val="0"/>
                  <w:marRight w:val="0"/>
                  <w:marTop w:val="0"/>
                  <w:marBottom w:val="0"/>
                  <w:divBdr>
                    <w:top w:val="none" w:sz="0" w:space="0" w:color="auto"/>
                    <w:left w:val="none" w:sz="0" w:space="0" w:color="auto"/>
                    <w:bottom w:val="none" w:sz="0" w:space="0" w:color="auto"/>
                    <w:right w:val="none" w:sz="0" w:space="0" w:color="auto"/>
                  </w:divBdr>
                  <w:divsChild>
                    <w:div w:id="526334490">
                      <w:marLeft w:val="0"/>
                      <w:marRight w:val="0"/>
                      <w:marTop w:val="0"/>
                      <w:marBottom w:val="0"/>
                      <w:divBdr>
                        <w:top w:val="none" w:sz="0" w:space="0" w:color="auto"/>
                        <w:left w:val="none" w:sz="0" w:space="0" w:color="auto"/>
                        <w:bottom w:val="none" w:sz="0" w:space="0" w:color="auto"/>
                        <w:right w:val="none" w:sz="0" w:space="0" w:color="auto"/>
                      </w:divBdr>
                      <w:divsChild>
                        <w:div w:id="1399399968">
                          <w:marLeft w:val="0"/>
                          <w:marRight w:val="0"/>
                          <w:marTop w:val="0"/>
                          <w:marBottom w:val="0"/>
                          <w:divBdr>
                            <w:top w:val="none" w:sz="0" w:space="0" w:color="auto"/>
                            <w:left w:val="none" w:sz="0" w:space="0" w:color="auto"/>
                            <w:bottom w:val="none" w:sz="0" w:space="0" w:color="auto"/>
                            <w:right w:val="none" w:sz="0" w:space="0" w:color="auto"/>
                          </w:divBdr>
                          <w:divsChild>
                            <w:div w:id="1964918935">
                              <w:marLeft w:val="0"/>
                              <w:marRight w:val="0"/>
                              <w:marTop w:val="0"/>
                              <w:marBottom w:val="0"/>
                              <w:divBdr>
                                <w:top w:val="none" w:sz="0" w:space="0" w:color="auto"/>
                                <w:left w:val="none" w:sz="0" w:space="0" w:color="auto"/>
                                <w:bottom w:val="none" w:sz="0" w:space="0" w:color="auto"/>
                                <w:right w:val="none" w:sz="0" w:space="0" w:color="auto"/>
                              </w:divBdr>
                              <w:divsChild>
                                <w:div w:id="1775633218">
                                  <w:marLeft w:val="0"/>
                                  <w:marRight w:val="0"/>
                                  <w:marTop w:val="0"/>
                                  <w:marBottom w:val="0"/>
                                  <w:divBdr>
                                    <w:top w:val="none" w:sz="0" w:space="0" w:color="auto"/>
                                    <w:left w:val="none" w:sz="0" w:space="0" w:color="auto"/>
                                    <w:bottom w:val="none" w:sz="0" w:space="0" w:color="auto"/>
                                    <w:right w:val="none" w:sz="0" w:space="0" w:color="auto"/>
                                  </w:divBdr>
                                  <w:divsChild>
                                    <w:div w:id="1295865251">
                                      <w:marLeft w:val="0"/>
                                      <w:marRight w:val="0"/>
                                      <w:marTop w:val="0"/>
                                      <w:marBottom w:val="0"/>
                                      <w:divBdr>
                                        <w:top w:val="none" w:sz="0" w:space="0" w:color="auto"/>
                                        <w:left w:val="none" w:sz="0" w:space="0" w:color="auto"/>
                                        <w:bottom w:val="none" w:sz="0" w:space="0" w:color="auto"/>
                                        <w:right w:val="none" w:sz="0" w:space="0" w:color="auto"/>
                                      </w:divBdr>
                                      <w:divsChild>
                                        <w:div w:id="17805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58175">
      <w:bodyDiv w:val="1"/>
      <w:marLeft w:val="0"/>
      <w:marRight w:val="0"/>
      <w:marTop w:val="0"/>
      <w:marBottom w:val="0"/>
      <w:divBdr>
        <w:top w:val="none" w:sz="0" w:space="0" w:color="auto"/>
        <w:left w:val="none" w:sz="0" w:space="0" w:color="auto"/>
        <w:bottom w:val="none" w:sz="0" w:space="0" w:color="auto"/>
        <w:right w:val="none" w:sz="0" w:space="0" w:color="auto"/>
      </w:divBdr>
    </w:div>
    <w:div w:id="176582699">
      <w:bodyDiv w:val="1"/>
      <w:marLeft w:val="0"/>
      <w:marRight w:val="0"/>
      <w:marTop w:val="0"/>
      <w:marBottom w:val="0"/>
      <w:divBdr>
        <w:top w:val="none" w:sz="0" w:space="0" w:color="auto"/>
        <w:left w:val="none" w:sz="0" w:space="0" w:color="auto"/>
        <w:bottom w:val="none" w:sz="0" w:space="0" w:color="auto"/>
        <w:right w:val="none" w:sz="0" w:space="0" w:color="auto"/>
      </w:divBdr>
      <w:divsChild>
        <w:div w:id="1324119889">
          <w:marLeft w:val="0"/>
          <w:marRight w:val="0"/>
          <w:marTop w:val="0"/>
          <w:marBottom w:val="0"/>
          <w:divBdr>
            <w:top w:val="none" w:sz="0" w:space="0" w:color="auto"/>
            <w:left w:val="none" w:sz="0" w:space="0" w:color="auto"/>
            <w:bottom w:val="none" w:sz="0" w:space="0" w:color="auto"/>
            <w:right w:val="none" w:sz="0" w:space="0" w:color="auto"/>
          </w:divBdr>
          <w:divsChild>
            <w:div w:id="990210334">
              <w:marLeft w:val="0"/>
              <w:marRight w:val="0"/>
              <w:marTop w:val="0"/>
              <w:marBottom w:val="0"/>
              <w:divBdr>
                <w:top w:val="none" w:sz="0" w:space="0" w:color="auto"/>
                <w:left w:val="none" w:sz="0" w:space="0" w:color="auto"/>
                <w:bottom w:val="none" w:sz="0" w:space="0" w:color="auto"/>
                <w:right w:val="none" w:sz="0" w:space="0" w:color="auto"/>
              </w:divBdr>
              <w:divsChild>
                <w:div w:id="488791328">
                  <w:marLeft w:val="0"/>
                  <w:marRight w:val="0"/>
                  <w:marTop w:val="0"/>
                  <w:marBottom w:val="0"/>
                  <w:divBdr>
                    <w:top w:val="none" w:sz="0" w:space="0" w:color="auto"/>
                    <w:left w:val="none" w:sz="0" w:space="0" w:color="auto"/>
                    <w:bottom w:val="none" w:sz="0" w:space="0" w:color="auto"/>
                    <w:right w:val="none" w:sz="0" w:space="0" w:color="auto"/>
                  </w:divBdr>
                  <w:divsChild>
                    <w:div w:id="153105479">
                      <w:marLeft w:val="0"/>
                      <w:marRight w:val="0"/>
                      <w:marTop w:val="0"/>
                      <w:marBottom w:val="0"/>
                      <w:divBdr>
                        <w:top w:val="none" w:sz="0" w:space="0" w:color="auto"/>
                        <w:left w:val="none" w:sz="0" w:space="0" w:color="auto"/>
                        <w:bottom w:val="none" w:sz="0" w:space="0" w:color="auto"/>
                        <w:right w:val="none" w:sz="0" w:space="0" w:color="auto"/>
                      </w:divBdr>
                      <w:divsChild>
                        <w:div w:id="137501184">
                          <w:marLeft w:val="0"/>
                          <w:marRight w:val="0"/>
                          <w:marTop w:val="0"/>
                          <w:marBottom w:val="0"/>
                          <w:divBdr>
                            <w:top w:val="none" w:sz="0" w:space="0" w:color="auto"/>
                            <w:left w:val="none" w:sz="0" w:space="0" w:color="auto"/>
                            <w:bottom w:val="none" w:sz="0" w:space="0" w:color="auto"/>
                            <w:right w:val="none" w:sz="0" w:space="0" w:color="auto"/>
                          </w:divBdr>
                          <w:divsChild>
                            <w:div w:id="1640913583">
                              <w:marLeft w:val="0"/>
                              <w:marRight w:val="0"/>
                              <w:marTop w:val="0"/>
                              <w:marBottom w:val="0"/>
                              <w:divBdr>
                                <w:top w:val="none" w:sz="0" w:space="0" w:color="auto"/>
                                <w:left w:val="none" w:sz="0" w:space="0" w:color="auto"/>
                                <w:bottom w:val="none" w:sz="0" w:space="0" w:color="auto"/>
                                <w:right w:val="none" w:sz="0" w:space="0" w:color="auto"/>
                              </w:divBdr>
                              <w:divsChild>
                                <w:div w:id="1810322417">
                                  <w:marLeft w:val="0"/>
                                  <w:marRight w:val="0"/>
                                  <w:marTop w:val="0"/>
                                  <w:marBottom w:val="0"/>
                                  <w:divBdr>
                                    <w:top w:val="none" w:sz="0" w:space="0" w:color="auto"/>
                                    <w:left w:val="none" w:sz="0" w:space="0" w:color="auto"/>
                                    <w:bottom w:val="none" w:sz="0" w:space="0" w:color="auto"/>
                                    <w:right w:val="none" w:sz="0" w:space="0" w:color="auto"/>
                                  </w:divBdr>
                                  <w:divsChild>
                                    <w:div w:id="2105496457">
                                      <w:marLeft w:val="0"/>
                                      <w:marRight w:val="0"/>
                                      <w:marTop w:val="0"/>
                                      <w:marBottom w:val="0"/>
                                      <w:divBdr>
                                        <w:top w:val="none" w:sz="0" w:space="0" w:color="auto"/>
                                        <w:left w:val="none" w:sz="0" w:space="0" w:color="auto"/>
                                        <w:bottom w:val="none" w:sz="0" w:space="0" w:color="auto"/>
                                        <w:right w:val="none" w:sz="0" w:space="0" w:color="auto"/>
                                      </w:divBdr>
                                      <w:divsChild>
                                        <w:div w:id="317460117">
                                          <w:marLeft w:val="0"/>
                                          <w:marRight w:val="0"/>
                                          <w:marTop w:val="450"/>
                                          <w:marBottom w:val="300"/>
                                          <w:divBdr>
                                            <w:top w:val="none" w:sz="0" w:space="0" w:color="auto"/>
                                            <w:left w:val="none" w:sz="0" w:space="0" w:color="auto"/>
                                            <w:bottom w:val="none" w:sz="0" w:space="0" w:color="auto"/>
                                            <w:right w:val="none" w:sz="0" w:space="0" w:color="auto"/>
                                          </w:divBdr>
                                        </w:div>
                                        <w:div w:id="2132894961">
                                          <w:marLeft w:val="0"/>
                                          <w:marRight w:val="0"/>
                                          <w:marTop w:val="0"/>
                                          <w:marBottom w:val="0"/>
                                          <w:divBdr>
                                            <w:top w:val="none" w:sz="0" w:space="0" w:color="auto"/>
                                            <w:left w:val="none" w:sz="0" w:space="0" w:color="auto"/>
                                            <w:bottom w:val="none" w:sz="0" w:space="0" w:color="auto"/>
                                            <w:right w:val="none" w:sz="0" w:space="0" w:color="auto"/>
                                          </w:divBdr>
                                        </w:div>
                                        <w:div w:id="484587370">
                                          <w:marLeft w:val="0"/>
                                          <w:marRight w:val="0"/>
                                          <w:marTop w:val="0"/>
                                          <w:marBottom w:val="0"/>
                                          <w:divBdr>
                                            <w:top w:val="none" w:sz="0" w:space="0" w:color="auto"/>
                                            <w:left w:val="none" w:sz="0" w:space="0" w:color="auto"/>
                                            <w:bottom w:val="none" w:sz="0" w:space="0" w:color="auto"/>
                                            <w:right w:val="none" w:sz="0" w:space="0" w:color="auto"/>
                                          </w:divBdr>
                                        </w:div>
                                        <w:div w:id="2082287986">
                                          <w:marLeft w:val="0"/>
                                          <w:marRight w:val="0"/>
                                          <w:marTop w:val="0"/>
                                          <w:marBottom w:val="0"/>
                                          <w:divBdr>
                                            <w:top w:val="none" w:sz="0" w:space="0" w:color="auto"/>
                                            <w:left w:val="none" w:sz="0" w:space="0" w:color="auto"/>
                                            <w:bottom w:val="none" w:sz="0" w:space="0" w:color="auto"/>
                                            <w:right w:val="none" w:sz="0" w:space="0" w:color="auto"/>
                                          </w:divBdr>
                                        </w:div>
                                        <w:div w:id="1920822203">
                                          <w:marLeft w:val="0"/>
                                          <w:marRight w:val="0"/>
                                          <w:marTop w:val="0"/>
                                          <w:marBottom w:val="0"/>
                                          <w:divBdr>
                                            <w:top w:val="none" w:sz="0" w:space="0" w:color="auto"/>
                                            <w:left w:val="none" w:sz="0" w:space="0" w:color="auto"/>
                                            <w:bottom w:val="none" w:sz="0" w:space="0" w:color="auto"/>
                                            <w:right w:val="none" w:sz="0" w:space="0" w:color="auto"/>
                                          </w:divBdr>
                                        </w:div>
                                        <w:div w:id="136802098">
                                          <w:marLeft w:val="0"/>
                                          <w:marRight w:val="0"/>
                                          <w:marTop w:val="0"/>
                                          <w:marBottom w:val="0"/>
                                          <w:divBdr>
                                            <w:top w:val="none" w:sz="0" w:space="0" w:color="auto"/>
                                            <w:left w:val="none" w:sz="0" w:space="0" w:color="auto"/>
                                            <w:bottom w:val="none" w:sz="0" w:space="0" w:color="auto"/>
                                            <w:right w:val="none" w:sz="0" w:space="0" w:color="auto"/>
                                          </w:divBdr>
                                        </w:div>
                                        <w:div w:id="91628546">
                                          <w:marLeft w:val="0"/>
                                          <w:marRight w:val="0"/>
                                          <w:marTop w:val="0"/>
                                          <w:marBottom w:val="0"/>
                                          <w:divBdr>
                                            <w:top w:val="none" w:sz="0" w:space="0" w:color="auto"/>
                                            <w:left w:val="none" w:sz="0" w:space="0" w:color="auto"/>
                                            <w:bottom w:val="none" w:sz="0" w:space="0" w:color="auto"/>
                                            <w:right w:val="none" w:sz="0" w:space="0" w:color="auto"/>
                                          </w:divBdr>
                                        </w:div>
                                        <w:div w:id="71858533">
                                          <w:marLeft w:val="0"/>
                                          <w:marRight w:val="0"/>
                                          <w:marTop w:val="0"/>
                                          <w:marBottom w:val="0"/>
                                          <w:divBdr>
                                            <w:top w:val="none" w:sz="0" w:space="0" w:color="auto"/>
                                            <w:left w:val="none" w:sz="0" w:space="0" w:color="auto"/>
                                            <w:bottom w:val="none" w:sz="0" w:space="0" w:color="auto"/>
                                            <w:right w:val="none" w:sz="0" w:space="0" w:color="auto"/>
                                          </w:divBdr>
                                        </w:div>
                                        <w:div w:id="1043016577">
                                          <w:marLeft w:val="0"/>
                                          <w:marRight w:val="0"/>
                                          <w:marTop w:val="0"/>
                                          <w:marBottom w:val="0"/>
                                          <w:divBdr>
                                            <w:top w:val="none" w:sz="0" w:space="0" w:color="auto"/>
                                            <w:left w:val="none" w:sz="0" w:space="0" w:color="auto"/>
                                            <w:bottom w:val="none" w:sz="0" w:space="0" w:color="auto"/>
                                            <w:right w:val="none" w:sz="0" w:space="0" w:color="auto"/>
                                          </w:divBdr>
                                        </w:div>
                                        <w:div w:id="465390446">
                                          <w:marLeft w:val="0"/>
                                          <w:marRight w:val="0"/>
                                          <w:marTop w:val="0"/>
                                          <w:marBottom w:val="0"/>
                                          <w:divBdr>
                                            <w:top w:val="none" w:sz="0" w:space="0" w:color="auto"/>
                                            <w:left w:val="none" w:sz="0" w:space="0" w:color="auto"/>
                                            <w:bottom w:val="none" w:sz="0" w:space="0" w:color="auto"/>
                                            <w:right w:val="none" w:sz="0" w:space="0" w:color="auto"/>
                                          </w:divBdr>
                                        </w:div>
                                        <w:div w:id="190344472">
                                          <w:marLeft w:val="0"/>
                                          <w:marRight w:val="0"/>
                                          <w:marTop w:val="450"/>
                                          <w:marBottom w:val="300"/>
                                          <w:divBdr>
                                            <w:top w:val="none" w:sz="0" w:space="0" w:color="auto"/>
                                            <w:left w:val="none" w:sz="0" w:space="0" w:color="auto"/>
                                            <w:bottom w:val="none" w:sz="0" w:space="0" w:color="auto"/>
                                            <w:right w:val="none" w:sz="0" w:space="0" w:color="auto"/>
                                          </w:divBdr>
                                        </w:div>
                                        <w:div w:id="1542598622">
                                          <w:marLeft w:val="0"/>
                                          <w:marRight w:val="0"/>
                                          <w:marTop w:val="0"/>
                                          <w:marBottom w:val="0"/>
                                          <w:divBdr>
                                            <w:top w:val="none" w:sz="0" w:space="0" w:color="auto"/>
                                            <w:left w:val="none" w:sz="0" w:space="0" w:color="auto"/>
                                            <w:bottom w:val="none" w:sz="0" w:space="0" w:color="auto"/>
                                            <w:right w:val="none" w:sz="0" w:space="0" w:color="auto"/>
                                          </w:divBdr>
                                        </w:div>
                                      </w:divsChild>
                                    </w:div>
                                    <w:div w:id="14809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706016">
      <w:bodyDiv w:val="1"/>
      <w:marLeft w:val="0"/>
      <w:marRight w:val="0"/>
      <w:marTop w:val="0"/>
      <w:marBottom w:val="0"/>
      <w:divBdr>
        <w:top w:val="none" w:sz="0" w:space="0" w:color="auto"/>
        <w:left w:val="none" w:sz="0" w:space="0" w:color="auto"/>
        <w:bottom w:val="none" w:sz="0" w:space="0" w:color="auto"/>
        <w:right w:val="none" w:sz="0" w:space="0" w:color="auto"/>
      </w:divBdr>
      <w:divsChild>
        <w:div w:id="442312553">
          <w:marLeft w:val="0"/>
          <w:marRight w:val="0"/>
          <w:marTop w:val="0"/>
          <w:marBottom w:val="0"/>
          <w:divBdr>
            <w:top w:val="none" w:sz="0" w:space="0" w:color="auto"/>
            <w:left w:val="none" w:sz="0" w:space="0" w:color="auto"/>
            <w:bottom w:val="none" w:sz="0" w:space="0" w:color="auto"/>
            <w:right w:val="none" w:sz="0" w:space="0" w:color="auto"/>
          </w:divBdr>
          <w:divsChild>
            <w:div w:id="121844767">
              <w:marLeft w:val="0"/>
              <w:marRight w:val="0"/>
              <w:marTop w:val="0"/>
              <w:marBottom w:val="0"/>
              <w:divBdr>
                <w:top w:val="none" w:sz="0" w:space="0" w:color="auto"/>
                <w:left w:val="none" w:sz="0" w:space="0" w:color="auto"/>
                <w:bottom w:val="none" w:sz="0" w:space="0" w:color="auto"/>
                <w:right w:val="none" w:sz="0" w:space="0" w:color="auto"/>
              </w:divBdr>
              <w:divsChild>
                <w:div w:id="470828994">
                  <w:marLeft w:val="0"/>
                  <w:marRight w:val="0"/>
                  <w:marTop w:val="0"/>
                  <w:marBottom w:val="0"/>
                  <w:divBdr>
                    <w:top w:val="none" w:sz="0" w:space="0" w:color="auto"/>
                    <w:left w:val="none" w:sz="0" w:space="0" w:color="auto"/>
                    <w:bottom w:val="none" w:sz="0" w:space="0" w:color="auto"/>
                    <w:right w:val="none" w:sz="0" w:space="0" w:color="auto"/>
                  </w:divBdr>
                  <w:divsChild>
                    <w:div w:id="1984967601">
                      <w:marLeft w:val="0"/>
                      <w:marRight w:val="0"/>
                      <w:marTop w:val="0"/>
                      <w:marBottom w:val="0"/>
                      <w:divBdr>
                        <w:top w:val="none" w:sz="0" w:space="0" w:color="auto"/>
                        <w:left w:val="none" w:sz="0" w:space="0" w:color="auto"/>
                        <w:bottom w:val="none" w:sz="0" w:space="0" w:color="auto"/>
                        <w:right w:val="none" w:sz="0" w:space="0" w:color="auto"/>
                      </w:divBdr>
                      <w:divsChild>
                        <w:div w:id="273362340">
                          <w:marLeft w:val="0"/>
                          <w:marRight w:val="0"/>
                          <w:marTop w:val="0"/>
                          <w:marBottom w:val="0"/>
                          <w:divBdr>
                            <w:top w:val="none" w:sz="0" w:space="0" w:color="auto"/>
                            <w:left w:val="none" w:sz="0" w:space="0" w:color="auto"/>
                            <w:bottom w:val="none" w:sz="0" w:space="0" w:color="auto"/>
                            <w:right w:val="none" w:sz="0" w:space="0" w:color="auto"/>
                          </w:divBdr>
                          <w:divsChild>
                            <w:div w:id="962466284">
                              <w:marLeft w:val="0"/>
                              <w:marRight w:val="0"/>
                              <w:marTop w:val="0"/>
                              <w:marBottom w:val="0"/>
                              <w:divBdr>
                                <w:top w:val="none" w:sz="0" w:space="0" w:color="auto"/>
                                <w:left w:val="none" w:sz="0" w:space="0" w:color="auto"/>
                                <w:bottom w:val="none" w:sz="0" w:space="0" w:color="auto"/>
                                <w:right w:val="none" w:sz="0" w:space="0" w:color="auto"/>
                              </w:divBdr>
                              <w:divsChild>
                                <w:div w:id="1919169037">
                                  <w:marLeft w:val="0"/>
                                  <w:marRight w:val="0"/>
                                  <w:marTop w:val="0"/>
                                  <w:marBottom w:val="0"/>
                                  <w:divBdr>
                                    <w:top w:val="none" w:sz="0" w:space="0" w:color="auto"/>
                                    <w:left w:val="none" w:sz="0" w:space="0" w:color="auto"/>
                                    <w:bottom w:val="none" w:sz="0" w:space="0" w:color="auto"/>
                                    <w:right w:val="none" w:sz="0" w:space="0" w:color="auto"/>
                                  </w:divBdr>
                                  <w:divsChild>
                                    <w:div w:id="1034965661">
                                      <w:marLeft w:val="0"/>
                                      <w:marRight w:val="0"/>
                                      <w:marTop w:val="0"/>
                                      <w:marBottom w:val="0"/>
                                      <w:divBdr>
                                        <w:top w:val="none" w:sz="0" w:space="0" w:color="auto"/>
                                        <w:left w:val="none" w:sz="0" w:space="0" w:color="auto"/>
                                        <w:bottom w:val="none" w:sz="0" w:space="0" w:color="auto"/>
                                        <w:right w:val="none" w:sz="0" w:space="0" w:color="auto"/>
                                      </w:divBdr>
                                      <w:divsChild>
                                        <w:div w:id="14325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1655">
      <w:bodyDiv w:val="1"/>
      <w:marLeft w:val="0"/>
      <w:marRight w:val="0"/>
      <w:marTop w:val="0"/>
      <w:marBottom w:val="0"/>
      <w:divBdr>
        <w:top w:val="none" w:sz="0" w:space="0" w:color="auto"/>
        <w:left w:val="none" w:sz="0" w:space="0" w:color="auto"/>
        <w:bottom w:val="none" w:sz="0" w:space="0" w:color="auto"/>
        <w:right w:val="none" w:sz="0" w:space="0" w:color="auto"/>
      </w:divBdr>
    </w:div>
    <w:div w:id="388574375">
      <w:bodyDiv w:val="1"/>
      <w:marLeft w:val="0"/>
      <w:marRight w:val="0"/>
      <w:marTop w:val="0"/>
      <w:marBottom w:val="0"/>
      <w:divBdr>
        <w:top w:val="none" w:sz="0" w:space="0" w:color="auto"/>
        <w:left w:val="none" w:sz="0" w:space="0" w:color="auto"/>
        <w:bottom w:val="none" w:sz="0" w:space="0" w:color="auto"/>
        <w:right w:val="none" w:sz="0" w:space="0" w:color="auto"/>
      </w:divBdr>
    </w:div>
    <w:div w:id="494223691">
      <w:bodyDiv w:val="1"/>
      <w:marLeft w:val="0"/>
      <w:marRight w:val="0"/>
      <w:marTop w:val="0"/>
      <w:marBottom w:val="0"/>
      <w:divBdr>
        <w:top w:val="none" w:sz="0" w:space="0" w:color="auto"/>
        <w:left w:val="none" w:sz="0" w:space="0" w:color="auto"/>
        <w:bottom w:val="none" w:sz="0" w:space="0" w:color="auto"/>
        <w:right w:val="none" w:sz="0" w:space="0" w:color="auto"/>
      </w:divBdr>
      <w:divsChild>
        <w:div w:id="357319298">
          <w:marLeft w:val="0"/>
          <w:marRight w:val="0"/>
          <w:marTop w:val="0"/>
          <w:marBottom w:val="0"/>
          <w:divBdr>
            <w:top w:val="none" w:sz="0" w:space="0" w:color="auto"/>
            <w:left w:val="none" w:sz="0" w:space="0" w:color="auto"/>
            <w:bottom w:val="none" w:sz="0" w:space="0" w:color="auto"/>
            <w:right w:val="none" w:sz="0" w:space="0" w:color="auto"/>
          </w:divBdr>
          <w:divsChild>
            <w:div w:id="1955792777">
              <w:marLeft w:val="0"/>
              <w:marRight w:val="0"/>
              <w:marTop w:val="0"/>
              <w:marBottom w:val="0"/>
              <w:divBdr>
                <w:top w:val="none" w:sz="0" w:space="0" w:color="auto"/>
                <w:left w:val="none" w:sz="0" w:space="0" w:color="auto"/>
                <w:bottom w:val="none" w:sz="0" w:space="0" w:color="auto"/>
                <w:right w:val="none" w:sz="0" w:space="0" w:color="auto"/>
              </w:divBdr>
              <w:divsChild>
                <w:div w:id="1590504317">
                  <w:marLeft w:val="0"/>
                  <w:marRight w:val="0"/>
                  <w:marTop w:val="0"/>
                  <w:marBottom w:val="0"/>
                  <w:divBdr>
                    <w:top w:val="none" w:sz="0" w:space="0" w:color="auto"/>
                    <w:left w:val="none" w:sz="0" w:space="0" w:color="auto"/>
                    <w:bottom w:val="none" w:sz="0" w:space="0" w:color="auto"/>
                    <w:right w:val="none" w:sz="0" w:space="0" w:color="auto"/>
                  </w:divBdr>
                  <w:divsChild>
                    <w:div w:id="148055902">
                      <w:marLeft w:val="0"/>
                      <w:marRight w:val="0"/>
                      <w:marTop w:val="0"/>
                      <w:marBottom w:val="0"/>
                      <w:divBdr>
                        <w:top w:val="none" w:sz="0" w:space="0" w:color="auto"/>
                        <w:left w:val="none" w:sz="0" w:space="0" w:color="auto"/>
                        <w:bottom w:val="none" w:sz="0" w:space="0" w:color="auto"/>
                        <w:right w:val="none" w:sz="0" w:space="0" w:color="auto"/>
                      </w:divBdr>
                      <w:divsChild>
                        <w:div w:id="1069813561">
                          <w:marLeft w:val="0"/>
                          <w:marRight w:val="0"/>
                          <w:marTop w:val="0"/>
                          <w:marBottom w:val="0"/>
                          <w:divBdr>
                            <w:top w:val="none" w:sz="0" w:space="0" w:color="auto"/>
                            <w:left w:val="none" w:sz="0" w:space="0" w:color="auto"/>
                            <w:bottom w:val="none" w:sz="0" w:space="0" w:color="auto"/>
                            <w:right w:val="none" w:sz="0" w:space="0" w:color="auto"/>
                          </w:divBdr>
                          <w:divsChild>
                            <w:div w:id="1491097311">
                              <w:marLeft w:val="0"/>
                              <w:marRight w:val="0"/>
                              <w:marTop w:val="0"/>
                              <w:marBottom w:val="0"/>
                              <w:divBdr>
                                <w:top w:val="none" w:sz="0" w:space="0" w:color="auto"/>
                                <w:left w:val="none" w:sz="0" w:space="0" w:color="auto"/>
                                <w:bottom w:val="none" w:sz="0" w:space="0" w:color="auto"/>
                                <w:right w:val="none" w:sz="0" w:space="0" w:color="auto"/>
                              </w:divBdr>
                              <w:divsChild>
                                <w:div w:id="1478952983">
                                  <w:marLeft w:val="0"/>
                                  <w:marRight w:val="0"/>
                                  <w:marTop w:val="0"/>
                                  <w:marBottom w:val="0"/>
                                  <w:divBdr>
                                    <w:top w:val="none" w:sz="0" w:space="0" w:color="auto"/>
                                    <w:left w:val="none" w:sz="0" w:space="0" w:color="auto"/>
                                    <w:bottom w:val="none" w:sz="0" w:space="0" w:color="auto"/>
                                    <w:right w:val="none" w:sz="0" w:space="0" w:color="auto"/>
                                  </w:divBdr>
                                  <w:divsChild>
                                    <w:div w:id="1748571203">
                                      <w:marLeft w:val="0"/>
                                      <w:marRight w:val="0"/>
                                      <w:marTop w:val="0"/>
                                      <w:marBottom w:val="0"/>
                                      <w:divBdr>
                                        <w:top w:val="none" w:sz="0" w:space="0" w:color="auto"/>
                                        <w:left w:val="none" w:sz="0" w:space="0" w:color="auto"/>
                                        <w:bottom w:val="none" w:sz="0" w:space="0" w:color="auto"/>
                                        <w:right w:val="none" w:sz="0" w:space="0" w:color="auto"/>
                                      </w:divBdr>
                                      <w:divsChild>
                                        <w:div w:id="4925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486719">
      <w:bodyDiv w:val="1"/>
      <w:marLeft w:val="0"/>
      <w:marRight w:val="0"/>
      <w:marTop w:val="0"/>
      <w:marBottom w:val="0"/>
      <w:divBdr>
        <w:top w:val="none" w:sz="0" w:space="0" w:color="auto"/>
        <w:left w:val="none" w:sz="0" w:space="0" w:color="auto"/>
        <w:bottom w:val="none" w:sz="0" w:space="0" w:color="auto"/>
        <w:right w:val="none" w:sz="0" w:space="0" w:color="auto"/>
      </w:divBdr>
      <w:divsChild>
        <w:div w:id="510342679">
          <w:marLeft w:val="0"/>
          <w:marRight w:val="0"/>
          <w:marTop w:val="0"/>
          <w:marBottom w:val="0"/>
          <w:divBdr>
            <w:top w:val="none" w:sz="0" w:space="0" w:color="auto"/>
            <w:left w:val="none" w:sz="0" w:space="0" w:color="auto"/>
            <w:bottom w:val="none" w:sz="0" w:space="0" w:color="auto"/>
            <w:right w:val="none" w:sz="0" w:space="0" w:color="auto"/>
          </w:divBdr>
          <w:divsChild>
            <w:div w:id="1907956318">
              <w:marLeft w:val="0"/>
              <w:marRight w:val="0"/>
              <w:marTop w:val="0"/>
              <w:marBottom w:val="0"/>
              <w:divBdr>
                <w:top w:val="none" w:sz="0" w:space="0" w:color="auto"/>
                <w:left w:val="none" w:sz="0" w:space="0" w:color="auto"/>
                <w:bottom w:val="none" w:sz="0" w:space="0" w:color="auto"/>
                <w:right w:val="none" w:sz="0" w:space="0" w:color="auto"/>
              </w:divBdr>
              <w:divsChild>
                <w:div w:id="718357271">
                  <w:marLeft w:val="0"/>
                  <w:marRight w:val="0"/>
                  <w:marTop w:val="0"/>
                  <w:marBottom w:val="0"/>
                  <w:divBdr>
                    <w:top w:val="none" w:sz="0" w:space="0" w:color="auto"/>
                    <w:left w:val="none" w:sz="0" w:space="0" w:color="auto"/>
                    <w:bottom w:val="none" w:sz="0" w:space="0" w:color="auto"/>
                    <w:right w:val="none" w:sz="0" w:space="0" w:color="auto"/>
                  </w:divBdr>
                  <w:divsChild>
                    <w:div w:id="484973534">
                      <w:marLeft w:val="0"/>
                      <w:marRight w:val="0"/>
                      <w:marTop w:val="0"/>
                      <w:marBottom w:val="0"/>
                      <w:divBdr>
                        <w:top w:val="none" w:sz="0" w:space="0" w:color="auto"/>
                        <w:left w:val="none" w:sz="0" w:space="0" w:color="auto"/>
                        <w:bottom w:val="none" w:sz="0" w:space="0" w:color="auto"/>
                        <w:right w:val="none" w:sz="0" w:space="0" w:color="auto"/>
                      </w:divBdr>
                      <w:divsChild>
                        <w:div w:id="827525732">
                          <w:marLeft w:val="0"/>
                          <w:marRight w:val="0"/>
                          <w:marTop w:val="0"/>
                          <w:marBottom w:val="0"/>
                          <w:divBdr>
                            <w:top w:val="none" w:sz="0" w:space="0" w:color="auto"/>
                            <w:left w:val="none" w:sz="0" w:space="0" w:color="auto"/>
                            <w:bottom w:val="none" w:sz="0" w:space="0" w:color="auto"/>
                            <w:right w:val="none" w:sz="0" w:space="0" w:color="auto"/>
                          </w:divBdr>
                          <w:divsChild>
                            <w:div w:id="2091344337">
                              <w:marLeft w:val="0"/>
                              <w:marRight w:val="0"/>
                              <w:marTop w:val="0"/>
                              <w:marBottom w:val="0"/>
                              <w:divBdr>
                                <w:top w:val="none" w:sz="0" w:space="0" w:color="auto"/>
                                <w:left w:val="none" w:sz="0" w:space="0" w:color="auto"/>
                                <w:bottom w:val="none" w:sz="0" w:space="0" w:color="auto"/>
                                <w:right w:val="none" w:sz="0" w:space="0" w:color="auto"/>
                              </w:divBdr>
                              <w:divsChild>
                                <w:div w:id="1853643242">
                                  <w:marLeft w:val="0"/>
                                  <w:marRight w:val="0"/>
                                  <w:marTop w:val="0"/>
                                  <w:marBottom w:val="0"/>
                                  <w:divBdr>
                                    <w:top w:val="none" w:sz="0" w:space="0" w:color="auto"/>
                                    <w:left w:val="none" w:sz="0" w:space="0" w:color="auto"/>
                                    <w:bottom w:val="none" w:sz="0" w:space="0" w:color="auto"/>
                                    <w:right w:val="none" w:sz="0" w:space="0" w:color="auto"/>
                                  </w:divBdr>
                                  <w:divsChild>
                                    <w:div w:id="589581370">
                                      <w:marLeft w:val="0"/>
                                      <w:marRight w:val="0"/>
                                      <w:marTop w:val="0"/>
                                      <w:marBottom w:val="0"/>
                                      <w:divBdr>
                                        <w:top w:val="none" w:sz="0" w:space="0" w:color="auto"/>
                                        <w:left w:val="none" w:sz="0" w:space="0" w:color="auto"/>
                                        <w:bottom w:val="none" w:sz="0" w:space="0" w:color="auto"/>
                                        <w:right w:val="none" w:sz="0" w:space="0" w:color="auto"/>
                                      </w:divBdr>
                                      <w:divsChild>
                                        <w:div w:id="18285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412570">
      <w:bodyDiv w:val="1"/>
      <w:marLeft w:val="0"/>
      <w:marRight w:val="0"/>
      <w:marTop w:val="0"/>
      <w:marBottom w:val="0"/>
      <w:divBdr>
        <w:top w:val="none" w:sz="0" w:space="0" w:color="auto"/>
        <w:left w:val="none" w:sz="0" w:space="0" w:color="auto"/>
        <w:bottom w:val="none" w:sz="0" w:space="0" w:color="auto"/>
        <w:right w:val="none" w:sz="0" w:space="0" w:color="auto"/>
      </w:divBdr>
    </w:div>
    <w:div w:id="670065395">
      <w:bodyDiv w:val="1"/>
      <w:marLeft w:val="0"/>
      <w:marRight w:val="0"/>
      <w:marTop w:val="0"/>
      <w:marBottom w:val="0"/>
      <w:divBdr>
        <w:top w:val="none" w:sz="0" w:space="0" w:color="auto"/>
        <w:left w:val="none" w:sz="0" w:space="0" w:color="auto"/>
        <w:bottom w:val="none" w:sz="0" w:space="0" w:color="auto"/>
        <w:right w:val="none" w:sz="0" w:space="0" w:color="auto"/>
      </w:divBdr>
    </w:div>
    <w:div w:id="723217934">
      <w:bodyDiv w:val="1"/>
      <w:marLeft w:val="0"/>
      <w:marRight w:val="0"/>
      <w:marTop w:val="0"/>
      <w:marBottom w:val="0"/>
      <w:divBdr>
        <w:top w:val="none" w:sz="0" w:space="0" w:color="auto"/>
        <w:left w:val="none" w:sz="0" w:space="0" w:color="auto"/>
        <w:bottom w:val="none" w:sz="0" w:space="0" w:color="auto"/>
        <w:right w:val="none" w:sz="0" w:space="0" w:color="auto"/>
      </w:divBdr>
    </w:div>
    <w:div w:id="764496376">
      <w:bodyDiv w:val="1"/>
      <w:marLeft w:val="0"/>
      <w:marRight w:val="0"/>
      <w:marTop w:val="0"/>
      <w:marBottom w:val="0"/>
      <w:divBdr>
        <w:top w:val="none" w:sz="0" w:space="0" w:color="auto"/>
        <w:left w:val="none" w:sz="0" w:space="0" w:color="auto"/>
        <w:bottom w:val="none" w:sz="0" w:space="0" w:color="auto"/>
        <w:right w:val="none" w:sz="0" w:space="0" w:color="auto"/>
      </w:divBdr>
    </w:div>
    <w:div w:id="786656756">
      <w:bodyDiv w:val="1"/>
      <w:marLeft w:val="0"/>
      <w:marRight w:val="0"/>
      <w:marTop w:val="0"/>
      <w:marBottom w:val="0"/>
      <w:divBdr>
        <w:top w:val="none" w:sz="0" w:space="0" w:color="auto"/>
        <w:left w:val="none" w:sz="0" w:space="0" w:color="auto"/>
        <w:bottom w:val="none" w:sz="0" w:space="0" w:color="auto"/>
        <w:right w:val="none" w:sz="0" w:space="0" w:color="auto"/>
      </w:divBdr>
      <w:divsChild>
        <w:div w:id="540942209">
          <w:marLeft w:val="0"/>
          <w:marRight w:val="0"/>
          <w:marTop w:val="0"/>
          <w:marBottom w:val="0"/>
          <w:divBdr>
            <w:top w:val="none" w:sz="0" w:space="0" w:color="auto"/>
            <w:left w:val="none" w:sz="0" w:space="0" w:color="auto"/>
            <w:bottom w:val="none" w:sz="0" w:space="0" w:color="auto"/>
            <w:right w:val="none" w:sz="0" w:space="0" w:color="auto"/>
          </w:divBdr>
          <w:divsChild>
            <w:div w:id="1594317981">
              <w:marLeft w:val="0"/>
              <w:marRight w:val="0"/>
              <w:marTop w:val="0"/>
              <w:marBottom w:val="0"/>
              <w:divBdr>
                <w:top w:val="none" w:sz="0" w:space="0" w:color="auto"/>
                <w:left w:val="none" w:sz="0" w:space="0" w:color="auto"/>
                <w:bottom w:val="none" w:sz="0" w:space="0" w:color="auto"/>
                <w:right w:val="none" w:sz="0" w:space="0" w:color="auto"/>
              </w:divBdr>
              <w:divsChild>
                <w:div w:id="411896622">
                  <w:marLeft w:val="0"/>
                  <w:marRight w:val="0"/>
                  <w:marTop w:val="0"/>
                  <w:marBottom w:val="0"/>
                  <w:divBdr>
                    <w:top w:val="none" w:sz="0" w:space="0" w:color="auto"/>
                    <w:left w:val="none" w:sz="0" w:space="0" w:color="auto"/>
                    <w:bottom w:val="none" w:sz="0" w:space="0" w:color="auto"/>
                    <w:right w:val="none" w:sz="0" w:space="0" w:color="auto"/>
                  </w:divBdr>
                  <w:divsChild>
                    <w:div w:id="1658532885">
                      <w:marLeft w:val="0"/>
                      <w:marRight w:val="0"/>
                      <w:marTop w:val="0"/>
                      <w:marBottom w:val="0"/>
                      <w:divBdr>
                        <w:top w:val="none" w:sz="0" w:space="0" w:color="auto"/>
                        <w:left w:val="none" w:sz="0" w:space="0" w:color="auto"/>
                        <w:bottom w:val="none" w:sz="0" w:space="0" w:color="auto"/>
                        <w:right w:val="none" w:sz="0" w:space="0" w:color="auto"/>
                      </w:divBdr>
                      <w:divsChild>
                        <w:div w:id="938292624">
                          <w:marLeft w:val="0"/>
                          <w:marRight w:val="0"/>
                          <w:marTop w:val="0"/>
                          <w:marBottom w:val="0"/>
                          <w:divBdr>
                            <w:top w:val="none" w:sz="0" w:space="0" w:color="auto"/>
                            <w:left w:val="none" w:sz="0" w:space="0" w:color="auto"/>
                            <w:bottom w:val="none" w:sz="0" w:space="0" w:color="auto"/>
                            <w:right w:val="none" w:sz="0" w:space="0" w:color="auto"/>
                          </w:divBdr>
                          <w:divsChild>
                            <w:div w:id="1990358486">
                              <w:marLeft w:val="0"/>
                              <w:marRight w:val="0"/>
                              <w:marTop w:val="0"/>
                              <w:marBottom w:val="0"/>
                              <w:divBdr>
                                <w:top w:val="none" w:sz="0" w:space="0" w:color="auto"/>
                                <w:left w:val="none" w:sz="0" w:space="0" w:color="auto"/>
                                <w:bottom w:val="none" w:sz="0" w:space="0" w:color="auto"/>
                                <w:right w:val="none" w:sz="0" w:space="0" w:color="auto"/>
                              </w:divBdr>
                              <w:divsChild>
                                <w:div w:id="1451048827">
                                  <w:marLeft w:val="0"/>
                                  <w:marRight w:val="0"/>
                                  <w:marTop w:val="0"/>
                                  <w:marBottom w:val="0"/>
                                  <w:divBdr>
                                    <w:top w:val="none" w:sz="0" w:space="0" w:color="auto"/>
                                    <w:left w:val="none" w:sz="0" w:space="0" w:color="auto"/>
                                    <w:bottom w:val="none" w:sz="0" w:space="0" w:color="auto"/>
                                    <w:right w:val="none" w:sz="0" w:space="0" w:color="auto"/>
                                  </w:divBdr>
                                  <w:divsChild>
                                    <w:div w:id="2040818357">
                                      <w:marLeft w:val="0"/>
                                      <w:marRight w:val="0"/>
                                      <w:marTop w:val="0"/>
                                      <w:marBottom w:val="0"/>
                                      <w:divBdr>
                                        <w:top w:val="none" w:sz="0" w:space="0" w:color="auto"/>
                                        <w:left w:val="none" w:sz="0" w:space="0" w:color="auto"/>
                                        <w:bottom w:val="none" w:sz="0" w:space="0" w:color="auto"/>
                                        <w:right w:val="none" w:sz="0" w:space="0" w:color="auto"/>
                                      </w:divBdr>
                                      <w:divsChild>
                                        <w:div w:id="9133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783963">
      <w:bodyDiv w:val="1"/>
      <w:marLeft w:val="0"/>
      <w:marRight w:val="0"/>
      <w:marTop w:val="0"/>
      <w:marBottom w:val="0"/>
      <w:divBdr>
        <w:top w:val="none" w:sz="0" w:space="0" w:color="auto"/>
        <w:left w:val="none" w:sz="0" w:space="0" w:color="auto"/>
        <w:bottom w:val="none" w:sz="0" w:space="0" w:color="auto"/>
        <w:right w:val="none" w:sz="0" w:space="0" w:color="auto"/>
      </w:divBdr>
      <w:divsChild>
        <w:div w:id="250741144">
          <w:marLeft w:val="0"/>
          <w:marRight w:val="0"/>
          <w:marTop w:val="0"/>
          <w:marBottom w:val="0"/>
          <w:divBdr>
            <w:top w:val="none" w:sz="0" w:space="0" w:color="auto"/>
            <w:left w:val="none" w:sz="0" w:space="0" w:color="auto"/>
            <w:bottom w:val="none" w:sz="0" w:space="0" w:color="auto"/>
            <w:right w:val="none" w:sz="0" w:space="0" w:color="auto"/>
          </w:divBdr>
          <w:divsChild>
            <w:div w:id="781726287">
              <w:marLeft w:val="0"/>
              <w:marRight w:val="0"/>
              <w:marTop w:val="0"/>
              <w:marBottom w:val="0"/>
              <w:divBdr>
                <w:top w:val="none" w:sz="0" w:space="0" w:color="auto"/>
                <w:left w:val="none" w:sz="0" w:space="0" w:color="auto"/>
                <w:bottom w:val="none" w:sz="0" w:space="0" w:color="auto"/>
                <w:right w:val="none" w:sz="0" w:space="0" w:color="auto"/>
              </w:divBdr>
              <w:divsChild>
                <w:div w:id="157961389">
                  <w:marLeft w:val="0"/>
                  <w:marRight w:val="0"/>
                  <w:marTop w:val="0"/>
                  <w:marBottom w:val="0"/>
                  <w:divBdr>
                    <w:top w:val="none" w:sz="0" w:space="0" w:color="auto"/>
                    <w:left w:val="none" w:sz="0" w:space="0" w:color="auto"/>
                    <w:bottom w:val="none" w:sz="0" w:space="0" w:color="auto"/>
                    <w:right w:val="none" w:sz="0" w:space="0" w:color="auto"/>
                  </w:divBdr>
                  <w:divsChild>
                    <w:div w:id="587156325">
                      <w:marLeft w:val="0"/>
                      <w:marRight w:val="0"/>
                      <w:marTop w:val="0"/>
                      <w:marBottom w:val="0"/>
                      <w:divBdr>
                        <w:top w:val="none" w:sz="0" w:space="0" w:color="auto"/>
                        <w:left w:val="none" w:sz="0" w:space="0" w:color="auto"/>
                        <w:bottom w:val="none" w:sz="0" w:space="0" w:color="auto"/>
                        <w:right w:val="none" w:sz="0" w:space="0" w:color="auto"/>
                      </w:divBdr>
                      <w:divsChild>
                        <w:div w:id="2084133885">
                          <w:marLeft w:val="0"/>
                          <w:marRight w:val="0"/>
                          <w:marTop w:val="0"/>
                          <w:marBottom w:val="0"/>
                          <w:divBdr>
                            <w:top w:val="none" w:sz="0" w:space="0" w:color="auto"/>
                            <w:left w:val="none" w:sz="0" w:space="0" w:color="auto"/>
                            <w:bottom w:val="none" w:sz="0" w:space="0" w:color="auto"/>
                            <w:right w:val="none" w:sz="0" w:space="0" w:color="auto"/>
                          </w:divBdr>
                          <w:divsChild>
                            <w:div w:id="1885671665">
                              <w:marLeft w:val="0"/>
                              <w:marRight w:val="0"/>
                              <w:marTop w:val="0"/>
                              <w:marBottom w:val="0"/>
                              <w:divBdr>
                                <w:top w:val="none" w:sz="0" w:space="0" w:color="auto"/>
                                <w:left w:val="none" w:sz="0" w:space="0" w:color="auto"/>
                                <w:bottom w:val="none" w:sz="0" w:space="0" w:color="auto"/>
                                <w:right w:val="none" w:sz="0" w:space="0" w:color="auto"/>
                              </w:divBdr>
                              <w:divsChild>
                                <w:div w:id="115877406">
                                  <w:marLeft w:val="0"/>
                                  <w:marRight w:val="0"/>
                                  <w:marTop w:val="0"/>
                                  <w:marBottom w:val="0"/>
                                  <w:divBdr>
                                    <w:top w:val="none" w:sz="0" w:space="0" w:color="auto"/>
                                    <w:left w:val="none" w:sz="0" w:space="0" w:color="auto"/>
                                    <w:bottom w:val="none" w:sz="0" w:space="0" w:color="auto"/>
                                    <w:right w:val="none" w:sz="0" w:space="0" w:color="auto"/>
                                  </w:divBdr>
                                  <w:divsChild>
                                    <w:div w:id="174005096">
                                      <w:marLeft w:val="0"/>
                                      <w:marRight w:val="0"/>
                                      <w:marTop w:val="0"/>
                                      <w:marBottom w:val="0"/>
                                      <w:divBdr>
                                        <w:top w:val="none" w:sz="0" w:space="0" w:color="auto"/>
                                        <w:left w:val="none" w:sz="0" w:space="0" w:color="auto"/>
                                        <w:bottom w:val="none" w:sz="0" w:space="0" w:color="auto"/>
                                        <w:right w:val="none" w:sz="0" w:space="0" w:color="auto"/>
                                      </w:divBdr>
                                      <w:divsChild>
                                        <w:div w:id="4404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964593">
      <w:bodyDiv w:val="1"/>
      <w:marLeft w:val="0"/>
      <w:marRight w:val="0"/>
      <w:marTop w:val="0"/>
      <w:marBottom w:val="0"/>
      <w:divBdr>
        <w:top w:val="none" w:sz="0" w:space="0" w:color="auto"/>
        <w:left w:val="none" w:sz="0" w:space="0" w:color="auto"/>
        <w:bottom w:val="none" w:sz="0" w:space="0" w:color="auto"/>
        <w:right w:val="none" w:sz="0" w:space="0" w:color="auto"/>
      </w:divBdr>
    </w:div>
    <w:div w:id="839075807">
      <w:bodyDiv w:val="1"/>
      <w:marLeft w:val="0"/>
      <w:marRight w:val="0"/>
      <w:marTop w:val="0"/>
      <w:marBottom w:val="0"/>
      <w:divBdr>
        <w:top w:val="none" w:sz="0" w:space="0" w:color="auto"/>
        <w:left w:val="none" w:sz="0" w:space="0" w:color="auto"/>
        <w:bottom w:val="none" w:sz="0" w:space="0" w:color="auto"/>
        <w:right w:val="none" w:sz="0" w:space="0" w:color="auto"/>
      </w:divBdr>
      <w:divsChild>
        <w:div w:id="2055692586">
          <w:marLeft w:val="0"/>
          <w:marRight w:val="0"/>
          <w:marTop w:val="0"/>
          <w:marBottom w:val="0"/>
          <w:divBdr>
            <w:top w:val="none" w:sz="0" w:space="0" w:color="auto"/>
            <w:left w:val="none" w:sz="0" w:space="0" w:color="auto"/>
            <w:bottom w:val="none" w:sz="0" w:space="0" w:color="auto"/>
            <w:right w:val="none" w:sz="0" w:space="0" w:color="auto"/>
          </w:divBdr>
          <w:divsChild>
            <w:div w:id="276912124">
              <w:marLeft w:val="0"/>
              <w:marRight w:val="0"/>
              <w:marTop w:val="0"/>
              <w:marBottom w:val="0"/>
              <w:divBdr>
                <w:top w:val="none" w:sz="0" w:space="0" w:color="auto"/>
                <w:left w:val="none" w:sz="0" w:space="0" w:color="auto"/>
                <w:bottom w:val="none" w:sz="0" w:space="0" w:color="auto"/>
                <w:right w:val="none" w:sz="0" w:space="0" w:color="auto"/>
              </w:divBdr>
              <w:divsChild>
                <w:div w:id="246159068">
                  <w:marLeft w:val="0"/>
                  <w:marRight w:val="0"/>
                  <w:marTop w:val="0"/>
                  <w:marBottom w:val="0"/>
                  <w:divBdr>
                    <w:top w:val="none" w:sz="0" w:space="0" w:color="auto"/>
                    <w:left w:val="none" w:sz="0" w:space="0" w:color="auto"/>
                    <w:bottom w:val="none" w:sz="0" w:space="0" w:color="auto"/>
                    <w:right w:val="none" w:sz="0" w:space="0" w:color="auto"/>
                  </w:divBdr>
                  <w:divsChild>
                    <w:div w:id="95953739">
                      <w:marLeft w:val="0"/>
                      <w:marRight w:val="0"/>
                      <w:marTop w:val="0"/>
                      <w:marBottom w:val="0"/>
                      <w:divBdr>
                        <w:top w:val="none" w:sz="0" w:space="0" w:color="auto"/>
                        <w:left w:val="none" w:sz="0" w:space="0" w:color="auto"/>
                        <w:bottom w:val="none" w:sz="0" w:space="0" w:color="auto"/>
                        <w:right w:val="none" w:sz="0" w:space="0" w:color="auto"/>
                      </w:divBdr>
                      <w:divsChild>
                        <w:div w:id="840894835">
                          <w:marLeft w:val="0"/>
                          <w:marRight w:val="0"/>
                          <w:marTop w:val="0"/>
                          <w:marBottom w:val="0"/>
                          <w:divBdr>
                            <w:top w:val="none" w:sz="0" w:space="0" w:color="auto"/>
                            <w:left w:val="none" w:sz="0" w:space="0" w:color="auto"/>
                            <w:bottom w:val="none" w:sz="0" w:space="0" w:color="auto"/>
                            <w:right w:val="none" w:sz="0" w:space="0" w:color="auto"/>
                          </w:divBdr>
                          <w:divsChild>
                            <w:div w:id="1593850775">
                              <w:marLeft w:val="0"/>
                              <w:marRight w:val="0"/>
                              <w:marTop w:val="0"/>
                              <w:marBottom w:val="0"/>
                              <w:divBdr>
                                <w:top w:val="none" w:sz="0" w:space="0" w:color="auto"/>
                                <w:left w:val="none" w:sz="0" w:space="0" w:color="auto"/>
                                <w:bottom w:val="none" w:sz="0" w:space="0" w:color="auto"/>
                                <w:right w:val="none" w:sz="0" w:space="0" w:color="auto"/>
                              </w:divBdr>
                              <w:divsChild>
                                <w:div w:id="680624079">
                                  <w:marLeft w:val="0"/>
                                  <w:marRight w:val="0"/>
                                  <w:marTop w:val="0"/>
                                  <w:marBottom w:val="0"/>
                                  <w:divBdr>
                                    <w:top w:val="none" w:sz="0" w:space="0" w:color="auto"/>
                                    <w:left w:val="none" w:sz="0" w:space="0" w:color="auto"/>
                                    <w:bottom w:val="none" w:sz="0" w:space="0" w:color="auto"/>
                                    <w:right w:val="none" w:sz="0" w:space="0" w:color="auto"/>
                                  </w:divBdr>
                                  <w:divsChild>
                                    <w:div w:id="719520529">
                                      <w:marLeft w:val="0"/>
                                      <w:marRight w:val="0"/>
                                      <w:marTop w:val="0"/>
                                      <w:marBottom w:val="0"/>
                                      <w:divBdr>
                                        <w:top w:val="none" w:sz="0" w:space="0" w:color="auto"/>
                                        <w:left w:val="none" w:sz="0" w:space="0" w:color="auto"/>
                                        <w:bottom w:val="none" w:sz="0" w:space="0" w:color="auto"/>
                                        <w:right w:val="none" w:sz="0" w:space="0" w:color="auto"/>
                                      </w:divBdr>
                                      <w:divsChild>
                                        <w:div w:id="6315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14402">
      <w:bodyDiv w:val="1"/>
      <w:marLeft w:val="0"/>
      <w:marRight w:val="0"/>
      <w:marTop w:val="0"/>
      <w:marBottom w:val="0"/>
      <w:divBdr>
        <w:top w:val="none" w:sz="0" w:space="0" w:color="auto"/>
        <w:left w:val="none" w:sz="0" w:space="0" w:color="auto"/>
        <w:bottom w:val="none" w:sz="0" w:space="0" w:color="auto"/>
        <w:right w:val="none" w:sz="0" w:space="0" w:color="auto"/>
      </w:divBdr>
      <w:divsChild>
        <w:div w:id="1036584111">
          <w:marLeft w:val="0"/>
          <w:marRight w:val="0"/>
          <w:marTop w:val="0"/>
          <w:marBottom w:val="0"/>
          <w:divBdr>
            <w:top w:val="none" w:sz="0" w:space="0" w:color="auto"/>
            <w:left w:val="none" w:sz="0" w:space="0" w:color="auto"/>
            <w:bottom w:val="none" w:sz="0" w:space="0" w:color="auto"/>
            <w:right w:val="none" w:sz="0" w:space="0" w:color="auto"/>
          </w:divBdr>
          <w:divsChild>
            <w:div w:id="2082169734">
              <w:marLeft w:val="0"/>
              <w:marRight w:val="0"/>
              <w:marTop w:val="0"/>
              <w:marBottom w:val="0"/>
              <w:divBdr>
                <w:top w:val="none" w:sz="0" w:space="0" w:color="auto"/>
                <w:left w:val="none" w:sz="0" w:space="0" w:color="auto"/>
                <w:bottom w:val="none" w:sz="0" w:space="0" w:color="auto"/>
                <w:right w:val="none" w:sz="0" w:space="0" w:color="auto"/>
              </w:divBdr>
              <w:divsChild>
                <w:div w:id="590546270">
                  <w:marLeft w:val="0"/>
                  <w:marRight w:val="0"/>
                  <w:marTop w:val="0"/>
                  <w:marBottom w:val="0"/>
                  <w:divBdr>
                    <w:top w:val="none" w:sz="0" w:space="0" w:color="auto"/>
                    <w:left w:val="none" w:sz="0" w:space="0" w:color="auto"/>
                    <w:bottom w:val="none" w:sz="0" w:space="0" w:color="auto"/>
                    <w:right w:val="none" w:sz="0" w:space="0" w:color="auto"/>
                  </w:divBdr>
                  <w:divsChild>
                    <w:div w:id="1023361910">
                      <w:marLeft w:val="0"/>
                      <w:marRight w:val="0"/>
                      <w:marTop w:val="0"/>
                      <w:marBottom w:val="0"/>
                      <w:divBdr>
                        <w:top w:val="none" w:sz="0" w:space="0" w:color="auto"/>
                        <w:left w:val="none" w:sz="0" w:space="0" w:color="auto"/>
                        <w:bottom w:val="none" w:sz="0" w:space="0" w:color="auto"/>
                        <w:right w:val="none" w:sz="0" w:space="0" w:color="auto"/>
                      </w:divBdr>
                      <w:divsChild>
                        <w:div w:id="468865014">
                          <w:marLeft w:val="0"/>
                          <w:marRight w:val="0"/>
                          <w:marTop w:val="0"/>
                          <w:marBottom w:val="0"/>
                          <w:divBdr>
                            <w:top w:val="none" w:sz="0" w:space="0" w:color="auto"/>
                            <w:left w:val="none" w:sz="0" w:space="0" w:color="auto"/>
                            <w:bottom w:val="none" w:sz="0" w:space="0" w:color="auto"/>
                            <w:right w:val="none" w:sz="0" w:space="0" w:color="auto"/>
                          </w:divBdr>
                          <w:divsChild>
                            <w:div w:id="1769154557">
                              <w:marLeft w:val="0"/>
                              <w:marRight w:val="0"/>
                              <w:marTop w:val="0"/>
                              <w:marBottom w:val="0"/>
                              <w:divBdr>
                                <w:top w:val="none" w:sz="0" w:space="0" w:color="auto"/>
                                <w:left w:val="none" w:sz="0" w:space="0" w:color="auto"/>
                                <w:bottom w:val="none" w:sz="0" w:space="0" w:color="auto"/>
                                <w:right w:val="none" w:sz="0" w:space="0" w:color="auto"/>
                              </w:divBdr>
                              <w:divsChild>
                                <w:div w:id="1312097740">
                                  <w:marLeft w:val="0"/>
                                  <w:marRight w:val="0"/>
                                  <w:marTop w:val="0"/>
                                  <w:marBottom w:val="0"/>
                                  <w:divBdr>
                                    <w:top w:val="none" w:sz="0" w:space="0" w:color="auto"/>
                                    <w:left w:val="none" w:sz="0" w:space="0" w:color="auto"/>
                                    <w:bottom w:val="none" w:sz="0" w:space="0" w:color="auto"/>
                                    <w:right w:val="none" w:sz="0" w:space="0" w:color="auto"/>
                                  </w:divBdr>
                                  <w:divsChild>
                                    <w:div w:id="6296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882137">
      <w:bodyDiv w:val="1"/>
      <w:marLeft w:val="0"/>
      <w:marRight w:val="0"/>
      <w:marTop w:val="0"/>
      <w:marBottom w:val="0"/>
      <w:divBdr>
        <w:top w:val="none" w:sz="0" w:space="0" w:color="auto"/>
        <w:left w:val="none" w:sz="0" w:space="0" w:color="auto"/>
        <w:bottom w:val="none" w:sz="0" w:space="0" w:color="auto"/>
        <w:right w:val="none" w:sz="0" w:space="0" w:color="auto"/>
      </w:divBdr>
      <w:divsChild>
        <w:div w:id="1260482913">
          <w:marLeft w:val="0"/>
          <w:marRight w:val="0"/>
          <w:marTop w:val="0"/>
          <w:marBottom w:val="0"/>
          <w:divBdr>
            <w:top w:val="none" w:sz="0" w:space="0" w:color="auto"/>
            <w:left w:val="none" w:sz="0" w:space="0" w:color="auto"/>
            <w:bottom w:val="none" w:sz="0" w:space="0" w:color="auto"/>
            <w:right w:val="none" w:sz="0" w:space="0" w:color="auto"/>
          </w:divBdr>
          <w:divsChild>
            <w:div w:id="1015421105">
              <w:marLeft w:val="0"/>
              <w:marRight w:val="0"/>
              <w:marTop w:val="0"/>
              <w:marBottom w:val="0"/>
              <w:divBdr>
                <w:top w:val="none" w:sz="0" w:space="0" w:color="auto"/>
                <w:left w:val="none" w:sz="0" w:space="0" w:color="auto"/>
                <w:bottom w:val="none" w:sz="0" w:space="0" w:color="auto"/>
                <w:right w:val="none" w:sz="0" w:space="0" w:color="auto"/>
              </w:divBdr>
              <w:divsChild>
                <w:div w:id="995037490">
                  <w:marLeft w:val="0"/>
                  <w:marRight w:val="0"/>
                  <w:marTop w:val="0"/>
                  <w:marBottom w:val="0"/>
                  <w:divBdr>
                    <w:top w:val="none" w:sz="0" w:space="0" w:color="auto"/>
                    <w:left w:val="none" w:sz="0" w:space="0" w:color="auto"/>
                    <w:bottom w:val="none" w:sz="0" w:space="0" w:color="auto"/>
                    <w:right w:val="none" w:sz="0" w:space="0" w:color="auto"/>
                  </w:divBdr>
                  <w:divsChild>
                    <w:div w:id="1357579342">
                      <w:marLeft w:val="0"/>
                      <w:marRight w:val="0"/>
                      <w:marTop w:val="0"/>
                      <w:marBottom w:val="0"/>
                      <w:divBdr>
                        <w:top w:val="none" w:sz="0" w:space="0" w:color="auto"/>
                        <w:left w:val="none" w:sz="0" w:space="0" w:color="auto"/>
                        <w:bottom w:val="none" w:sz="0" w:space="0" w:color="auto"/>
                        <w:right w:val="none" w:sz="0" w:space="0" w:color="auto"/>
                      </w:divBdr>
                      <w:divsChild>
                        <w:div w:id="1587885198">
                          <w:marLeft w:val="0"/>
                          <w:marRight w:val="0"/>
                          <w:marTop w:val="0"/>
                          <w:marBottom w:val="0"/>
                          <w:divBdr>
                            <w:top w:val="none" w:sz="0" w:space="0" w:color="auto"/>
                            <w:left w:val="none" w:sz="0" w:space="0" w:color="auto"/>
                            <w:bottom w:val="none" w:sz="0" w:space="0" w:color="auto"/>
                            <w:right w:val="none" w:sz="0" w:space="0" w:color="auto"/>
                          </w:divBdr>
                          <w:divsChild>
                            <w:div w:id="302466245">
                              <w:marLeft w:val="0"/>
                              <w:marRight w:val="0"/>
                              <w:marTop w:val="0"/>
                              <w:marBottom w:val="0"/>
                              <w:divBdr>
                                <w:top w:val="none" w:sz="0" w:space="0" w:color="auto"/>
                                <w:left w:val="none" w:sz="0" w:space="0" w:color="auto"/>
                                <w:bottom w:val="none" w:sz="0" w:space="0" w:color="auto"/>
                                <w:right w:val="none" w:sz="0" w:space="0" w:color="auto"/>
                              </w:divBdr>
                              <w:divsChild>
                                <w:div w:id="710298990">
                                  <w:marLeft w:val="0"/>
                                  <w:marRight w:val="0"/>
                                  <w:marTop w:val="0"/>
                                  <w:marBottom w:val="0"/>
                                  <w:divBdr>
                                    <w:top w:val="none" w:sz="0" w:space="0" w:color="auto"/>
                                    <w:left w:val="none" w:sz="0" w:space="0" w:color="auto"/>
                                    <w:bottom w:val="none" w:sz="0" w:space="0" w:color="auto"/>
                                    <w:right w:val="none" w:sz="0" w:space="0" w:color="auto"/>
                                  </w:divBdr>
                                  <w:divsChild>
                                    <w:div w:id="994845379">
                                      <w:marLeft w:val="0"/>
                                      <w:marRight w:val="0"/>
                                      <w:marTop w:val="0"/>
                                      <w:marBottom w:val="0"/>
                                      <w:divBdr>
                                        <w:top w:val="none" w:sz="0" w:space="0" w:color="auto"/>
                                        <w:left w:val="none" w:sz="0" w:space="0" w:color="auto"/>
                                        <w:bottom w:val="none" w:sz="0" w:space="0" w:color="auto"/>
                                        <w:right w:val="none" w:sz="0" w:space="0" w:color="auto"/>
                                      </w:divBdr>
                                      <w:divsChild>
                                        <w:div w:id="6844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581464">
      <w:bodyDiv w:val="1"/>
      <w:marLeft w:val="0"/>
      <w:marRight w:val="0"/>
      <w:marTop w:val="0"/>
      <w:marBottom w:val="0"/>
      <w:divBdr>
        <w:top w:val="none" w:sz="0" w:space="0" w:color="auto"/>
        <w:left w:val="none" w:sz="0" w:space="0" w:color="auto"/>
        <w:bottom w:val="none" w:sz="0" w:space="0" w:color="auto"/>
        <w:right w:val="none" w:sz="0" w:space="0" w:color="auto"/>
      </w:divBdr>
      <w:divsChild>
        <w:div w:id="1510635493">
          <w:marLeft w:val="0"/>
          <w:marRight w:val="0"/>
          <w:marTop w:val="0"/>
          <w:marBottom w:val="0"/>
          <w:divBdr>
            <w:top w:val="none" w:sz="0" w:space="0" w:color="auto"/>
            <w:left w:val="none" w:sz="0" w:space="0" w:color="auto"/>
            <w:bottom w:val="none" w:sz="0" w:space="0" w:color="auto"/>
            <w:right w:val="none" w:sz="0" w:space="0" w:color="auto"/>
          </w:divBdr>
          <w:divsChild>
            <w:div w:id="1817719123">
              <w:marLeft w:val="0"/>
              <w:marRight w:val="0"/>
              <w:marTop w:val="0"/>
              <w:marBottom w:val="0"/>
              <w:divBdr>
                <w:top w:val="none" w:sz="0" w:space="0" w:color="auto"/>
                <w:left w:val="none" w:sz="0" w:space="0" w:color="auto"/>
                <w:bottom w:val="none" w:sz="0" w:space="0" w:color="auto"/>
                <w:right w:val="none" w:sz="0" w:space="0" w:color="auto"/>
              </w:divBdr>
              <w:divsChild>
                <w:div w:id="1981112396">
                  <w:marLeft w:val="0"/>
                  <w:marRight w:val="0"/>
                  <w:marTop w:val="0"/>
                  <w:marBottom w:val="0"/>
                  <w:divBdr>
                    <w:top w:val="none" w:sz="0" w:space="0" w:color="auto"/>
                    <w:left w:val="none" w:sz="0" w:space="0" w:color="auto"/>
                    <w:bottom w:val="none" w:sz="0" w:space="0" w:color="auto"/>
                    <w:right w:val="none" w:sz="0" w:space="0" w:color="auto"/>
                  </w:divBdr>
                  <w:divsChild>
                    <w:div w:id="401756469">
                      <w:marLeft w:val="0"/>
                      <w:marRight w:val="0"/>
                      <w:marTop w:val="0"/>
                      <w:marBottom w:val="0"/>
                      <w:divBdr>
                        <w:top w:val="none" w:sz="0" w:space="0" w:color="auto"/>
                        <w:left w:val="none" w:sz="0" w:space="0" w:color="auto"/>
                        <w:bottom w:val="none" w:sz="0" w:space="0" w:color="auto"/>
                        <w:right w:val="none" w:sz="0" w:space="0" w:color="auto"/>
                      </w:divBdr>
                      <w:divsChild>
                        <w:div w:id="1342007377">
                          <w:marLeft w:val="0"/>
                          <w:marRight w:val="0"/>
                          <w:marTop w:val="0"/>
                          <w:marBottom w:val="0"/>
                          <w:divBdr>
                            <w:top w:val="none" w:sz="0" w:space="0" w:color="auto"/>
                            <w:left w:val="none" w:sz="0" w:space="0" w:color="auto"/>
                            <w:bottom w:val="none" w:sz="0" w:space="0" w:color="auto"/>
                            <w:right w:val="none" w:sz="0" w:space="0" w:color="auto"/>
                          </w:divBdr>
                          <w:divsChild>
                            <w:div w:id="85614040">
                              <w:marLeft w:val="0"/>
                              <w:marRight w:val="0"/>
                              <w:marTop w:val="0"/>
                              <w:marBottom w:val="0"/>
                              <w:divBdr>
                                <w:top w:val="none" w:sz="0" w:space="0" w:color="auto"/>
                                <w:left w:val="none" w:sz="0" w:space="0" w:color="auto"/>
                                <w:bottom w:val="none" w:sz="0" w:space="0" w:color="auto"/>
                                <w:right w:val="none" w:sz="0" w:space="0" w:color="auto"/>
                              </w:divBdr>
                              <w:divsChild>
                                <w:div w:id="1170556643">
                                  <w:marLeft w:val="0"/>
                                  <w:marRight w:val="0"/>
                                  <w:marTop w:val="0"/>
                                  <w:marBottom w:val="0"/>
                                  <w:divBdr>
                                    <w:top w:val="none" w:sz="0" w:space="0" w:color="auto"/>
                                    <w:left w:val="none" w:sz="0" w:space="0" w:color="auto"/>
                                    <w:bottom w:val="none" w:sz="0" w:space="0" w:color="auto"/>
                                    <w:right w:val="none" w:sz="0" w:space="0" w:color="auto"/>
                                  </w:divBdr>
                                  <w:divsChild>
                                    <w:div w:id="11813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586939">
      <w:bodyDiv w:val="1"/>
      <w:marLeft w:val="0"/>
      <w:marRight w:val="0"/>
      <w:marTop w:val="0"/>
      <w:marBottom w:val="0"/>
      <w:divBdr>
        <w:top w:val="none" w:sz="0" w:space="0" w:color="auto"/>
        <w:left w:val="none" w:sz="0" w:space="0" w:color="auto"/>
        <w:bottom w:val="none" w:sz="0" w:space="0" w:color="auto"/>
        <w:right w:val="none" w:sz="0" w:space="0" w:color="auto"/>
      </w:divBdr>
      <w:divsChild>
        <w:div w:id="1826821200">
          <w:marLeft w:val="0"/>
          <w:marRight w:val="0"/>
          <w:marTop w:val="0"/>
          <w:marBottom w:val="0"/>
          <w:divBdr>
            <w:top w:val="none" w:sz="0" w:space="0" w:color="auto"/>
            <w:left w:val="none" w:sz="0" w:space="0" w:color="auto"/>
            <w:bottom w:val="none" w:sz="0" w:space="0" w:color="auto"/>
            <w:right w:val="none" w:sz="0" w:space="0" w:color="auto"/>
          </w:divBdr>
          <w:divsChild>
            <w:div w:id="730155676">
              <w:marLeft w:val="0"/>
              <w:marRight w:val="0"/>
              <w:marTop w:val="0"/>
              <w:marBottom w:val="0"/>
              <w:divBdr>
                <w:top w:val="none" w:sz="0" w:space="0" w:color="auto"/>
                <w:left w:val="none" w:sz="0" w:space="0" w:color="auto"/>
                <w:bottom w:val="none" w:sz="0" w:space="0" w:color="auto"/>
                <w:right w:val="none" w:sz="0" w:space="0" w:color="auto"/>
              </w:divBdr>
              <w:divsChild>
                <w:div w:id="1936742594">
                  <w:marLeft w:val="0"/>
                  <w:marRight w:val="0"/>
                  <w:marTop w:val="0"/>
                  <w:marBottom w:val="0"/>
                  <w:divBdr>
                    <w:top w:val="none" w:sz="0" w:space="0" w:color="auto"/>
                    <w:left w:val="none" w:sz="0" w:space="0" w:color="auto"/>
                    <w:bottom w:val="none" w:sz="0" w:space="0" w:color="auto"/>
                    <w:right w:val="none" w:sz="0" w:space="0" w:color="auto"/>
                  </w:divBdr>
                  <w:divsChild>
                    <w:div w:id="660037798">
                      <w:marLeft w:val="0"/>
                      <w:marRight w:val="0"/>
                      <w:marTop w:val="0"/>
                      <w:marBottom w:val="0"/>
                      <w:divBdr>
                        <w:top w:val="none" w:sz="0" w:space="0" w:color="auto"/>
                        <w:left w:val="none" w:sz="0" w:space="0" w:color="auto"/>
                        <w:bottom w:val="none" w:sz="0" w:space="0" w:color="auto"/>
                        <w:right w:val="none" w:sz="0" w:space="0" w:color="auto"/>
                      </w:divBdr>
                      <w:divsChild>
                        <w:div w:id="1326518144">
                          <w:marLeft w:val="0"/>
                          <w:marRight w:val="0"/>
                          <w:marTop w:val="0"/>
                          <w:marBottom w:val="0"/>
                          <w:divBdr>
                            <w:top w:val="none" w:sz="0" w:space="0" w:color="auto"/>
                            <w:left w:val="none" w:sz="0" w:space="0" w:color="auto"/>
                            <w:bottom w:val="none" w:sz="0" w:space="0" w:color="auto"/>
                            <w:right w:val="none" w:sz="0" w:space="0" w:color="auto"/>
                          </w:divBdr>
                          <w:divsChild>
                            <w:div w:id="629479047">
                              <w:marLeft w:val="0"/>
                              <w:marRight w:val="0"/>
                              <w:marTop w:val="0"/>
                              <w:marBottom w:val="0"/>
                              <w:divBdr>
                                <w:top w:val="none" w:sz="0" w:space="0" w:color="auto"/>
                                <w:left w:val="none" w:sz="0" w:space="0" w:color="auto"/>
                                <w:bottom w:val="none" w:sz="0" w:space="0" w:color="auto"/>
                                <w:right w:val="none" w:sz="0" w:space="0" w:color="auto"/>
                              </w:divBdr>
                              <w:divsChild>
                                <w:div w:id="998390162">
                                  <w:marLeft w:val="0"/>
                                  <w:marRight w:val="0"/>
                                  <w:marTop w:val="0"/>
                                  <w:marBottom w:val="0"/>
                                  <w:divBdr>
                                    <w:top w:val="none" w:sz="0" w:space="0" w:color="auto"/>
                                    <w:left w:val="none" w:sz="0" w:space="0" w:color="auto"/>
                                    <w:bottom w:val="none" w:sz="0" w:space="0" w:color="auto"/>
                                    <w:right w:val="none" w:sz="0" w:space="0" w:color="auto"/>
                                  </w:divBdr>
                                  <w:divsChild>
                                    <w:div w:id="1352997624">
                                      <w:marLeft w:val="0"/>
                                      <w:marRight w:val="0"/>
                                      <w:marTop w:val="0"/>
                                      <w:marBottom w:val="0"/>
                                      <w:divBdr>
                                        <w:top w:val="none" w:sz="0" w:space="0" w:color="auto"/>
                                        <w:left w:val="none" w:sz="0" w:space="0" w:color="auto"/>
                                        <w:bottom w:val="none" w:sz="0" w:space="0" w:color="auto"/>
                                        <w:right w:val="none" w:sz="0" w:space="0" w:color="auto"/>
                                      </w:divBdr>
                                      <w:divsChild>
                                        <w:div w:id="7583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492266">
      <w:bodyDiv w:val="1"/>
      <w:marLeft w:val="0"/>
      <w:marRight w:val="0"/>
      <w:marTop w:val="0"/>
      <w:marBottom w:val="0"/>
      <w:divBdr>
        <w:top w:val="none" w:sz="0" w:space="0" w:color="auto"/>
        <w:left w:val="none" w:sz="0" w:space="0" w:color="auto"/>
        <w:bottom w:val="none" w:sz="0" w:space="0" w:color="auto"/>
        <w:right w:val="none" w:sz="0" w:space="0" w:color="auto"/>
      </w:divBdr>
      <w:divsChild>
        <w:div w:id="701319775">
          <w:marLeft w:val="0"/>
          <w:marRight w:val="0"/>
          <w:marTop w:val="0"/>
          <w:marBottom w:val="0"/>
          <w:divBdr>
            <w:top w:val="none" w:sz="0" w:space="0" w:color="auto"/>
            <w:left w:val="none" w:sz="0" w:space="0" w:color="auto"/>
            <w:bottom w:val="none" w:sz="0" w:space="0" w:color="auto"/>
            <w:right w:val="none" w:sz="0" w:space="0" w:color="auto"/>
          </w:divBdr>
          <w:divsChild>
            <w:div w:id="1211721579">
              <w:marLeft w:val="0"/>
              <w:marRight w:val="0"/>
              <w:marTop w:val="0"/>
              <w:marBottom w:val="0"/>
              <w:divBdr>
                <w:top w:val="none" w:sz="0" w:space="0" w:color="auto"/>
                <w:left w:val="none" w:sz="0" w:space="0" w:color="auto"/>
                <w:bottom w:val="none" w:sz="0" w:space="0" w:color="auto"/>
                <w:right w:val="none" w:sz="0" w:space="0" w:color="auto"/>
              </w:divBdr>
              <w:divsChild>
                <w:div w:id="586887163">
                  <w:marLeft w:val="0"/>
                  <w:marRight w:val="0"/>
                  <w:marTop w:val="0"/>
                  <w:marBottom w:val="0"/>
                  <w:divBdr>
                    <w:top w:val="none" w:sz="0" w:space="0" w:color="auto"/>
                    <w:left w:val="none" w:sz="0" w:space="0" w:color="auto"/>
                    <w:bottom w:val="none" w:sz="0" w:space="0" w:color="auto"/>
                    <w:right w:val="none" w:sz="0" w:space="0" w:color="auto"/>
                  </w:divBdr>
                  <w:divsChild>
                    <w:div w:id="1629554326">
                      <w:marLeft w:val="0"/>
                      <w:marRight w:val="0"/>
                      <w:marTop w:val="0"/>
                      <w:marBottom w:val="0"/>
                      <w:divBdr>
                        <w:top w:val="none" w:sz="0" w:space="0" w:color="auto"/>
                        <w:left w:val="none" w:sz="0" w:space="0" w:color="auto"/>
                        <w:bottom w:val="none" w:sz="0" w:space="0" w:color="auto"/>
                        <w:right w:val="none" w:sz="0" w:space="0" w:color="auto"/>
                      </w:divBdr>
                      <w:divsChild>
                        <w:div w:id="1813981880">
                          <w:marLeft w:val="0"/>
                          <w:marRight w:val="0"/>
                          <w:marTop w:val="0"/>
                          <w:marBottom w:val="0"/>
                          <w:divBdr>
                            <w:top w:val="none" w:sz="0" w:space="0" w:color="auto"/>
                            <w:left w:val="none" w:sz="0" w:space="0" w:color="auto"/>
                            <w:bottom w:val="none" w:sz="0" w:space="0" w:color="auto"/>
                            <w:right w:val="none" w:sz="0" w:space="0" w:color="auto"/>
                          </w:divBdr>
                          <w:divsChild>
                            <w:div w:id="242105498">
                              <w:marLeft w:val="0"/>
                              <w:marRight w:val="0"/>
                              <w:marTop w:val="0"/>
                              <w:marBottom w:val="0"/>
                              <w:divBdr>
                                <w:top w:val="none" w:sz="0" w:space="0" w:color="auto"/>
                                <w:left w:val="none" w:sz="0" w:space="0" w:color="auto"/>
                                <w:bottom w:val="none" w:sz="0" w:space="0" w:color="auto"/>
                                <w:right w:val="none" w:sz="0" w:space="0" w:color="auto"/>
                              </w:divBdr>
                              <w:divsChild>
                                <w:div w:id="177888680">
                                  <w:marLeft w:val="0"/>
                                  <w:marRight w:val="0"/>
                                  <w:marTop w:val="0"/>
                                  <w:marBottom w:val="0"/>
                                  <w:divBdr>
                                    <w:top w:val="none" w:sz="0" w:space="0" w:color="auto"/>
                                    <w:left w:val="none" w:sz="0" w:space="0" w:color="auto"/>
                                    <w:bottom w:val="none" w:sz="0" w:space="0" w:color="auto"/>
                                    <w:right w:val="none" w:sz="0" w:space="0" w:color="auto"/>
                                  </w:divBdr>
                                  <w:divsChild>
                                    <w:div w:id="2106607401">
                                      <w:marLeft w:val="0"/>
                                      <w:marRight w:val="0"/>
                                      <w:marTop w:val="0"/>
                                      <w:marBottom w:val="0"/>
                                      <w:divBdr>
                                        <w:top w:val="none" w:sz="0" w:space="0" w:color="auto"/>
                                        <w:left w:val="none" w:sz="0" w:space="0" w:color="auto"/>
                                        <w:bottom w:val="none" w:sz="0" w:space="0" w:color="auto"/>
                                        <w:right w:val="none" w:sz="0" w:space="0" w:color="auto"/>
                                      </w:divBdr>
                                      <w:divsChild>
                                        <w:div w:id="96759611">
                                          <w:marLeft w:val="0"/>
                                          <w:marRight w:val="0"/>
                                          <w:marTop w:val="0"/>
                                          <w:marBottom w:val="0"/>
                                          <w:divBdr>
                                            <w:top w:val="none" w:sz="0" w:space="0" w:color="auto"/>
                                            <w:left w:val="none" w:sz="0" w:space="0" w:color="auto"/>
                                            <w:bottom w:val="none" w:sz="0" w:space="0" w:color="auto"/>
                                            <w:right w:val="none" w:sz="0" w:space="0" w:color="auto"/>
                                          </w:divBdr>
                                        </w:div>
                                        <w:div w:id="1672684016">
                                          <w:marLeft w:val="0"/>
                                          <w:marRight w:val="0"/>
                                          <w:marTop w:val="0"/>
                                          <w:marBottom w:val="0"/>
                                          <w:divBdr>
                                            <w:top w:val="none" w:sz="0" w:space="0" w:color="auto"/>
                                            <w:left w:val="none" w:sz="0" w:space="0" w:color="auto"/>
                                            <w:bottom w:val="none" w:sz="0" w:space="0" w:color="auto"/>
                                            <w:right w:val="none" w:sz="0" w:space="0" w:color="auto"/>
                                          </w:divBdr>
                                        </w:div>
                                        <w:div w:id="47150018">
                                          <w:marLeft w:val="0"/>
                                          <w:marRight w:val="0"/>
                                          <w:marTop w:val="0"/>
                                          <w:marBottom w:val="0"/>
                                          <w:divBdr>
                                            <w:top w:val="none" w:sz="0" w:space="0" w:color="auto"/>
                                            <w:left w:val="none" w:sz="0" w:space="0" w:color="auto"/>
                                            <w:bottom w:val="none" w:sz="0" w:space="0" w:color="auto"/>
                                            <w:right w:val="none" w:sz="0" w:space="0" w:color="auto"/>
                                          </w:divBdr>
                                        </w:div>
                                        <w:div w:id="262692181">
                                          <w:marLeft w:val="0"/>
                                          <w:marRight w:val="0"/>
                                          <w:marTop w:val="0"/>
                                          <w:marBottom w:val="0"/>
                                          <w:divBdr>
                                            <w:top w:val="none" w:sz="0" w:space="0" w:color="auto"/>
                                            <w:left w:val="none" w:sz="0" w:space="0" w:color="auto"/>
                                            <w:bottom w:val="none" w:sz="0" w:space="0" w:color="auto"/>
                                            <w:right w:val="none" w:sz="0" w:space="0" w:color="auto"/>
                                          </w:divBdr>
                                        </w:div>
                                        <w:div w:id="552231567">
                                          <w:marLeft w:val="0"/>
                                          <w:marRight w:val="0"/>
                                          <w:marTop w:val="0"/>
                                          <w:marBottom w:val="0"/>
                                          <w:divBdr>
                                            <w:top w:val="none" w:sz="0" w:space="0" w:color="auto"/>
                                            <w:left w:val="none" w:sz="0" w:space="0" w:color="auto"/>
                                            <w:bottom w:val="none" w:sz="0" w:space="0" w:color="auto"/>
                                            <w:right w:val="none" w:sz="0" w:space="0" w:color="auto"/>
                                          </w:divBdr>
                                        </w:div>
                                        <w:div w:id="992296325">
                                          <w:marLeft w:val="0"/>
                                          <w:marRight w:val="0"/>
                                          <w:marTop w:val="0"/>
                                          <w:marBottom w:val="0"/>
                                          <w:divBdr>
                                            <w:top w:val="none" w:sz="0" w:space="0" w:color="auto"/>
                                            <w:left w:val="none" w:sz="0" w:space="0" w:color="auto"/>
                                            <w:bottom w:val="none" w:sz="0" w:space="0" w:color="auto"/>
                                            <w:right w:val="none" w:sz="0" w:space="0" w:color="auto"/>
                                          </w:divBdr>
                                        </w:div>
                                        <w:div w:id="1044479361">
                                          <w:marLeft w:val="0"/>
                                          <w:marRight w:val="0"/>
                                          <w:marTop w:val="0"/>
                                          <w:marBottom w:val="0"/>
                                          <w:divBdr>
                                            <w:top w:val="none" w:sz="0" w:space="0" w:color="auto"/>
                                            <w:left w:val="none" w:sz="0" w:space="0" w:color="auto"/>
                                            <w:bottom w:val="none" w:sz="0" w:space="0" w:color="auto"/>
                                            <w:right w:val="none" w:sz="0" w:space="0" w:color="auto"/>
                                          </w:divBdr>
                                        </w:div>
                                        <w:div w:id="1907763264">
                                          <w:marLeft w:val="0"/>
                                          <w:marRight w:val="0"/>
                                          <w:marTop w:val="0"/>
                                          <w:marBottom w:val="0"/>
                                          <w:divBdr>
                                            <w:top w:val="none" w:sz="0" w:space="0" w:color="auto"/>
                                            <w:left w:val="none" w:sz="0" w:space="0" w:color="auto"/>
                                            <w:bottom w:val="none" w:sz="0" w:space="0" w:color="auto"/>
                                            <w:right w:val="none" w:sz="0" w:space="0" w:color="auto"/>
                                          </w:divBdr>
                                        </w:div>
                                        <w:div w:id="821386562">
                                          <w:marLeft w:val="0"/>
                                          <w:marRight w:val="0"/>
                                          <w:marTop w:val="0"/>
                                          <w:marBottom w:val="0"/>
                                          <w:divBdr>
                                            <w:top w:val="none" w:sz="0" w:space="0" w:color="auto"/>
                                            <w:left w:val="none" w:sz="0" w:space="0" w:color="auto"/>
                                            <w:bottom w:val="none" w:sz="0" w:space="0" w:color="auto"/>
                                            <w:right w:val="none" w:sz="0" w:space="0" w:color="auto"/>
                                          </w:divBdr>
                                        </w:div>
                                        <w:div w:id="1188912971">
                                          <w:marLeft w:val="0"/>
                                          <w:marRight w:val="0"/>
                                          <w:marTop w:val="0"/>
                                          <w:marBottom w:val="0"/>
                                          <w:divBdr>
                                            <w:top w:val="none" w:sz="0" w:space="0" w:color="auto"/>
                                            <w:left w:val="none" w:sz="0" w:space="0" w:color="auto"/>
                                            <w:bottom w:val="none" w:sz="0" w:space="0" w:color="auto"/>
                                            <w:right w:val="none" w:sz="0" w:space="0" w:color="auto"/>
                                          </w:divBdr>
                                        </w:div>
                                        <w:div w:id="1655209924">
                                          <w:marLeft w:val="0"/>
                                          <w:marRight w:val="0"/>
                                          <w:marTop w:val="0"/>
                                          <w:marBottom w:val="0"/>
                                          <w:divBdr>
                                            <w:top w:val="none" w:sz="0" w:space="0" w:color="auto"/>
                                            <w:left w:val="none" w:sz="0" w:space="0" w:color="auto"/>
                                            <w:bottom w:val="none" w:sz="0" w:space="0" w:color="auto"/>
                                            <w:right w:val="none" w:sz="0" w:space="0" w:color="auto"/>
                                          </w:divBdr>
                                        </w:div>
                                        <w:div w:id="492186023">
                                          <w:marLeft w:val="0"/>
                                          <w:marRight w:val="0"/>
                                          <w:marTop w:val="0"/>
                                          <w:marBottom w:val="0"/>
                                          <w:divBdr>
                                            <w:top w:val="none" w:sz="0" w:space="0" w:color="auto"/>
                                            <w:left w:val="none" w:sz="0" w:space="0" w:color="auto"/>
                                            <w:bottom w:val="none" w:sz="0" w:space="0" w:color="auto"/>
                                            <w:right w:val="none" w:sz="0" w:space="0" w:color="auto"/>
                                          </w:divBdr>
                                        </w:div>
                                        <w:div w:id="158693201">
                                          <w:marLeft w:val="0"/>
                                          <w:marRight w:val="0"/>
                                          <w:marTop w:val="0"/>
                                          <w:marBottom w:val="0"/>
                                          <w:divBdr>
                                            <w:top w:val="none" w:sz="0" w:space="0" w:color="auto"/>
                                            <w:left w:val="none" w:sz="0" w:space="0" w:color="auto"/>
                                            <w:bottom w:val="none" w:sz="0" w:space="0" w:color="auto"/>
                                            <w:right w:val="none" w:sz="0" w:space="0" w:color="auto"/>
                                          </w:divBdr>
                                        </w:div>
                                        <w:div w:id="148600459">
                                          <w:marLeft w:val="0"/>
                                          <w:marRight w:val="0"/>
                                          <w:marTop w:val="0"/>
                                          <w:marBottom w:val="0"/>
                                          <w:divBdr>
                                            <w:top w:val="none" w:sz="0" w:space="0" w:color="auto"/>
                                            <w:left w:val="none" w:sz="0" w:space="0" w:color="auto"/>
                                            <w:bottom w:val="none" w:sz="0" w:space="0" w:color="auto"/>
                                            <w:right w:val="none" w:sz="0" w:space="0" w:color="auto"/>
                                          </w:divBdr>
                                        </w:div>
                                        <w:div w:id="12805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262918">
      <w:bodyDiv w:val="1"/>
      <w:marLeft w:val="0"/>
      <w:marRight w:val="0"/>
      <w:marTop w:val="0"/>
      <w:marBottom w:val="0"/>
      <w:divBdr>
        <w:top w:val="none" w:sz="0" w:space="0" w:color="auto"/>
        <w:left w:val="none" w:sz="0" w:space="0" w:color="auto"/>
        <w:bottom w:val="none" w:sz="0" w:space="0" w:color="auto"/>
        <w:right w:val="none" w:sz="0" w:space="0" w:color="auto"/>
      </w:divBdr>
    </w:div>
    <w:div w:id="1347248255">
      <w:bodyDiv w:val="1"/>
      <w:marLeft w:val="0"/>
      <w:marRight w:val="0"/>
      <w:marTop w:val="0"/>
      <w:marBottom w:val="0"/>
      <w:divBdr>
        <w:top w:val="none" w:sz="0" w:space="0" w:color="auto"/>
        <w:left w:val="none" w:sz="0" w:space="0" w:color="auto"/>
        <w:bottom w:val="none" w:sz="0" w:space="0" w:color="auto"/>
        <w:right w:val="none" w:sz="0" w:space="0" w:color="auto"/>
      </w:divBdr>
      <w:divsChild>
        <w:div w:id="294065449">
          <w:marLeft w:val="0"/>
          <w:marRight w:val="0"/>
          <w:marTop w:val="0"/>
          <w:marBottom w:val="0"/>
          <w:divBdr>
            <w:top w:val="none" w:sz="0" w:space="0" w:color="auto"/>
            <w:left w:val="none" w:sz="0" w:space="0" w:color="auto"/>
            <w:bottom w:val="none" w:sz="0" w:space="0" w:color="auto"/>
            <w:right w:val="none" w:sz="0" w:space="0" w:color="auto"/>
          </w:divBdr>
          <w:divsChild>
            <w:div w:id="751394456">
              <w:marLeft w:val="0"/>
              <w:marRight w:val="0"/>
              <w:marTop w:val="0"/>
              <w:marBottom w:val="0"/>
              <w:divBdr>
                <w:top w:val="none" w:sz="0" w:space="0" w:color="auto"/>
                <w:left w:val="none" w:sz="0" w:space="0" w:color="auto"/>
                <w:bottom w:val="none" w:sz="0" w:space="0" w:color="auto"/>
                <w:right w:val="none" w:sz="0" w:space="0" w:color="auto"/>
              </w:divBdr>
              <w:divsChild>
                <w:div w:id="1030103157">
                  <w:marLeft w:val="0"/>
                  <w:marRight w:val="0"/>
                  <w:marTop w:val="0"/>
                  <w:marBottom w:val="0"/>
                  <w:divBdr>
                    <w:top w:val="none" w:sz="0" w:space="0" w:color="auto"/>
                    <w:left w:val="none" w:sz="0" w:space="0" w:color="auto"/>
                    <w:bottom w:val="none" w:sz="0" w:space="0" w:color="auto"/>
                    <w:right w:val="none" w:sz="0" w:space="0" w:color="auto"/>
                  </w:divBdr>
                  <w:divsChild>
                    <w:div w:id="1259017873">
                      <w:marLeft w:val="0"/>
                      <w:marRight w:val="0"/>
                      <w:marTop w:val="0"/>
                      <w:marBottom w:val="0"/>
                      <w:divBdr>
                        <w:top w:val="none" w:sz="0" w:space="0" w:color="auto"/>
                        <w:left w:val="none" w:sz="0" w:space="0" w:color="auto"/>
                        <w:bottom w:val="none" w:sz="0" w:space="0" w:color="auto"/>
                        <w:right w:val="none" w:sz="0" w:space="0" w:color="auto"/>
                      </w:divBdr>
                      <w:divsChild>
                        <w:div w:id="249701520">
                          <w:marLeft w:val="0"/>
                          <w:marRight w:val="0"/>
                          <w:marTop w:val="0"/>
                          <w:marBottom w:val="0"/>
                          <w:divBdr>
                            <w:top w:val="none" w:sz="0" w:space="0" w:color="auto"/>
                            <w:left w:val="none" w:sz="0" w:space="0" w:color="auto"/>
                            <w:bottom w:val="none" w:sz="0" w:space="0" w:color="auto"/>
                            <w:right w:val="none" w:sz="0" w:space="0" w:color="auto"/>
                          </w:divBdr>
                          <w:divsChild>
                            <w:div w:id="1696495578">
                              <w:marLeft w:val="0"/>
                              <w:marRight w:val="0"/>
                              <w:marTop w:val="0"/>
                              <w:marBottom w:val="0"/>
                              <w:divBdr>
                                <w:top w:val="none" w:sz="0" w:space="0" w:color="auto"/>
                                <w:left w:val="none" w:sz="0" w:space="0" w:color="auto"/>
                                <w:bottom w:val="none" w:sz="0" w:space="0" w:color="auto"/>
                                <w:right w:val="none" w:sz="0" w:space="0" w:color="auto"/>
                              </w:divBdr>
                              <w:divsChild>
                                <w:div w:id="884875275">
                                  <w:marLeft w:val="0"/>
                                  <w:marRight w:val="0"/>
                                  <w:marTop w:val="0"/>
                                  <w:marBottom w:val="0"/>
                                  <w:divBdr>
                                    <w:top w:val="none" w:sz="0" w:space="0" w:color="auto"/>
                                    <w:left w:val="none" w:sz="0" w:space="0" w:color="auto"/>
                                    <w:bottom w:val="none" w:sz="0" w:space="0" w:color="auto"/>
                                    <w:right w:val="none" w:sz="0" w:space="0" w:color="auto"/>
                                  </w:divBdr>
                                  <w:divsChild>
                                    <w:div w:id="1711226292">
                                      <w:marLeft w:val="0"/>
                                      <w:marRight w:val="0"/>
                                      <w:marTop w:val="0"/>
                                      <w:marBottom w:val="0"/>
                                      <w:divBdr>
                                        <w:top w:val="none" w:sz="0" w:space="0" w:color="auto"/>
                                        <w:left w:val="none" w:sz="0" w:space="0" w:color="auto"/>
                                        <w:bottom w:val="none" w:sz="0" w:space="0" w:color="auto"/>
                                        <w:right w:val="none" w:sz="0" w:space="0" w:color="auto"/>
                                      </w:divBdr>
                                      <w:divsChild>
                                        <w:div w:id="19546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5874">
      <w:bodyDiv w:val="1"/>
      <w:marLeft w:val="0"/>
      <w:marRight w:val="0"/>
      <w:marTop w:val="0"/>
      <w:marBottom w:val="0"/>
      <w:divBdr>
        <w:top w:val="none" w:sz="0" w:space="0" w:color="auto"/>
        <w:left w:val="none" w:sz="0" w:space="0" w:color="auto"/>
        <w:bottom w:val="none" w:sz="0" w:space="0" w:color="auto"/>
        <w:right w:val="none" w:sz="0" w:space="0" w:color="auto"/>
      </w:divBdr>
      <w:divsChild>
        <w:div w:id="85005182">
          <w:marLeft w:val="0"/>
          <w:marRight w:val="0"/>
          <w:marTop w:val="0"/>
          <w:marBottom w:val="0"/>
          <w:divBdr>
            <w:top w:val="none" w:sz="0" w:space="0" w:color="auto"/>
            <w:left w:val="none" w:sz="0" w:space="0" w:color="auto"/>
            <w:bottom w:val="none" w:sz="0" w:space="0" w:color="auto"/>
            <w:right w:val="none" w:sz="0" w:space="0" w:color="auto"/>
          </w:divBdr>
          <w:divsChild>
            <w:div w:id="1524367897">
              <w:marLeft w:val="0"/>
              <w:marRight w:val="0"/>
              <w:marTop w:val="0"/>
              <w:marBottom w:val="0"/>
              <w:divBdr>
                <w:top w:val="none" w:sz="0" w:space="0" w:color="auto"/>
                <w:left w:val="none" w:sz="0" w:space="0" w:color="auto"/>
                <w:bottom w:val="none" w:sz="0" w:space="0" w:color="auto"/>
                <w:right w:val="none" w:sz="0" w:space="0" w:color="auto"/>
              </w:divBdr>
              <w:divsChild>
                <w:div w:id="70975754">
                  <w:marLeft w:val="0"/>
                  <w:marRight w:val="0"/>
                  <w:marTop w:val="0"/>
                  <w:marBottom w:val="0"/>
                  <w:divBdr>
                    <w:top w:val="none" w:sz="0" w:space="0" w:color="auto"/>
                    <w:left w:val="none" w:sz="0" w:space="0" w:color="auto"/>
                    <w:bottom w:val="none" w:sz="0" w:space="0" w:color="auto"/>
                    <w:right w:val="none" w:sz="0" w:space="0" w:color="auto"/>
                  </w:divBdr>
                  <w:divsChild>
                    <w:div w:id="1762796820">
                      <w:marLeft w:val="0"/>
                      <w:marRight w:val="0"/>
                      <w:marTop w:val="0"/>
                      <w:marBottom w:val="0"/>
                      <w:divBdr>
                        <w:top w:val="none" w:sz="0" w:space="0" w:color="auto"/>
                        <w:left w:val="none" w:sz="0" w:space="0" w:color="auto"/>
                        <w:bottom w:val="none" w:sz="0" w:space="0" w:color="auto"/>
                        <w:right w:val="none" w:sz="0" w:space="0" w:color="auto"/>
                      </w:divBdr>
                      <w:divsChild>
                        <w:div w:id="1579243639">
                          <w:marLeft w:val="0"/>
                          <w:marRight w:val="0"/>
                          <w:marTop w:val="0"/>
                          <w:marBottom w:val="0"/>
                          <w:divBdr>
                            <w:top w:val="none" w:sz="0" w:space="0" w:color="auto"/>
                            <w:left w:val="none" w:sz="0" w:space="0" w:color="auto"/>
                            <w:bottom w:val="none" w:sz="0" w:space="0" w:color="auto"/>
                            <w:right w:val="none" w:sz="0" w:space="0" w:color="auto"/>
                          </w:divBdr>
                          <w:divsChild>
                            <w:div w:id="1353218556">
                              <w:marLeft w:val="0"/>
                              <w:marRight w:val="0"/>
                              <w:marTop w:val="0"/>
                              <w:marBottom w:val="0"/>
                              <w:divBdr>
                                <w:top w:val="none" w:sz="0" w:space="0" w:color="auto"/>
                                <w:left w:val="none" w:sz="0" w:space="0" w:color="auto"/>
                                <w:bottom w:val="none" w:sz="0" w:space="0" w:color="auto"/>
                                <w:right w:val="none" w:sz="0" w:space="0" w:color="auto"/>
                              </w:divBdr>
                              <w:divsChild>
                                <w:div w:id="1746489685">
                                  <w:marLeft w:val="0"/>
                                  <w:marRight w:val="0"/>
                                  <w:marTop w:val="0"/>
                                  <w:marBottom w:val="0"/>
                                  <w:divBdr>
                                    <w:top w:val="none" w:sz="0" w:space="0" w:color="auto"/>
                                    <w:left w:val="none" w:sz="0" w:space="0" w:color="auto"/>
                                    <w:bottom w:val="none" w:sz="0" w:space="0" w:color="auto"/>
                                    <w:right w:val="none" w:sz="0" w:space="0" w:color="auto"/>
                                  </w:divBdr>
                                  <w:divsChild>
                                    <w:div w:id="512958392">
                                      <w:marLeft w:val="0"/>
                                      <w:marRight w:val="0"/>
                                      <w:marTop w:val="0"/>
                                      <w:marBottom w:val="0"/>
                                      <w:divBdr>
                                        <w:top w:val="none" w:sz="0" w:space="0" w:color="auto"/>
                                        <w:left w:val="none" w:sz="0" w:space="0" w:color="auto"/>
                                        <w:bottom w:val="none" w:sz="0" w:space="0" w:color="auto"/>
                                        <w:right w:val="none" w:sz="0" w:space="0" w:color="auto"/>
                                      </w:divBdr>
                                      <w:divsChild>
                                        <w:div w:id="1476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109214">
      <w:bodyDiv w:val="1"/>
      <w:marLeft w:val="0"/>
      <w:marRight w:val="0"/>
      <w:marTop w:val="0"/>
      <w:marBottom w:val="0"/>
      <w:divBdr>
        <w:top w:val="none" w:sz="0" w:space="0" w:color="auto"/>
        <w:left w:val="none" w:sz="0" w:space="0" w:color="auto"/>
        <w:bottom w:val="none" w:sz="0" w:space="0" w:color="auto"/>
        <w:right w:val="none" w:sz="0" w:space="0" w:color="auto"/>
      </w:divBdr>
    </w:div>
    <w:div w:id="1790855013">
      <w:bodyDiv w:val="1"/>
      <w:marLeft w:val="0"/>
      <w:marRight w:val="0"/>
      <w:marTop w:val="0"/>
      <w:marBottom w:val="0"/>
      <w:divBdr>
        <w:top w:val="none" w:sz="0" w:space="0" w:color="auto"/>
        <w:left w:val="none" w:sz="0" w:space="0" w:color="auto"/>
        <w:bottom w:val="none" w:sz="0" w:space="0" w:color="auto"/>
        <w:right w:val="none" w:sz="0" w:space="0" w:color="auto"/>
      </w:divBdr>
      <w:divsChild>
        <w:div w:id="1510484130">
          <w:marLeft w:val="0"/>
          <w:marRight w:val="0"/>
          <w:marTop w:val="0"/>
          <w:marBottom w:val="0"/>
          <w:divBdr>
            <w:top w:val="none" w:sz="0" w:space="0" w:color="auto"/>
            <w:left w:val="none" w:sz="0" w:space="0" w:color="auto"/>
            <w:bottom w:val="none" w:sz="0" w:space="0" w:color="auto"/>
            <w:right w:val="none" w:sz="0" w:space="0" w:color="auto"/>
          </w:divBdr>
          <w:divsChild>
            <w:div w:id="1846898451">
              <w:marLeft w:val="0"/>
              <w:marRight w:val="0"/>
              <w:marTop w:val="0"/>
              <w:marBottom w:val="0"/>
              <w:divBdr>
                <w:top w:val="none" w:sz="0" w:space="0" w:color="auto"/>
                <w:left w:val="none" w:sz="0" w:space="0" w:color="auto"/>
                <w:bottom w:val="none" w:sz="0" w:space="0" w:color="auto"/>
                <w:right w:val="none" w:sz="0" w:space="0" w:color="auto"/>
              </w:divBdr>
              <w:divsChild>
                <w:div w:id="1607348714">
                  <w:marLeft w:val="0"/>
                  <w:marRight w:val="0"/>
                  <w:marTop w:val="0"/>
                  <w:marBottom w:val="0"/>
                  <w:divBdr>
                    <w:top w:val="none" w:sz="0" w:space="0" w:color="auto"/>
                    <w:left w:val="none" w:sz="0" w:space="0" w:color="auto"/>
                    <w:bottom w:val="none" w:sz="0" w:space="0" w:color="auto"/>
                    <w:right w:val="none" w:sz="0" w:space="0" w:color="auto"/>
                  </w:divBdr>
                  <w:divsChild>
                    <w:div w:id="1698307970">
                      <w:marLeft w:val="0"/>
                      <w:marRight w:val="0"/>
                      <w:marTop w:val="0"/>
                      <w:marBottom w:val="0"/>
                      <w:divBdr>
                        <w:top w:val="none" w:sz="0" w:space="0" w:color="auto"/>
                        <w:left w:val="none" w:sz="0" w:space="0" w:color="auto"/>
                        <w:bottom w:val="none" w:sz="0" w:space="0" w:color="auto"/>
                        <w:right w:val="none" w:sz="0" w:space="0" w:color="auto"/>
                      </w:divBdr>
                      <w:divsChild>
                        <w:div w:id="1302610874">
                          <w:marLeft w:val="0"/>
                          <w:marRight w:val="0"/>
                          <w:marTop w:val="0"/>
                          <w:marBottom w:val="0"/>
                          <w:divBdr>
                            <w:top w:val="none" w:sz="0" w:space="0" w:color="auto"/>
                            <w:left w:val="none" w:sz="0" w:space="0" w:color="auto"/>
                            <w:bottom w:val="none" w:sz="0" w:space="0" w:color="auto"/>
                            <w:right w:val="none" w:sz="0" w:space="0" w:color="auto"/>
                          </w:divBdr>
                          <w:divsChild>
                            <w:div w:id="1358849437">
                              <w:marLeft w:val="0"/>
                              <w:marRight w:val="0"/>
                              <w:marTop w:val="0"/>
                              <w:marBottom w:val="0"/>
                              <w:divBdr>
                                <w:top w:val="none" w:sz="0" w:space="0" w:color="auto"/>
                                <w:left w:val="none" w:sz="0" w:space="0" w:color="auto"/>
                                <w:bottom w:val="none" w:sz="0" w:space="0" w:color="auto"/>
                                <w:right w:val="none" w:sz="0" w:space="0" w:color="auto"/>
                              </w:divBdr>
                              <w:divsChild>
                                <w:div w:id="1077820121">
                                  <w:marLeft w:val="0"/>
                                  <w:marRight w:val="0"/>
                                  <w:marTop w:val="0"/>
                                  <w:marBottom w:val="0"/>
                                  <w:divBdr>
                                    <w:top w:val="none" w:sz="0" w:space="0" w:color="auto"/>
                                    <w:left w:val="none" w:sz="0" w:space="0" w:color="auto"/>
                                    <w:bottom w:val="none" w:sz="0" w:space="0" w:color="auto"/>
                                    <w:right w:val="none" w:sz="0" w:space="0" w:color="auto"/>
                                  </w:divBdr>
                                  <w:divsChild>
                                    <w:div w:id="973174847">
                                      <w:marLeft w:val="0"/>
                                      <w:marRight w:val="0"/>
                                      <w:marTop w:val="0"/>
                                      <w:marBottom w:val="0"/>
                                      <w:divBdr>
                                        <w:top w:val="none" w:sz="0" w:space="0" w:color="auto"/>
                                        <w:left w:val="none" w:sz="0" w:space="0" w:color="auto"/>
                                        <w:bottom w:val="none" w:sz="0" w:space="0" w:color="auto"/>
                                        <w:right w:val="none" w:sz="0" w:space="0" w:color="auto"/>
                                      </w:divBdr>
                                    </w:div>
                                  </w:divsChild>
                                </w:div>
                                <w:div w:id="1237595879">
                                  <w:marLeft w:val="0"/>
                                  <w:marRight w:val="0"/>
                                  <w:marTop w:val="0"/>
                                  <w:marBottom w:val="0"/>
                                  <w:divBdr>
                                    <w:top w:val="none" w:sz="0" w:space="0" w:color="auto"/>
                                    <w:left w:val="none" w:sz="0" w:space="0" w:color="auto"/>
                                    <w:bottom w:val="none" w:sz="0" w:space="0" w:color="auto"/>
                                    <w:right w:val="none" w:sz="0" w:space="0" w:color="auto"/>
                                  </w:divBdr>
                                  <w:divsChild>
                                    <w:div w:id="7365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439239">
      <w:bodyDiv w:val="1"/>
      <w:marLeft w:val="0"/>
      <w:marRight w:val="0"/>
      <w:marTop w:val="0"/>
      <w:marBottom w:val="0"/>
      <w:divBdr>
        <w:top w:val="none" w:sz="0" w:space="0" w:color="auto"/>
        <w:left w:val="none" w:sz="0" w:space="0" w:color="auto"/>
        <w:bottom w:val="none" w:sz="0" w:space="0" w:color="auto"/>
        <w:right w:val="none" w:sz="0" w:space="0" w:color="auto"/>
      </w:divBdr>
      <w:divsChild>
        <w:div w:id="448814436">
          <w:marLeft w:val="0"/>
          <w:marRight w:val="0"/>
          <w:marTop w:val="0"/>
          <w:marBottom w:val="0"/>
          <w:divBdr>
            <w:top w:val="none" w:sz="0" w:space="0" w:color="auto"/>
            <w:left w:val="none" w:sz="0" w:space="0" w:color="auto"/>
            <w:bottom w:val="none" w:sz="0" w:space="0" w:color="auto"/>
            <w:right w:val="none" w:sz="0" w:space="0" w:color="auto"/>
          </w:divBdr>
          <w:divsChild>
            <w:div w:id="375786424">
              <w:marLeft w:val="0"/>
              <w:marRight w:val="0"/>
              <w:marTop w:val="0"/>
              <w:marBottom w:val="0"/>
              <w:divBdr>
                <w:top w:val="none" w:sz="0" w:space="0" w:color="auto"/>
                <w:left w:val="none" w:sz="0" w:space="0" w:color="auto"/>
                <w:bottom w:val="none" w:sz="0" w:space="0" w:color="auto"/>
                <w:right w:val="none" w:sz="0" w:space="0" w:color="auto"/>
              </w:divBdr>
              <w:divsChild>
                <w:div w:id="1503734854">
                  <w:marLeft w:val="0"/>
                  <w:marRight w:val="0"/>
                  <w:marTop w:val="0"/>
                  <w:marBottom w:val="0"/>
                  <w:divBdr>
                    <w:top w:val="none" w:sz="0" w:space="0" w:color="auto"/>
                    <w:left w:val="none" w:sz="0" w:space="0" w:color="auto"/>
                    <w:bottom w:val="none" w:sz="0" w:space="0" w:color="auto"/>
                    <w:right w:val="none" w:sz="0" w:space="0" w:color="auto"/>
                  </w:divBdr>
                  <w:divsChild>
                    <w:div w:id="2141915105">
                      <w:marLeft w:val="0"/>
                      <w:marRight w:val="0"/>
                      <w:marTop w:val="0"/>
                      <w:marBottom w:val="0"/>
                      <w:divBdr>
                        <w:top w:val="none" w:sz="0" w:space="0" w:color="auto"/>
                        <w:left w:val="none" w:sz="0" w:space="0" w:color="auto"/>
                        <w:bottom w:val="none" w:sz="0" w:space="0" w:color="auto"/>
                        <w:right w:val="none" w:sz="0" w:space="0" w:color="auto"/>
                      </w:divBdr>
                      <w:divsChild>
                        <w:div w:id="4744943">
                          <w:marLeft w:val="0"/>
                          <w:marRight w:val="0"/>
                          <w:marTop w:val="0"/>
                          <w:marBottom w:val="0"/>
                          <w:divBdr>
                            <w:top w:val="none" w:sz="0" w:space="0" w:color="auto"/>
                            <w:left w:val="none" w:sz="0" w:space="0" w:color="auto"/>
                            <w:bottom w:val="none" w:sz="0" w:space="0" w:color="auto"/>
                            <w:right w:val="none" w:sz="0" w:space="0" w:color="auto"/>
                          </w:divBdr>
                          <w:divsChild>
                            <w:div w:id="1697655350">
                              <w:marLeft w:val="0"/>
                              <w:marRight w:val="0"/>
                              <w:marTop w:val="0"/>
                              <w:marBottom w:val="0"/>
                              <w:divBdr>
                                <w:top w:val="none" w:sz="0" w:space="0" w:color="auto"/>
                                <w:left w:val="none" w:sz="0" w:space="0" w:color="auto"/>
                                <w:bottom w:val="none" w:sz="0" w:space="0" w:color="auto"/>
                                <w:right w:val="none" w:sz="0" w:space="0" w:color="auto"/>
                              </w:divBdr>
                              <w:divsChild>
                                <w:div w:id="1371416882">
                                  <w:marLeft w:val="0"/>
                                  <w:marRight w:val="0"/>
                                  <w:marTop w:val="0"/>
                                  <w:marBottom w:val="0"/>
                                  <w:divBdr>
                                    <w:top w:val="none" w:sz="0" w:space="0" w:color="auto"/>
                                    <w:left w:val="none" w:sz="0" w:space="0" w:color="auto"/>
                                    <w:bottom w:val="none" w:sz="0" w:space="0" w:color="auto"/>
                                    <w:right w:val="none" w:sz="0" w:space="0" w:color="auto"/>
                                  </w:divBdr>
                                  <w:divsChild>
                                    <w:div w:id="1895578730">
                                      <w:marLeft w:val="0"/>
                                      <w:marRight w:val="0"/>
                                      <w:marTop w:val="0"/>
                                      <w:marBottom w:val="0"/>
                                      <w:divBdr>
                                        <w:top w:val="none" w:sz="0" w:space="0" w:color="auto"/>
                                        <w:left w:val="none" w:sz="0" w:space="0" w:color="auto"/>
                                        <w:bottom w:val="none" w:sz="0" w:space="0" w:color="auto"/>
                                        <w:right w:val="none" w:sz="0" w:space="0" w:color="auto"/>
                                      </w:divBdr>
                                      <w:divsChild>
                                        <w:div w:id="1438721479">
                                          <w:marLeft w:val="0"/>
                                          <w:marRight w:val="0"/>
                                          <w:marTop w:val="450"/>
                                          <w:marBottom w:val="300"/>
                                          <w:divBdr>
                                            <w:top w:val="none" w:sz="0" w:space="0" w:color="auto"/>
                                            <w:left w:val="none" w:sz="0" w:space="0" w:color="auto"/>
                                            <w:bottom w:val="none" w:sz="0" w:space="0" w:color="auto"/>
                                            <w:right w:val="none" w:sz="0" w:space="0" w:color="auto"/>
                                          </w:divBdr>
                                        </w:div>
                                        <w:div w:id="14971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907561">
      <w:bodyDiv w:val="1"/>
      <w:marLeft w:val="0"/>
      <w:marRight w:val="0"/>
      <w:marTop w:val="0"/>
      <w:marBottom w:val="0"/>
      <w:divBdr>
        <w:top w:val="none" w:sz="0" w:space="0" w:color="auto"/>
        <w:left w:val="none" w:sz="0" w:space="0" w:color="auto"/>
        <w:bottom w:val="none" w:sz="0" w:space="0" w:color="auto"/>
        <w:right w:val="none" w:sz="0" w:space="0" w:color="auto"/>
      </w:divBdr>
      <w:divsChild>
        <w:div w:id="1036008975">
          <w:marLeft w:val="0"/>
          <w:marRight w:val="0"/>
          <w:marTop w:val="0"/>
          <w:marBottom w:val="0"/>
          <w:divBdr>
            <w:top w:val="none" w:sz="0" w:space="0" w:color="auto"/>
            <w:left w:val="none" w:sz="0" w:space="0" w:color="auto"/>
            <w:bottom w:val="none" w:sz="0" w:space="0" w:color="auto"/>
            <w:right w:val="none" w:sz="0" w:space="0" w:color="auto"/>
          </w:divBdr>
          <w:divsChild>
            <w:div w:id="18746297">
              <w:marLeft w:val="0"/>
              <w:marRight w:val="0"/>
              <w:marTop w:val="0"/>
              <w:marBottom w:val="0"/>
              <w:divBdr>
                <w:top w:val="none" w:sz="0" w:space="0" w:color="auto"/>
                <w:left w:val="none" w:sz="0" w:space="0" w:color="auto"/>
                <w:bottom w:val="none" w:sz="0" w:space="0" w:color="auto"/>
                <w:right w:val="none" w:sz="0" w:space="0" w:color="auto"/>
              </w:divBdr>
              <w:divsChild>
                <w:div w:id="1226069575">
                  <w:marLeft w:val="0"/>
                  <w:marRight w:val="0"/>
                  <w:marTop w:val="0"/>
                  <w:marBottom w:val="0"/>
                  <w:divBdr>
                    <w:top w:val="none" w:sz="0" w:space="0" w:color="auto"/>
                    <w:left w:val="none" w:sz="0" w:space="0" w:color="auto"/>
                    <w:bottom w:val="none" w:sz="0" w:space="0" w:color="auto"/>
                    <w:right w:val="none" w:sz="0" w:space="0" w:color="auto"/>
                  </w:divBdr>
                  <w:divsChild>
                    <w:div w:id="860437880">
                      <w:marLeft w:val="0"/>
                      <w:marRight w:val="0"/>
                      <w:marTop w:val="0"/>
                      <w:marBottom w:val="0"/>
                      <w:divBdr>
                        <w:top w:val="none" w:sz="0" w:space="0" w:color="auto"/>
                        <w:left w:val="none" w:sz="0" w:space="0" w:color="auto"/>
                        <w:bottom w:val="none" w:sz="0" w:space="0" w:color="auto"/>
                        <w:right w:val="none" w:sz="0" w:space="0" w:color="auto"/>
                      </w:divBdr>
                      <w:divsChild>
                        <w:div w:id="1862621925">
                          <w:marLeft w:val="0"/>
                          <w:marRight w:val="0"/>
                          <w:marTop w:val="0"/>
                          <w:marBottom w:val="0"/>
                          <w:divBdr>
                            <w:top w:val="none" w:sz="0" w:space="0" w:color="auto"/>
                            <w:left w:val="none" w:sz="0" w:space="0" w:color="auto"/>
                            <w:bottom w:val="none" w:sz="0" w:space="0" w:color="auto"/>
                            <w:right w:val="none" w:sz="0" w:space="0" w:color="auto"/>
                          </w:divBdr>
                          <w:divsChild>
                            <w:div w:id="1663465446">
                              <w:marLeft w:val="0"/>
                              <w:marRight w:val="0"/>
                              <w:marTop w:val="0"/>
                              <w:marBottom w:val="0"/>
                              <w:divBdr>
                                <w:top w:val="none" w:sz="0" w:space="0" w:color="auto"/>
                                <w:left w:val="none" w:sz="0" w:space="0" w:color="auto"/>
                                <w:bottom w:val="none" w:sz="0" w:space="0" w:color="auto"/>
                                <w:right w:val="none" w:sz="0" w:space="0" w:color="auto"/>
                              </w:divBdr>
                              <w:divsChild>
                                <w:div w:id="710033221">
                                  <w:marLeft w:val="0"/>
                                  <w:marRight w:val="0"/>
                                  <w:marTop w:val="0"/>
                                  <w:marBottom w:val="0"/>
                                  <w:divBdr>
                                    <w:top w:val="none" w:sz="0" w:space="0" w:color="auto"/>
                                    <w:left w:val="none" w:sz="0" w:space="0" w:color="auto"/>
                                    <w:bottom w:val="none" w:sz="0" w:space="0" w:color="auto"/>
                                    <w:right w:val="none" w:sz="0" w:space="0" w:color="auto"/>
                                  </w:divBdr>
                                  <w:divsChild>
                                    <w:div w:id="1055396629">
                                      <w:marLeft w:val="0"/>
                                      <w:marRight w:val="0"/>
                                      <w:marTop w:val="0"/>
                                      <w:marBottom w:val="0"/>
                                      <w:divBdr>
                                        <w:top w:val="none" w:sz="0" w:space="0" w:color="auto"/>
                                        <w:left w:val="none" w:sz="0" w:space="0" w:color="auto"/>
                                        <w:bottom w:val="none" w:sz="0" w:space="0" w:color="auto"/>
                                        <w:right w:val="none" w:sz="0" w:space="0" w:color="auto"/>
                                      </w:divBdr>
                                      <w:divsChild>
                                        <w:div w:id="11225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964240">
      <w:bodyDiv w:val="1"/>
      <w:marLeft w:val="0"/>
      <w:marRight w:val="0"/>
      <w:marTop w:val="0"/>
      <w:marBottom w:val="0"/>
      <w:divBdr>
        <w:top w:val="none" w:sz="0" w:space="0" w:color="auto"/>
        <w:left w:val="none" w:sz="0" w:space="0" w:color="auto"/>
        <w:bottom w:val="none" w:sz="0" w:space="0" w:color="auto"/>
        <w:right w:val="none" w:sz="0" w:space="0" w:color="auto"/>
      </w:divBdr>
      <w:divsChild>
        <w:div w:id="705837019">
          <w:marLeft w:val="0"/>
          <w:marRight w:val="0"/>
          <w:marTop w:val="0"/>
          <w:marBottom w:val="0"/>
          <w:divBdr>
            <w:top w:val="none" w:sz="0" w:space="0" w:color="auto"/>
            <w:left w:val="none" w:sz="0" w:space="0" w:color="auto"/>
            <w:bottom w:val="none" w:sz="0" w:space="0" w:color="auto"/>
            <w:right w:val="none" w:sz="0" w:space="0" w:color="auto"/>
          </w:divBdr>
          <w:divsChild>
            <w:div w:id="87890353">
              <w:marLeft w:val="0"/>
              <w:marRight w:val="0"/>
              <w:marTop w:val="0"/>
              <w:marBottom w:val="0"/>
              <w:divBdr>
                <w:top w:val="none" w:sz="0" w:space="0" w:color="auto"/>
                <w:left w:val="none" w:sz="0" w:space="0" w:color="auto"/>
                <w:bottom w:val="none" w:sz="0" w:space="0" w:color="auto"/>
                <w:right w:val="none" w:sz="0" w:space="0" w:color="auto"/>
              </w:divBdr>
              <w:divsChild>
                <w:div w:id="1509754053">
                  <w:marLeft w:val="0"/>
                  <w:marRight w:val="0"/>
                  <w:marTop w:val="0"/>
                  <w:marBottom w:val="0"/>
                  <w:divBdr>
                    <w:top w:val="none" w:sz="0" w:space="0" w:color="auto"/>
                    <w:left w:val="none" w:sz="0" w:space="0" w:color="auto"/>
                    <w:bottom w:val="none" w:sz="0" w:space="0" w:color="auto"/>
                    <w:right w:val="none" w:sz="0" w:space="0" w:color="auto"/>
                  </w:divBdr>
                  <w:divsChild>
                    <w:div w:id="1393970380">
                      <w:marLeft w:val="0"/>
                      <w:marRight w:val="0"/>
                      <w:marTop w:val="0"/>
                      <w:marBottom w:val="0"/>
                      <w:divBdr>
                        <w:top w:val="none" w:sz="0" w:space="0" w:color="auto"/>
                        <w:left w:val="none" w:sz="0" w:space="0" w:color="auto"/>
                        <w:bottom w:val="none" w:sz="0" w:space="0" w:color="auto"/>
                        <w:right w:val="none" w:sz="0" w:space="0" w:color="auto"/>
                      </w:divBdr>
                      <w:divsChild>
                        <w:div w:id="1652055272">
                          <w:marLeft w:val="0"/>
                          <w:marRight w:val="0"/>
                          <w:marTop w:val="0"/>
                          <w:marBottom w:val="0"/>
                          <w:divBdr>
                            <w:top w:val="none" w:sz="0" w:space="0" w:color="auto"/>
                            <w:left w:val="none" w:sz="0" w:space="0" w:color="auto"/>
                            <w:bottom w:val="none" w:sz="0" w:space="0" w:color="auto"/>
                            <w:right w:val="none" w:sz="0" w:space="0" w:color="auto"/>
                          </w:divBdr>
                          <w:divsChild>
                            <w:div w:id="671298129">
                              <w:marLeft w:val="0"/>
                              <w:marRight w:val="0"/>
                              <w:marTop w:val="0"/>
                              <w:marBottom w:val="0"/>
                              <w:divBdr>
                                <w:top w:val="none" w:sz="0" w:space="0" w:color="auto"/>
                                <w:left w:val="none" w:sz="0" w:space="0" w:color="auto"/>
                                <w:bottom w:val="none" w:sz="0" w:space="0" w:color="auto"/>
                                <w:right w:val="none" w:sz="0" w:space="0" w:color="auto"/>
                              </w:divBdr>
                              <w:divsChild>
                                <w:div w:id="966857687">
                                  <w:marLeft w:val="0"/>
                                  <w:marRight w:val="0"/>
                                  <w:marTop w:val="0"/>
                                  <w:marBottom w:val="0"/>
                                  <w:divBdr>
                                    <w:top w:val="none" w:sz="0" w:space="0" w:color="auto"/>
                                    <w:left w:val="none" w:sz="0" w:space="0" w:color="auto"/>
                                    <w:bottom w:val="none" w:sz="0" w:space="0" w:color="auto"/>
                                    <w:right w:val="none" w:sz="0" w:space="0" w:color="auto"/>
                                  </w:divBdr>
                                  <w:divsChild>
                                    <w:div w:id="1830897640">
                                      <w:marLeft w:val="0"/>
                                      <w:marRight w:val="0"/>
                                      <w:marTop w:val="0"/>
                                      <w:marBottom w:val="0"/>
                                      <w:divBdr>
                                        <w:top w:val="none" w:sz="0" w:space="0" w:color="auto"/>
                                        <w:left w:val="none" w:sz="0" w:space="0" w:color="auto"/>
                                        <w:bottom w:val="none" w:sz="0" w:space="0" w:color="auto"/>
                                        <w:right w:val="none" w:sz="0" w:space="0" w:color="auto"/>
                                      </w:divBdr>
                                      <w:divsChild>
                                        <w:div w:id="16204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7DB09-B2F6-480A-9AEB-AA98B328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52</Pages>
  <Words>25418</Words>
  <Characters>139801</Characters>
  <Application>Microsoft Office Word</Application>
  <DocSecurity>0</DocSecurity>
  <Lines>1165</Lines>
  <Paragraphs>329</Paragraphs>
  <ScaleCrop>false</ScaleCrop>
  <HeadingPairs>
    <vt:vector size="2" baseType="variant">
      <vt:variant>
        <vt:lpstr>Titre</vt:lpstr>
      </vt:variant>
      <vt:variant>
        <vt:i4>1</vt:i4>
      </vt:variant>
    </vt:vector>
  </HeadingPairs>
  <TitlesOfParts>
    <vt:vector size="1" baseType="lpstr">
      <vt:lpstr/>
    </vt:vector>
  </TitlesOfParts>
  <Company>Université Lille 3</Company>
  <LinksUpToDate>false</LinksUpToDate>
  <CharactersWithSpaces>164890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Cuchet</dc:creator>
  <cp:keywords/>
  <dc:description/>
  <cp:lastModifiedBy>Guillaume Cuchet</cp:lastModifiedBy>
  <cp:revision>34</cp:revision>
  <dcterms:created xsi:type="dcterms:W3CDTF">2025-05-20T11:17:00Z</dcterms:created>
  <dcterms:modified xsi:type="dcterms:W3CDTF">2025-06-13T11:46:00Z</dcterms:modified>
</cp:coreProperties>
</file>