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D8CB6B" w14:textId="7CFBE68D" w:rsidR="009401D3" w:rsidRDefault="009401D3" w:rsidP="009401D3">
      <w:pPr>
        <w:jc w:val="center"/>
        <w:rPr>
          <w:rFonts w:ascii="Times New Roman" w:eastAsia="Times New Roman" w:hAnsi="Times New Roman" w:cs="Times New Roman"/>
          <w:color w:val="222222"/>
          <w:kern w:val="0"/>
          <w:u w:val="single"/>
          <w:shd w:val="clear" w:color="auto" w:fill="FFFFFF"/>
          <w:lang w:eastAsia="fr-FR"/>
          <w14:ligatures w14:val="none"/>
        </w:rPr>
      </w:pPr>
      <w:proofErr w:type="spellStart"/>
      <w:r w:rsidRPr="009401D3">
        <w:rPr>
          <w:rFonts w:ascii="Times New Roman" w:eastAsia="Times New Roman" w:hAnsi="Times New Roman" w:cs="Times New Roman"/>
          <w:color w:val="222222"/>
          <w:kern w:val="0"/>
          <w:u w:val="single"/>
          <w:shd w:val="clear" w:color="auto" w:fill="FFFFFF"/>
          <w:lang w:eastAsia="fr-FR"/>
          <w14:ligatures w14:val="none"/>
        </w:rPr>
        <w:t>Exemplier</w:t>
      </w:r>
      <w:proofErr w:type="spellEnd"/>
      <w:r w:rsidRPr="009401D3">
        <w:rPr>
          <w:rFonts w:ascii="Times New Roman" w:eastAsia="Times New Roman" w:hAnsi="Times New Roman" w:cs="Times New Roman"/>
          <w:color w:val="222222"/>
          <w:kern w:val="0"/>
          <w:u w:val="single"/>
          <w:shd w:val="clear" w:color="auto" w:fill="FFFFFF"/>
          <w:lang w:eastAsia="fr-FR"/>
          <w14:ligatures w14:val="none"/>
        </w:rPr>
        <w:t xml:space="preserve"> – Cours introductif « Masculin-Féminin » </w:t>
      </w:r>
    </w:p>
    <w:p w14:paraId="3A3EF1BC" w14:textId="77777777" w:rsidR="009401D3" w:rsidRPr="009401D3" w:rsidRDefault="009401D3" w:rsidP="009401D3">
      <w:pPr>
        <w:jc w:val="center"/>
        <w:rPr>
          <w:rFonts w:ascii="Times New Roman" w:eastAsia="Times New Roman" w:hAnsi="Times New Roman" w:cs="Times New Roman"/>
          <w:color w:val="222222"/>
          <w:kern w:val="0"/>
          <w:u w:val="single"/>
          <w:shd w:val="clear" w:color="auto" w:fill="FFFFFF"/>
          <w:lang w:eastAsia="fr-FR"/>
          <w14:ligatures w14:val="none"/>
        </w:rPr>
      </w:pPr>
    </w:p>
    <w:p w14:paraId="2A03155D" w14:textId="77777777" w:rsidR="009401D3" w:rsidRDefault="009401D3" w:rsidP="009401D3">
      <w:pPr>
        <w:jc w:val="both"/>
        <w:rPr>
          <w:rFonts w:ascii="Times New Roman" w:eastAsia="Times New Roman" w:hAnsi="Times New Roman" w:cs="Times New Roman"/>
          <w:color w:val="222222"/>
          <w:kern w:val="0"/>
          <w:shd w:val="clear" w:color="auto" w:fill="FFFFFF"/>
          <w:lang w:eastAsia="fr-FR"/>
          <w14:ligatures w14:val="none"/>
        </w:rPr>
      </w:pPr>
    </w:p>
    <w:p w14:paraId="4A18F5BC" w14:textId="1F13535E" w:rsidR="009401D3" w:rsidRPr="009401D3" w:rsidRDefault="009401D3" w:rsidP="009401D3">
      <w:pPr>
        <w:pStyle w:val="Paragraphedeliste"/>
        <w:numPr>
          <w:ilvl w:val="0"/>
          <w:numId w:val="2"/>
        </w:numPr>
        <w:jc w:val="both"/>
        <w:rPr>
          <w:rFonts w:ascii="Times New Roman" w:eastAsia="Times New Roman" w:hAnsi="Times New Roman" w:cs="Times New Roman"/>
          <w:color w:val="222222"/>
          <w:kern w:val="0"/>
          <w:shd w:val="clear" w:color="auto" w:fill="FFFFFF"/>
          <w:lang w:eastAsia="fr-FR"/>
          <w14:ligatures w14:val="none"/>
        </w:rPr>
      </w:pPr>
      <w:r w:rsidRPr="009401D3">
        <w:rPr>
          <w:rFonts w:ascii="Times New Roman" w:eastAsia="Times New Roman" w:hAnsi="Times New Roman" w:cs="Times New Roman"/>
          <w:color w:val="222222"/>
          <w:kern w:val="0"/>
          <w:shd w:val="clear" w:color="auto" w:fill="FFFFFF"/>
          <w:lang w:eastAsia="fr-FR"/>
          <w14:ligatures w14:val="none"/>
        </w:rPr>
        <w:t xml:space="preserve">Simone de Beauvoir, </w:t>
      </w:r>
      <w:r w:rsidRPr="009401D3">
        <w:rPr>
          <w:rFonts w:ascii="Times New Roman" w:eastAsia="Times New Roman" w:hAnsi="Times New Roman" w:cs="Times New Roman"/>
          <w:i/>
          <w:iCs/>
          <w:color w:val="222222"/>
          <w:kern w:val="0"/>
          <w:shd w:val="clear" w:color="auto" w:fill="FFFFFF"/>
          <w:lang w:eastAsia="fr-FR"/>
          <w14:ligatures w14:val="none"/>
        </w:rPr>
        <w:t>Le Deuxième sexe</w:t>
      </w:r>
      <w:r w:rsidRPr="009401D3">
        <w:rPr>
          <w:rFonts w:ascii="Times New Roman" w:eastAsia="Times New Roman" w:hAnsi="Times New Roman" w:cs="Times New Roman"/>
          <w:color w:val="222222"/>
          <w:kern w:val="0"/>
          <w:shd w:val="clear" w:color="auto" w:fill="FFFFFF"/>
          <w:lang w:eastAsia="fr-FR"/>
          <w14:ligatures w14:val="none"/>
        </w:rPr>
        <w:t xml:space="preserve">, 1949 , t. 1, « Introduction ». </w:t>
      </w:r>
    </w:p>
    <w:p w14:paraId="133B0B9F" w14:textId="77777777" w:rsidR="009401D3" w:rsidRDefault="009401D3" w:rsidP="009401D3">
      <w:pPr>
        <w:jc w:val="both"/>
        <w:rPr>
          <w:rFonts w:ascii="Times New Roman" w:eastAsia="Times New Roman" w:hAnsi="Times New Roman" w:cs="Times New Roman"/>
          <w:color w:val="222222"/>
          <w:kern w:val="0"/>
          <w:shd w:val="clear" w:color="auto" w:fill="FFFFFF"/>
          <w:lang w:eastAsia="fr-FR"/>
          <w14:ligatures w14:val="none"/>
        </w:rPr>
      </w:pPr>
    </w:p>
    <w:p w14:paraId="2D1E4FD0" w14:textId="4B4DBE98" w:rsidR="00897FD8" w:rsidRDefault="009401D3" w:rsidP="009401D3">
      <w:pPr>
        <w:jc w:val="both"/>
        <w:rPr>
          <w:rFonts w:ascii="Times New Roman" w:eastAsia="Times New Roman" w:hAnsi="Times New Roman" w:cs="Times New Roman"/>
          <w:color w:val="222222"/>
          <w:kern w:val="0"/>
          <w:shd w:val="clear" w:color="auto" w:fill="FFFFFF"/>
          <w:lang w:eastAsia="fr-FR"/>
          <w14:ligatures w14:val="none"/>
        </w:rPr>
      </w:pPr>
      <w:r>
        <w:rPr>
          <w:rFonts w:ascii="Times New Roman" w:eastAsia="Times New Roman" w:hAnsi="Times New Roman" w:cs="Times New Roman"/>
          <w:color w:val="222222"/>
          <w:kern w:val="0"/>
          <w:shd w:val="clear" w:color="auto" w:fill="FFFFFF"/>
          <w:lang w:eastAsia="fr-FR"/>
          <w14:ligatures w14:val="none"/>
        </w:rPr>
        <w:t>«</w:t>
      </w:r>
      <w:r w:rsidRPr="000D408F">
        <w:rPr>
          <w:rFonts w:ascii="Times New Roman" w:eastAsia="Times New Roman" w:hAnsi="Times New Roman" w:cs="Times New Roman"/>
          <w:b/>
          <w:bCs/>
          <w:color w:val="222222"/>
          <w:kern w:val="0"/>
          <w:shd w:val="clear" w:color="auto" w:fill="FFFFFF"/>
          <w:lang w:eastAsia="fr-FR"/>
          <w14:ligatures w14:val="none"/>
        </w:rPr>
        <w:t> </w:t>
      </w:r>
      <w:r>
        <w:rPr>
          <w:rFonts w:ascii="Times New Roman" w:eastAsia="Times New Roman" w:hAnsi="Times New Roman" w:cs="Times New Roman"/>
          <w:color w:val="222222"/>
          <w:kern w:val="0"/>
          <w:shd w:val="clear" w:color="auto" w:fill="FFFFFF"/>
          <w:lang w:eastAsia="fr-FR"/>
          <w14:ligatures w14:val="none"/>
        </w:rPr>
        <w:t>L</w:t>
      </w:r>
      <w:r w:rsidRPr="009401D3">
        <w:rPr>
          <w:rFonts w:ascii="Times New Roman" w:eastAsia="Times New Roman" w:hAnsi="Times New Roman" w:cs="Times New Roman"/>
          <w:color w:val="222222"/>
          <w:kern w:val="0"/>
          <w:shd w:val="clear" w:color="auto" w:fill="FFFFFF"/>
          <w:lang w:eastAsia="fr-FR"/>
          <w14:ligatures w14:val="none"/>
        </w:rPr>
        <w:t>’humanité se partage en deux catégories d’individus dont les vêtements, le visage, le corps, les sourires, la démarche, les intérêts, les occupations sont manifestement différents ; peut-être ces différences sont-elles superficielles, peut-être sont-elles destinées à disparaître. Ce qui est certain c’est que pour l’instant elles existent avec une éclatante évidence »,</w:t>
      </w:r>
      <w:r>
        <w:rPr>
          <w:rFonts w:ascii="Times New Roman" w:eastAsia="Times New Roman" w:hAnsi="Times New Roman" w:cs="Times New Roman"/>
          <w:color w:val="222222"/>
          <w:kern w:val="0"/>
          <w:shd w:val="clear" w:color="auto" w:fill="FFFFFF"/>
          <w:lang w:eastAsia="fr-FR"/>
          <w14:ligatures w14:val="none"/>
        </w:rPr>
        <w:t xml:space="preserve"> p. 15. </w:t>
      </w:r>
    </w:p>
    <w:p w14:paraId="069BAE9E" w14:textId="77777777" w:rsidR="009401D3" w:rsidRDefault="009401D3" w:rsidP="009401D3">
      <w:pPr>
        <w:jc w:val="both"/>
        <w:rPr>
          <w:rFonts w:ascii="Times New Roman" w:eastAsia="Times New Roman" w:hAnsi="Times New Roman" w:cs="Times New Roman"/>
          <w:color w:val="222222"/>
          <w:kern w:val="0"/>
          <w:shd w:val="clear" w:color="auto" w:fill="FFFFFF"/>
          <w:lang w:eastAsia="fr-FR"/>
          <w14:ligatures w14:val="none"/>
        </w:rPr>
      </w:pPr>
    </w:p>
    <w:p w14:paraId="73ADCFE5" w14:textId="4DA5C68F" w:rsidR="009401D3" w:rsidRPr="009401D3" w:rsidRDefault="009401D3" w:rsidP="009401D3">
      <w:pPr>
        <w:pStyle w:val="Paragraphedeliste"/>
        <w:numPr>
          <w:ilvl w:val="0"/>
          <w:numId w:val="2"/>
        </w:numPr>
        <w:jc w:val="both"/>
        <w:rPr>
          <w:rFonts w:ascii="Times New Roman" w:eastAsia="Times New Roman" w:hAnsi="Times New Roman" w:cs="Times New Roman"/>
          <w:color w:val="222222"/>
          <w:kern w:val="0"/>
          <w:shd w:val="clear" w:color="auto" w:fill="FFFFFF"/>
          <w:lang w:val="fr-FR" w:eastAsia="fr-FR"/>
          <w14:ligatures w14:val="none"/>
        </w:rPr>
      </w:pPr>
      <w:r w:rsidRPr="009401D3">
        <w:rPr>
          <w:rFonts w:ascii="Times New Roman" w:eastAsia="Times New Roman" w:hAnsi="Times New Roman" w:cs="Times New Roman"/>
          <w:color w:val="222222"/>
          <w:kern w:val="0"/>
          <w:shd w:val="clear" w:color="auto" w:fill="FFFFFF"/>
          <w:lang w:val="fr-FR" w:eastAsia="fr-FR"/>
          <w14:ligatures w14:val="none"/>
        </w:rPr>
        <w:t xml:space="preserve">Jean Laplanche, </w:t>
      </w:r>
      <w:proofErr w:type="spellStart"/>
      <w:r w:rsidRPr="009401D3">
        <w:rPr>
          <w:rFonts w:ascii="Times New Roman" w:eastAsia="Times New Roman" w:hAnsi="Times New Roman" w:cs="Times New Roman"/>
          <w:i/>
          <w:iCs/>
          <w:color w:val="222222"/>
          <w:kern w:val="0"/>
          <w:shd w:val="clear" w:color="auto" w:fill="FFFFFF"/>
          <w:lang w:val="fr-FR" w:eastAsia="fr-FR"/>
          <w14:ligatures w14:val="none"/>
        </w:rPr>
        <w:t>Sexual</w:t>
      </w:r>
      <w:proofErr w:type="spellEnd"/>
      <w:r w:rsidRPr="009401D3">
        <w:rPr>
          <w:rFonts w:ascii="Times New Roman" w:eastAsia="Times New Roman" w:hAnsi="Times New Roman" w:cs="Times New Roman"/>
          <w:i/>
          <w:iCs/>
          <w:color w:val="222222"/>
          <w:kern w:val="0"/>
          <w:shd w:val="clear" w:color="auto" w:fill="FFFFFF"/>
          <w:lang w:val="fr-FR" w:eastAsia="fr-FR"/>
          <w14:ligatures w14:val="none"/>
        </w:rPr>
        <w:t xml:space="preserve">. La sexualité élargie au sens freudien, </w:t>
      </w:r>
      <w:r w:rsidRPr="009401D3">
        <w:rPr>
          <w:rFonts w:ascii="Times New Roman" w:eastAsia="Times New Roman" w:hAnsi="Times New Roman" w:cs="Times New Roman"/>
          <w:color w:val="222222"/>
          <w:kern w:val="0"/>
          <w:shd w:val="clear" w:color="auto" w:fill="FFFFFF"/>
          <w:lang w:val="fr-FR" w:eastAsia="fr-FR"/>
          <w14:ligatures w14:val="none"/>
        </w:rPr>
        <w:t xml:space="preserve">Paris, </w:t>
      </w:r>
      <w:proofErr w:type="spellStart"/>
      <w:r w:rsidRPr="009401D3">
        <w:rPr>
          <w:rFonts w:ascii="Times New Roman" w:eastAsia="Times New Roman" w:hAnsi="Times New Roman" w:cs="Times New Roman"/>
          <w:color w:val="222222"/>
          <w:kern w:val="0"/>
          <w:shd w:val="clear" w:color="auto" w:fill="FFFFFF"/>
          <w:lang w:val="fr-FR" w:eastAsia="fr-FR"/>
          <w14:ligatures w14:val="none"/>
        </w:rPr>
        <w:t>Puf</w:t>
      </w:r>
      <w:proofErr w:type="spellEnd"/>
      <w:r w:rsidRPr="009401D3">
        <w:rPr>
          <w:rFonts w:ascii="Times New Roman" w:eastAsia="Times New Roman" w:hAnsi="Times New Roman" w:cs="Times New Roman"/>
          <w:color w:val="222222"/>
          <w:kern w:val="0"/>
          <w:shd w:val="clear" w:color="auto" w:fill="FFFFFF"/>
          <w:lang w:val="fr-FR" w:eastAsia="fr-FR"/>
          <w14:ligatures w14:val="none"/>
        </w:rPr>
        <w:t>, 2003.</w:t>
      </w:r>
      <w:r w:rsidRPr="009401D3">
        <w:rPr>
          <w:rFonts w:ascii="Times New Roman" w:eastAsia="Times New Roman" w:hAnsi="Times New Roman" w:cs="Times New Roman"/>
          <w:i/>
          <w:iCs/>
          <w:color w:val="222222"/>
          <w:kern w:val="0"/>
          <w:shd w:val="clear" w:color="auto" w:fill="FFFFFF"/>
          <w:lang w:val="fr-FR" w:eastAsia="fr-FR"/>
          <w14:ligatures w14:val="none"/>
        </w:rPr>
        <w:t xml:space="preserve"> </w:t>
      </w:r>
    </w:p>
    <w:p w14:paraId="2FE5FAB6" w14:textId="77777777" w:rsidR="009401D3" w:rsidRDefault="009401D3" w:rsidP="009401D3">
      <w:pPr>
        <w:jc w:val="both"/>
        <w:rPr>
          <w:rFonts w:ascii="Times New Roman" w:eastAsia="Times New Roman" w:hAnsi="Times New Roman" w:cs="Times New Roman"/>
          <w:color w:val="222222"/>
          <w:kern w:val="0"/>
          <w:shd w:val="clear" w:color="auto" w:fill="FFFFFF"/>
          <w:lang w:val="fr-FR" w:eastAsia="fr-FR"/>
          <w14:ligatures w14:val="none"/>
        </w:rPr>
      </w:pPr>
    </w:p>
    <w:p w14:paraId="0AA3B9C3" w14:textId="461A2297" w:rsidR="009401D3" w:rsidRPr="009401D3" w:rsidRDefault="009401D3" w:rsidP="009401D3">
      <w:pPr>
        <w:jc w:val="both"/>
        <w:rPr>
          <w:rFonts w:ascii="Times New Roman" w:eastAsia="Times New Roman" w:hAnsi="Times New Roman" w:cs="Times New Roman"/>
          <w:color w:val="222222"/>
          <w:kern w:val="0"/>
          <w:shd w:val="clear" w:color="auto" w:fill="FFFFFF"/>
          <w:lang w:val="fr-FR" w:eastAsia="fr-FR"/>
          <w14:ligatures w14:val="none"/>
        </w:rPr>
      </w:pPr>
      <w:r w:rsidRPr="00AC06FE">
        <w:rPr>
          <w:rFonts w:ascii="Times New Roman" w:eastAsia="Times New Roman" w:hAnsi="Times New Roman" w:cs="Times New Roman"/>
          <w:color w:val="222222"/>
          <w:kern w:val="0"/>
          <w:shd w:val="clear" w:color="auto" w:fill="FFFFFF"/>
          <w:lang w:val="fr-FR" w:eastAsia="fr-FR"/>
          <w14:ligatures w14:val="none"/>
        </w:rPr>
        <w:t>« Masculin et féminin est la première différenciation que vous</w:t>
      </w:r>
      <w:r>
        <w:rPr>
          <w:rFonts w:ascii="Times New Roman" w:eastAsia="Times New Roman" w:hAnsi="Times New Roman" w:cs="Times New Roman"/>
          <w:color w:val="222222"/>
          <w:kern w:val="0"/>
          <w:shd w:val="clear" w:color="auto" w:fill="FFFFFF"/>
          <w:lang w:val="fr-FR" w:eastAsia="fr-FR"/>
          <w14:ligatures w14:val="none"/>
        </w:rPr>
        <w:t xml:space="preserve"> </w:t>
      </w:r>
      <w:r w:rsidRPr="00AC06FE">
        <w:rPr>
          <w:rFonts w:ascii="Times New Roman" w:eastAsia="Times New Roman" w:hAnsi="Times New Roman" w:cs="Times New Roman"/>
          <w:color w:val="222222"/>
          <w:kern w:val="0"/>
          <w:shd w:val="clear" w:color="auto" w:fill="FFFFFF"/>
          <w:lang w:val="fr-FR" w:eastAsia="fr-FR"/>
          <w14:ligatures w14:val="none"/>
        </w:rPr>
        <w:t>faites quand vous rencontrez un autre être humain, et vous êtes habitués</w:t>
      </w:r>
      <w:r>
        <w:rPr>
          <w:rFonts w:ascii="Times New Roman" w:eastAsia="Times New Roman" w:hAnsi="Times New Roman" w:cs="Times New Roman"/>
          <w:color w:val="222222"/>
          <w:kern w:val="0"/>
          <w:shd w:val="clear" w:color="auto" w:fill="FFFFFF"/>
          <w:lang w:val="fr-FR" w:eastAsia="fr-FR"/>
          <w14:ligatures w14:val="none"/>
        </w:rPr>
        <w:t xml:space="preserve"> </w:t>
      </w:r>
      <w:r w:rsidRPr="00AC06FE">
        <w:rPr>
          <w:rFonts w:ascii="Times New Roman" w:eastAsia="Times New Roman" w:hAnsi="Times New Roman" w:cs="Times New Roman"/>
          <w:color w:val="222222"/>
          <w:kern w:val="0"/>
          <w:shd w:val="clear" w:color="auto" w:fill="FFFFFF"/>
          <w:lang w:val="fr-FR" w:eastAsia="fr-FR"/>
          <w14:ligatures w14:val="none"/>
        </w:rPr>
        <w:t>à faire cette différenciation avec une certitude exempte d’hésitation. […]</w:t>
      </w:r>
      <w:r>
        <w:rPr>
          <w:rFonts w:ascii="Times New Roman" w:eastAsia="Times New Roman" w:hAnsi="Times New Roman" w:cs="Times New Roman"/>
          <w:color w:val="222222"/>
          <w:kern w:val="0"/>
          <w:shd w:val="clear" w:color="auto" w:fill="FFFFFF"/>
          <w:lang w:val="fr-FR" w:eastAsia="fr-FR"/>
          <w14:ligatures w14:val="none"/>
        </w:rPr>
        <w:t xml:space="preserve"> </w:t>
      </w:r>
      <w:r w:rsidRPr="00AC06FE">
        <w:rPr>
          <w:rFonts w:ascii="Times New Roman" w:eastAsia="Times New Roman" w:hAnsi="Times New Roman" w:cs="Times New Roman"/>
          <w:color w:val="222222"/>
          <w:kern w:val="0"/>
          <w:shd w:val="clear" w:color="auto" w:fill="FFFFFF"/>
          <w:lang w:val="fr-FR" w:eastAsia="fr-FR"/>
          <w14:ligatures w14:val="none"/>
        </w:rPr>
        <w:t>En psychanalyse, en clinique d’une façon générale, l’immense majorité,</w:t>
      </w:r>
      <w:r>
        <w:rPr>
          <w:rFonts w:ascii="Times New Roman" w:eastAsia="Times New Roman" w:hAnsi="Times New Roman" w:cs="Times New Roman"/>
          <w:color w:val="222222"/>
          <w:kern w:val="0"/>
          <w:shd w:val="clear" w:color="auto" w:fill="FFFFFF"/>
          <w:lang w:val="fr-FR" w:eastAsia="fr-FR"/>
          <w14:ligatures w14:val="none"/>
        </w:rPr>
        <w:t xml:space="preserve"> </w:t>
      </w:r>
      <w:r w:rsidRPr="00AC06FE">
        <w:rPr>
          <w:rFonts w:ascii="Times New Roman" w:eastAsia="Times New Roman" w:hAnsi="Times New Roman" w:cs="Times New Roman"/>
          <w:color w:val="222222"/>
          <w:kern w:val="0"/>
          <w:shd w:val="clear" w:color="auto" w:fill="FFFFFF"/>
          <w:lang w:val="fr-FR" w:eastAsia="fr-FR"/>
          <w14:ligatures w14:val="none"/>
        </w:rPr>
        <w:t>voire la totalité des “observations”, pose de façon irréfléchie au départ :</w:t>
      </w:r>
      <w:r>
        <w:rPr>
          <w:rFonts w:ascii="Times New Roman" w:eastAsia="Times New Roman" w:hAnsi="Times New Roman" w:cs="Times New Roman"/>
          <w:color w:val="222222"/>
          <w:kern w:val="0"/>
          <w:shd w:val="clear" w:color="auto" w:fill="FFFFFF"/>
          <w:lang w:val="fr-FR" w:eastAsia="fr-FR"/>
          <w14:ligatures w14:val="none"/>
        </w:rPr>
        <w:t xml:space="preserve"> </w:t>
      </w:r>
      <w:r w:rsidRPr="00AC06FE">
        <w:rPr>
          <w:rFonts w:ascii="Times New Roman" w:eastAsia="Times New Roman" w:hAnsi="Times New Roman" w:cs="Times New Roman"/>
          <w:color w:val="222222"/>
          <w:kern w:val="0"/>
          <w:shd w:val="clear" w:color="auto" w:fill="FFFFFF"/>
          <w:lang w:val="fr-FR" w:eastAsia="fr-FR"/>
          <w14:ligatures w14:val="none"/>
        </w:rPr>
        <w:t xml:space="preserve">“Il s’agit d’un homme de 30 ans ; ou d’une femme de 25, </w:t>
      </w:r>
      <w:r w:rsidRPr="009401D3">
        <w:rPr>
          <w:rFonts w:ascii="Times New Roman" w:eastAsia="Times New Roman" w:hAnsi="Times New Roman" w:cs="Times New Roman"/>
          <w:color w:val="222222"/>
          <w:kern w:val="0"/>
          <w:shd w:val="clear" w:color="auto" w:fill="FFFFFF"/>
          <w:lang w:val="fr-FR" w:eastAsia="fr-FR"/>
          <w14:ligatures w14:val="none"/>
        </w:rPr>
        <w:t>etc.” Le genre serait-il vraiment a-conflictuel au point d’être un impensé de départ ? »</w:t>
      </w:r>
    </w:p>
    <w:p w14:paraId="018F5DB8" w14:textId="77777777" w:rsidR="009401D3" w:rsidRDefault="009401D3" w:rsidP="009401D3">
      <w:pPr>
        <w:jc w:val="both"/>
        <w:rPr>
          <w:lang w:val="fr-FR"/>
        </w:rPr>
      </w:pPr>
    </w:p>
    <w:p w14:paraId="329A5517" w14:textId="7378B040" w:rsidR="009401D3" w:rsidRPr="009401D3" w:rsidRDefault="009401D3" w:rsidP="009401D3">
      <w:pPr>
        <w:pStyle w:val="Paragraphedeliste"/>
        <w:numPr>
          <w:ilvl w:val="0"/>
          <w:numId w:val="2"/>
        </w:numPr>
        <w:jc w:val="both"/>
        <w:rPr>
          <w:rFonts w:ascii="Times New Roman" w:hAnsi="Times New Roman" w:cs="Times New Roman"/>
        </w:rPr>
      </w:pPr>
      <w:r w:rsidRPr="009401D3">
        <w:rPr>
          <w:rFonts w:ascii="Times New Roman" w:hAnsi="Times New Roman" w:cs="Times New Roman"/>
        </w:rPr>
        <w:t xml:space="preserve">Teresa de </w:t>
      </w:r>
      <w:proofErr w:type="spellStart"/>
      <w:r w:rsidRPr="009401D3">
        <w:rPr>
          <w:rFonts w:ascii="Times New Roman" w:hAnsi="Times New Roman" w:cs="Times New Roman"/>
        </w:rPr>
        <w:t>Lauretis</w:t>
      </w:r>
      <w:proofErr w:type="spellEnd"/>
      <w:r w:rsidRPr="009401D3">
        <w:rPr>
          <w:rFonts w:ascii="Times New Roman" w:hAnsi="Times New Roman" w:cs="Times New Roman"/>
        </w:rPr>
        <w:t xml:space="preserve">, </w:t>
      </w:r>
      <w:r w:rsidRPr="009401D3">
        <w:rPr>
          <w:rFonts w:ascii="Times New Roman" w:hAnsi="Times New Roman" w:cs="Times New Roman"/>
          <w:i/>
          <w:iCs/>
        </w:rPr>
        <w:t>Théorie queer et cultures populaires,</w:t>
      </w:r>
      <w:r w:rsidRPr="009401D3">
        <w:rPr>
          <w:rFonts w:ascii="Times New Roman" w:hAnsi="Times New Roman" w:cs="Times New Roman"/>
        </w:rPr>
        <w:t xml:space="preserve"> </w:t>
      </w:r>
      <w:r w:rsidR="00981DCD">
        <w:rPr>
          <w:rFonts w:ascii="Times New Roman" w:hAnsi="Times New Roman" w:cs="Times New Roman"/>
        </w:rPr>
        <w:t xml:space="preserve">trad. S. Bourcier, Paris, La Dispute, 2023, p. 39-40. </w:t>
      </w:r>
    </w:p>
    <w:p w14:paraId="65BF1BA9" w14:textId="77777777" w:rsidR="009401D3" w:rsidRPr="00C2120B" w:rsidRDefault="009401D3" w:rsidP="009401D3">
      <w:pPr>
        <w:jc w:val="both"/>
        <w:rPr>
          <w:rFonts w:ascii="Times New Roman" w:hAnsi="Times New Roman" w:cs="Times New Roman"/>
          <w:sz w:val="26"/>
          <w:szCs w:val="26"/>
        </w:rPr>
      </w:pPr>
    </w:p>
    <w:p w14:paraId="6F950718" w14:textId="3C30F3C7" w:rsidR="009401D3" w:rsidRPr="009401D3" w:rsidRDefault="00981DCD" w:rsidP="009401D3">
      <w:pPr>
        <w:pStyle w:val="Paragraphedeliste"/>
        <w:numPr>
          <w:ilvl w:val="0"/>
          <w:numId w:val="1"/>
        </w:numPr>
        <w:jc w:val="both"/>
        <w:rPr>
          <w:rFonts w:ascii="Times New Roman" w:hAnsi="Times New Roman" w:cs="Times New Roman"/>
        </w:rPr>
      </w:pPr>
      <w:r>
        <w:rPr>
          <w:rFonts w:ascii="Times New Roman" w:hAnsi="Times New Roman" w:cs="Times New Roman"/>
        </w:rPr>
        <w:t>« </w:t>
      </w:r>
      <w:r w:rsidR="009401D3" w:rsidRPr="009401D3">
        <w:rPr>
          <w:rFonts w:ascii="Times New Roman" w:hAnsi="Times New Roman" w:cs="Times New Roman"/>
        </w:rPr>
        <w:t xml:space="preserve">Le genre est (une) représentation : ceci ne revient pas à dire qu’il n’y a pas d’implications concrètes ou réelles, à la fois sociales et subjectives, dans la vie matérielle des individus. Bien au contraire. </w:t>
      </w:r>
    </w:p>
    <w:p w14:paraId="433E28B7" w14:textId="77777777" w:rsidR="009401D3" w:rsidRPr="009401D3" w:rsidRDefault="009401D3" w:rsidP="009401D3">
      <w:pPr>
        <w:pStyle w:val="Paragraphedeliste"/>
        <w:jc w:val="both"/>
        <w:rPr>
          <w:rFonts w:ascii="Times New Roman" w:hAnsi="Times New Roman" w:cs="Times New Roman"/>
        </w:rPr>
      </w:pPr>
    </w:p>
    <w:p w14:paraId="42ACDE34" w14:textId="77777777" w:rsidR="009401D3" w:rsidRPr="009401D3" w:rsidRDefault="009401D3" w:rsidP="009401D3">
      <w:pPr>
        <w:pStyle w:val="Paragraphedeliste"/>
        <w:numPr>
          <w:ilvl w:val="0"/>
          <w:numId w:val="1"/>
        </w:numPr>
        <w:jc w:val="both"/>
        <w:rPr>
          <w:rFonts w:ascii="Times New Roman" w:hAnsi="Times New Roman" w:cs="Times New Roman"/>
        </w:rPr>
      </w:pPr>
      <w:r w:rsidRPr="009401D3">
        <w:rPr>
          <w:rFonts w:ascii="Times New Roman" w:hAnsi="Times New Roman" w:cs="Times New Roman"/>
        </w:rPr>
        <w:t xml:space="preserve">La représentation du genre est sa construction, et l’on pourrait dire très simplement que tout l’art et la culture d’élite occidentale sont l’empreinte de l’histoire de cette construction. </w:t>
      </w:r>
    </w:p>
    <w:p w14:paraId="7CD5560A" w14:textId="77777777" w:rsidR="009401D3" w:rsidRPr="009401D3" w:rsidRDefault="009401D3" w:rsidP="009401D3">
      <w:pPr>
        <w:jc w:val="both"/>
        <w:rPr>
          <w:rFonts w:ascii="Times New Roman" w:hAnsi="Times New Roman" w:cs="Times New Roman"/>
        </w:rPr>
      </w:pPr>
    </w:p>
    <w:p w14:paraId="1F52C614" w14:textId="77777777" w:rsidR="009401D3" w:rsidRPr="009401D3" w:rsidRDefault="009401D3" w:rsidP="009401D3">
      <w:pPr>
        <w:pStyle w:val="Paragraphedeliste"/>
        <w:numPr>
          <w:ilvl w:val="0"/>
          <w:numId w:val="1"/>
        </w:numPr>
        <w:jc w:val="both"/>
        <w:rPr>
          <w:rFonts w:ascii="Times New Roman" w:hAnsi="Times New Roman" w:cs="Times New Roman"/>
        </w:rPr>
      </w:pPr>
      <w:r w:rsidRPr="009401D3">
        <w:rPr>
          <w:rFonts w:ascii="Times New Roman" w:hAnsi="Times New Roman" w:cs="Times New Roman"/>
        </w:rPr>
        <w:t xml:space="preserve">La construction du genre se poursuit de manière aussi active aujourd’hui que ce fut le cas dans des temps plus anciens, l’époque victorienne par exemple. Elle perdure là où l’on peut s’y attendre – dans les médias, les écoles publiques et privées, les tribunaux, la famille, que celle-ci soit nucléaire étendue ou monoparentale, bref dans ce que Louis Althusser a appelé les ‘appareils idéologiques d’État’. La construction du genre se poursuit aussi, même si c’est moins flagrant, à l’université, dans la communauté intellectuelle, les théories radicales et les pratiques artistiques avant-gardistes et même – peut-être même plus particulièrement – dans le féminisme. </w:t>
      </w:r>
    </w:p>
    <w:p w14:paraId="4585BE43" w14:textId="77777777" w:rsidR="009401D3" w:rsidRPr="009401D3" w:rsidRDefault="009401D3" w:rsidP="009401D3">
      <w:pPr>
        <w:pStyle w:val="Paragraphedeliste"/>
        <w:jc w:val="both"/>
        <w:rPr>
          <w:rFonts w:ascii="Times New Roman" w:hAnsi="Times New Roman" w:cs="Times New Roman"/>
        </w:rPr>
      </w:pPr>
    </w:p>
    <w:p w14:paraId="36E0F7BE" w14:textId="49F2187F" w:rsidR="009401D3" w:rsidRDefault="009401D3" w:rsidP="009401D3">
      <w:pPr>
        <w:pStyle w:val="Paragraphedeliste"/>
        <w:numPr>
          <w:ilvl w:val="0"/>
          <w:numId w:val="1"/>
        </w:numPr>
        <w:jc w:val="both"/>
        <w:rPr>
          <w:rFonts w:ascii="Times New Roman" w:hAnsi="Times New Roman" w:cs="Times New Roman"/>
        </w:rPr>
      </w:pPr>
      <w:r w:rsidRPr="009401D3">
        <w:rPr>
          <w:rFonts w:ascii="Times New Roman" w:hAnsi="Times New Roman" w:cs="Times New Roman"/>
        </w:rPr>
        <w:t>Paradoxalement donc, la construction du genre est aussi affectée par sa déconstruction : c’est-à-dire par tout discours féministe ou non, qui vise à l’écarter en tant que déformation idéologique. Car le genre, comme le réel, est non seulement l’effet de la représentation mais aussi son excès, c’est-à-dire ce qui reste en dehors du discours comme un traumatisme potentiel susceptible de briser ou déstabiliser toute représentation s’il n’est pas connu.</w:t>
      </w:r>
      <w:r w:rsidR="00981DCD">
        <w:rPr>
          <w:rFonts w:ascii="Times New Roman" w:hAnsi="Times New Roman" w:cs="Times New Roman"/>
        </w:rPr>
        <w:t> »</w:t>
      </w:r>
    </w:p>
    <w:p w14:paraId="5E58F3E1" w14:textId="77777777" w:rsidR="00981DCD" w:rsidRPr="00981DCD" w:rsidRDefault="00981DCD" w:rsidP="00981DCD">
      <w:pPr>
        <w:pStyle w:val="Paragraphedeliste"/>
        <w:rPr>
          <w:rFonts w:ascii="Times New Roman" w:hAnsi="Times New Roman" w:cs="Times New Roman"/>
        </w:rPr>
      </w:pPr>
    </w:p>
    <w:p w14:paraId="639821E3" w14:textId="30D3919F" w:rsidR="00981DCD" w:rsidRPr="00981DCD" w:rsidRDefault="00981DCD" w:rsidP="00981DCD">
      <w:pPr>
        <w:jc w:val="both"/>
        <w:rPr>
          <w:rFonts w:ascii="Times New Roman" w:hAnsi="Times New Roman" w:cs="Times New Roman"/>
        </w:rPr>
      </w:pPr>
      <w:r>
        <w:rPr>
          <w:rFonts w:ascii="Times New Roman" w:hAnsi="Times New Roman" w:cs="Times New Roman"/>
        </w:rPr>
        <w:t xml:space="preserve">(…) </w:t>
      </w:r>
    </w:p>
    <w:p w14:paraId="6F8D00F9" w14:textId="77777777" w:rsidR="009401D3" w:rsidRPr="009401D3" w:rsidRDefault="009401D3" w:rsidP="009401D3">
      <w:pPr>
        <w:pStyle w:val="Paragraphedeliste"/>
        <w:jc w:val="both"/>
        <w:rPr>
          <w:rFonts w:ascii="Times New Roman" w:hAnsi="Times New Roman" w:cs="Times New Roman"/>
        </w:rPr>
      </w:pPr>
    </w:p>
    <w:p w14:paraId="0F6B3F34" w14:textId="20974D06" w:rsidR="009401D3" w:rsidRDefault="009401D3" w:rsidP="009401D3">
      <w:pPr>
        <w:jc w:val="both"/>
        <w:rPr>
          <w:rFonts w:ascii="Times New Roman" w:hAnsi="Times New Roman" w:cs="Times New Roman"/>
        </w:rPr>
      </w:pPr>
      <w:r w:rsidRPr="009401D3">
        <w:rPr>
          <w:rFonts w:ascii="Times New Roman" w:hAnsi="Times New Roman" w:cs="Times New Roman"/>
        </w:rPr>
        <w:t xml:space="preserve"> « Le genre est la représentation d’une relation ; il construit une relation entre une entité et d’autres entités, qui sont déjà constituées comme classes, et cette relation est de l’ordre de </w:t>
      </w:r>
      <w:r w:rsidRPr="009401D3">
        <w:rPr>
          <w:rFonts w:ascii="Times New Roman" w:hAnsi="Times New Roman" w:cs="Times New Roman"/>
        </w:rPr>
        <w:lastRenderedPageBreak/>
        <w:t xml:space="preserve">l’appartenance. Le genre assigne donc à une entité, disons à un individu, une position dans une classe et une position par rapport à d’autres classes préconstituées (…) le genre n’est pas le sexe mais il est la représentation de chaque individu dans le cadre d’une relation sociale particulière qui préexiste à l’individu et présuppose l’opposition conceptuelle rigide (structurale) de deux sexes biologiques ». </w:t>
      </w:r>
    </w:p>
    <w:p w14:paraId="1D0CFD20" w14:textId="77777777" w:rsidR="00981DCD" w:rsidRDefault="00981DCD" w:rsidP="009401D3">
      <w:pPr>
        <w:jc w:val="both"/>
        <w:rPr>
          <w:rFonts w:ascii="Times New Roman" w:hAnsi="Times New Roman" w:cs="Times New Roman"/>
        </w:rPr>
      </w:pPr>
    </w:p>
    <w:p w14:paraId="331075CF" w14:textId="4A55E4D7" w:rsidR="00981DCD" w:rsidRDefault="00981DCD" w:rsidP="009401D3">
      <w:pPr>
        <w:jc w:val="both"/>
        <w:rPr>
          <w:rFonts w:ascii="Times New Roman" w:hAnsi="Times New Roman" w:cs="Times New Roman"/>
        </w:rPr>
      </w:pPr>
      <w:r>
        <w:rPr>
          <w:rFonts w:ascii="Times New Roman" w:hAnsi="Times New Roman" w:cs="Times New Roman"/>
        </w:rPr>
        <w:t xml:space="preserve">p. 43 : « Les conceptions culturelles du masculin et du féminin comme catégories complémentaires mais mutuellement exclusives par rapport auxquelles se situent tous les êtres humains constituent un système de genre, un système symbolique ou un système de significations, qui mettent en corrélation le sexe avec des contenus culturels selon des valeurs et des hiérarchies sociales dans toutes les cultures. Bien que les significations varient dans chaque culture, dans toute société, le système sexe/genre est toujours intimement lié aux facteurs économiques et politiques. Dans cette perspective, la construction culturelle du sexe en genre et l’asymétrie qui caractérise tous les systèmes de genre dans toutes les cultures (réalisées à chaque fois de manière particulière) sont ‘systématiquement à l’organisation de l’inégalité sociale’. En bref, le système sexe/genre est à la fois une construction socioculturelle et un appareil sémiologique, un système de représentations qui assigne une signification (identité, valeur, prestige, position dans la filiation, statut dans la hiérarchie sociale, etc.) aux individus au sein de la société. Si les représentations du genre sont des positions sociales porteuses de significations différentes, alors être représenté et se présenter soi-même comme homme ou femme implique et présuppose l’ensemble de ces effets de </w:t>
      </w:r>
      <w:r w:rsidR="003C6EED">
        <w:rPr>
          <w:rFonts w:ascii="Times New Roman" w:hAnsi="Times New Roman" w:cs="Times New Roman"/>
        </w:rPr>
        <w:t>signification</w:t>
      </w:r>
      <w:r>
        <w:rPr>
          <w:rFonts w:ascii="Times New Roman" w:hAnsi="Times New Roman" w:cs="Times New Roman"/>
        </w:rPr>
        <w:t xml:space="preserve"> ». </w:t>
      </w:r>
    </w:p>
    <w:p w14:paraId="4EA365C1" w14:textId="77777777" w:rsidR="00981DCD" w:rsidRPr="009401D3" w:rsidRDefault="00981DCD" w:rsidP="009401D3">
      <w:pPr>
        <w:jc w:val="both"/>
        <w:rPr>
          <w:rFonts w:ascii="Times New Roman" w:hAnsi="Times New Roman" w:cs="Times New Roman"/>
        </w:rPr>
      </w:pPr>
    </w:p>
    <w:p w14:paraId="20647334" w14:textId="77777777" w:rsidR="009401D3" w:rsidRPr="009401D3" w:rsidRDefault="009401D3" w:rsidP="009401D3">
      <w:pPr>
        <w:jc w:val="both"/>
        <w:rPr>
          <w:rFonts w:ascii="Times New Roman" w:hAnsi="Times New Roman" w:cs="Times New Roman"/>
        </w:rPr>
      </w:pPr>
    </w:p>
    <w:p w14:paraId="15928F90" w14:textId="77777777" w:rsidR="009401D3" w:rsidRPr="009401D3" w:rsidRDefault="009401D3" w:rsidP="009401D3">
      <w:pPr>
        <w:jc w:val="both"/>
      </w:pPr>
    </w:p>
    <w:sectPr w:rsidR="009401D3" w:rsidRPr="009401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D32313"/>
    <w:multiLevelType w:val="hybridMultilevel"/>
    <w:tmpl w:val="106E916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62DD0DB5"/>
    <w:multiLevelType w:val="hybridMultilevel"/>
    <w:tmpl w:val="A2365DC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984845245">
    <w:abstractNumId w:val="0"/>
  </w:num>
  <w:num w:numId="2" w16cid:durableId="1161430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1D3"/>
    <w:rsid w:val="000E3DF6"/>
    <w:rsid w:val="003C6EED"/>
    <w:rsid w:val="004E182D"/>
    <w:rsid w:val="004F6EED"/>
    <w:rsid w:val="006B2543"/>
    <w:rsid w:val="0071036F"/>
    <w:rsid w:val="00897FD8"/>
    <w:rsid w:val="009401D3"/>
    <w:rsid w:val="00981DCD"/>
    <w:rsid w:val="00C54CB7"/>
    <w:rsid w:val="00E9555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5D13EEC4"/>
  <w15:chartTrackingRefBased/>
  <w15:docId w15:val="{16DD87C3-98B1-4A42-8861-4C0ACBC69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401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401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401D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401D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401D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401D3"/>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401D3"/>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401D3"/>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401D3"/>
    <w:pPr>
      <w:keepNext/>
      <w:keepLines/>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401D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401D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401D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401D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401D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401D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401D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401D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401D3"/>
    <w:rPr>
      <w:rFonts w:eastAsiaTheme="majorEastAsia" w:cstheme="majorBidi"/>
      <w:color w:val="272727" w:themeColor="text1" w:themeTint="D8"/>
    </w:rPr>
  </w:style>
  <w:style w:type="paragraph" w:styleId="Titre">
    <w:name w:val="Title"/>
    <w:basedOn w:val="Normal"/>
    <w:next w:val="Normal"/>
    <w:link w:val="TitreCar"/>
    <w:uiPriority w:val="10"/>
    <w:qFormat/>
    <w:rsid w:val="009401D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401D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401D3"/>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401D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401D3"/>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9401D3"/>
    <w:rPr>
      <w:i/>
      <w:iCs/>
      <w:color w:val="404040" w:themeColor="text1" w:themeTint="BF"/>
    </w:rPr>
  </w:style>
  <w:style w:type="paragraph" w:styleId="Paragraphedeliste">
    <w:name w:val="List Paragraph"/>
    <w:basedOn w:val="Normal"/>
    <w:uiPriority w:val="34"/>
    <w:qFormat/>
    <w:rsid w:val="009401D3"/>
    <w:pPr>
      <w:ind w:left="720"/>
      <w:contextualSpacing/>
    </w:pPr>
  </w:style>
  <w:style w:type="character" w:styleId="Accentuationintense">
    <w:name w:val="Intense Emphasis"/>
    <w:basedOn w:val="Policepardfaut"/>
    <w:uiPriority w:val="21"/>
    <w:qFormat/>
    <w:rsid w:val="009401D3"/>
    <w:rPr>
      <w:i/>
      <w:iCs/>
      <w:color w:val="0F4761" w:themeColor="accent1" w:themeShade="BF"/>
    </w:rPr>
  </w:style>
  <w:style w:type="paragraph" w:styleId="Citationintense">
    <w:name w:val="Intense Quote"/>
    <w:basedOn w:val="Normal"/>
    <w:next w:val="Normal"/>
    <w:link w:val="CitationintenseCar"/>
    <w:uiPriority w:val="30"/>
    <w:qFormat/>
    <w:rsid w:val="009401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401D3"/>
    <w:rPr>
      <w:i/>
      <w:iCs/>
      <w:color w:val="0F4761" w:themeColor="accent1" w:themeShade="BF"/>
    </w:rPr>
  </w:style>
  <w:style w:type="character" w:styleId="Rfrenceintense">
    <w:name w:val="Intense Reference"/>
    <w:basedOn w:val="Policepardfaut"/>
    <w:uiPriority w:val="32"/>
    <w:qFormat/>
    <w:rsid w:val="009401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728</Words>
  <Characters>4006</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Mickaëlle Provost</dc:creator>
  <cp:keywords/>
  <dc:description/>
  <cp:lastModifiedBy>Mickaëlle Provost</cp:lastModifiedBy>
  <cp:revision>1</cp:revision>
  <dcterms:created xsi:type="dcterms:W3CDTF">2024-09-25T09:27:00Z</dcterms:created>
  <dcterms:modified xsi:type="dcterms:W3CDTF">2024-09-25T09:50:00Z</dcterms:modified>
</cp:coreProperties>
</file>