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C89FD" w14:textId="621E02AB" w:rsidR="00101F51" w:rsidRPr="00101F51" w:rsidRDefault="00101F51" w:rsidP="008A0507">
      <w:pPr>
        <w:autoSpaceDE w:val="0"/>
        <w:autoSpaceDN w:val="0"/>
        <w:adjustRightInd w:val="0"/>
        <w:spacing w:after="0" w:line="240" w:lineRule="auto"/>
        <w:rPr>
          <w:rFonts w:cstheme="minorHAnsi"/>
        </w:rPr>
      </w:pPr>
      <w:r w:rsidRPr="00101F51">
        <w:rPr>
          <w:rFonts w:cstheme="minorHAnsi"/>
        </w:rPr>
        <w:t xml:space="preserve">NOWICKI Séphora </w:t>
      </w:r>
    </w:p>
    <w:p w14:paraId="120AC3CC" w14:textId="39D1FFFC" w:rsidR="007D693A" w:rsidRPr="002E3AC2" w:rsidRDefault="00101F51" w:rsidP="002E3AC2">
      <w:pPr>
        <w:autoSpaceDE w:val="0"/>
        <w:autoSpaceDN w:val="0"/>
        <w:adjustRightInd w:val="0"/>
        <w:spacing w:after="0" w:line="240" w:lineRule="auto"/>
        <w:rPr>
          <w:rFonts w:cstheme="minorHAnsi"/>
        </w:rPr>
      </w:pPr>
      <w:r w:rsidRPr="00101F51">
        <w:rPr>
          <w:rFonts w:cstheme="minorHAnsi"/>
        </w:rPr>
        <w:t>M2 Gouvernance européenne</w:t>
      </w:r>
      <w:r w:rsidR="007D693A">
        <w:rPr>
          <w:rFonts w:cstheme="minorHAnsi"/>
        </w:rPr>
        <w:t xml:space="preserve"> </w:t>
      </w:r>
    </w:p>
    <w:p w14:paraId="3E24DB2F" w14:textId="48562DF4" w:rsidR="00EE4B1E" w:rsidRDefault="008A0507" w:rsidP="002E3AC2">
      <w:r w:rsidRPr="002E3AC2">
        <w:t>Sociologie des acteurs de l’Union européenne</w:t>
      </w:r>
    </w:p>
    <w:p w14:paraId="2C6DC3A8" w14:textId="09F7BFC1" w:rsidR="002E3AC2" w:rsidRDefault="002E3AC2" w:rsidP="002E3AC2"/>
    <w:p w14:paraId="0083F9AD" w14:textId="62988EA3" w:rsidR="002E3AC2" w:rsidRDefault="002E3AC2" w:rsidP="002E3AC2"/>
    <w:p w14:paraId="11A4F63C" w14:textId="2E0B5D1E" w:rsidR="00023EFB" w:rsidRDefault="00023EFB" w:rsidP="00023EFB">
      <w:pPr>
        <w:jc w:val="right"/>
      </w:pPr>
      <w:r>
        <w:t>Paris, le 18 décembre 2019</w:t>
      </w:r>
    </w:p>
    <w:p w14:paraId="05000737" w14:textId="77777777" w:rsidR="00023EFB" w:rsidRPr="002E3AC2" w:rsidRDefault="00023EFB" w:rsidP="00023EFB">
      <w:pPr>
        <w:jc w:val="right"/>
      </w:pPr>
    </w:p>
    <w:p w14:paraId="1AD5DDE1" w14:textId="5C2EB30A" w:rsidR="008407CE" w:rsidRPr="000F34CE" w:rsidRDefault="008A0507" w:rsidP="000F34CE">
      <w:pPr>
        <w:pStyle w:val="Titre1"/>
        <w:rPr>
          <w:szCs w:val="44"/>
        </w:rPr>
      </w:pPr>
      <w:r w:rsidRPr="00A84359">
        <w:t xml:space="preserve">Diagnostic </w:t>
      </w:r>
      <w:r w:rsidRPr="00A84359">
        <w:rPr>
          <w:szCs w:val="44"/>
        </w:rPr>
        <w:t>politique</w:t>
      </w:r>
    </w:p>
    <w:p w14:paraId="52690371" w14:textId="21B5DFE5" w:rsidR="008407CE" w:rsidRDefault="008407CE" w:rsidP="007D693A">
      <w:pPr>
        <w:rPr>
          <w:sz w:val="24"/>
          <w:szCs w:val="24"/>
        </w:rPr>
      </w:pPr>
    </w:p>
    <w:p w14:paraId="595B1680" w14:textId="77777777" w:rsidR="008407CE" w:rsidRPr="007D693A" w:rsidRDefault="008407CE" w:rsidP="007D693A">
      <w:pPr>
        <w:rPr>
          <w:sz w:val="24"/>
          <w:szCs w:val="24"/>
        </w:rPr>
      </w:pPr>
    </w:p>
    <w:p w14:paraId="463C65B1" w14:textId="3BC69151" w:rsidR="000844E3" w:rsidRDefault="00023EFB" w:rsidP="00023EFB">
      <w:pPr>
        <w:autoSpaceDE w:val="0"/>
        <w:autoSpaceDN w:val="0"/>
        <w:adjustRightInd w:val="0"/>
        <w:spacing w:after="0" w:line="240" w:lineRule="auto"/>
        <w:jc w:val="both"/>
        <w:rPr>
          <w:rFonts w:cstheme="minorHAnsi"/>
          <w:sz w:val="24"/>
          <w:szCs w:val="24"/>
        </w:rPr>
      </w:pPr>
      <w:bookmarkStart w:id="0" w:name="_Hlk27315433"/>
      <w:r>
        <w:rPr>
          <w:rFonts w:cstheme="minorHAnsi"/>
          <w:sz w:val="24"/>
          <w:szCs w:val="24"/>
        </w:rPr>
        <w:t xml:space="preserve">Objet : </w:t>
      </w:r>
      <w:r w:rsidR="000844E3" w:rsidRPr="007D693A">
        <w:rPr>
          <w:rFonts w:cstheme="minorHAnsi"/>
          <w:sz w:val="24"/>
          <w:szCs w:val="24"/>
        </w:rPr>
        <w:t>Proposition de RÈGLEMENT DU PARLEMENT EUROPÉEN ET DU CONSEIL concernant des mesures</w:t>
      </w:r>
      <w:r w:rsidR="007D693A">
        <w:rPr>
          <w:rFonts w:cstheme="minorHAnsi"/>
          <w:sz w:val="24"/>
          <w:szCs w:val="24"/>
        </w:rPr>
        <w:t xml:space="preserve"> </w:t>
      </w:r>
      <w:r w:rsidR="000844E3" w:rsidRPr="007D693A">
        <w:rPr>
          <w:rFonts w:cstheme="minorHAnsi"/>
          <w:sz w:val="24"/>
          <w:szCs w:val="24"/>
        </w:rPr>
        <w:t>de rationalisation en vue de progresser dans la réalisation du réseau transeuropéen de transport</w:t>
      </w:r>
    </w:p>
    <w:p w14:paraId="1F1E7DB4" w14:textId="77777777" w:rsidR="007D693A" w:rsidRPr="007D693A" w:rsidRDefault="007D693A" w:rsidP="007D693A">
      <w:pPr>
        <w:autoSpaceDE w:val="0"/>
        <w:autoSpaceDN w:val="0"/>
        <w:adjustRightInd w:val="0"/>
        <w:spacing w:after="0" w:line="240" w:lineRule="auto"/>
        <w:jc w:val="both"/>
        <w:rPr>
          <w:rFonts w:cstheme="minorHAnsi"/>
          <w:sz w:val="24"/>
          <w:szCs w:val="24"/>
        </w:rPr>
      </w:pPr>
    </w:p>
    <w:p w14:paraId="0F6060AC" w14:textId="3F22B6CF" w:rsidR="000844E3" w:rsidRPr="007D693A" w:rsidRDefault="000844E3" w:rsidP="007D693A">
      <w:pPr>
        <w:autoSpaceDE w:val="0"/>
        <w:autoSpaceDN w:val="0"/>
        <w:adjustRightInd w:val="0"/>
        <w:spacing w:after="0" w:line="240" w:lineRule="auto"/>
        <w:jc w:val="both"/>
        <w:rPr>
          <w:rFonts w:cstheme="minorHAnsi"/>
          <w:sz w:val="24"/>
          <w:szCs w:val="24"/>
        </w:rPr>
      </w:pPr>
      <w:r w:rsidRPr="007D693A">
        <w:rPr>
          <w:rFonts w:cstheme="minorHAnsi"/>
          <w:sz w:val="24"/>
          <w:szCs w:val="24"/>
        </w:rPr>
        <w:t>COM(2018)277 final 2018/0138 (COD) 17.05.2018</w:t>
      </w:r>
    </w:p>
    <w:bookmarkEnd w:id="0"/>
    <w:p w14:paraId="1F033855" w14:textId="5994DED5" w:rsidR="00553AB6" w:rsidRDefault="00553AB6" w:rsidP="00C95100">
      <w:pPr>
        <w:autoSpaceDE w:val="0"/>
        <w:autoSpaceDN w:val="0"/>
        <w:adjustRightInd w:val="0"/>
        <w:spacing w:after="0" w:line="240" w:lineRule="auto"/>
        <w:rPr>
          <w:rFonts w:ascii="Times New Roman" w:hAnsi="Times New Roman" w:cs="Times New Roman"/>
          <w:sz w:val="20"/>
          <w:szCs w:val="20"/>
        </w:rPr>
      </w:pPr>
    </w:p>
    <w:p w14:paraId="740BA9EF" w14:textId="263B1C57" w:rsidR="00553AB6" w:rsidRDefault="00553AB6" w:rsidP="00C95100">
      <w:pPr>
        <w:autoSpaceDE w:val="0"/>
        <w:autoSpaceDN w:val="0"/>
        <w:adjustRightInd w:val="0"/>
        <w:spacing w:after="0" w:line="240" w:lineRule="auto"/>
        <w:rPr>
          <w:rFonts w:ascii="Times New Roman" w:hAnsi="Times New Roman" w:cs="Times New Roman"/>
          <w:sz w:val="24"/>
          <w:szCs w:val="24"/>
        </w:rPr>
      </w:pPr>
    </w:p>
    <w:p w14:paraId="44BB0F4B" w14:textId="57469A58" w:rsidR="00854285" w:rsidRDefault="00854285" w:rsidP="00C95100">
      <w:pPr>
        <w:autoSpaceDE w:val="0"/>
        <w:autoSpaceDN w:val="0"/>
        <w:adjustRightInd w:val="0"/>
        <w:spacing w:after="0" w:line="240" w:lineRule="auto"/>
        <w:rPr>
          <w:rFonts w:ascii="Times New Roman" w:hAnsi="Times New Roman" w:cs="Times New Roman"/>
          <w:sz w:val="24"/>
          <w:szCs w:val="24"/>
        </w:rPr>
      </w:pPr>
    </w:p>
    <w:p w14:paraId="4A9C039A" w14:textId="5E42F86B" w:rsidR="00854285" w:rsidRDefault="00854285" w:rsidP="00C95100">
      <w:pPr>
        <w:autoSpaceDE w:val="0"/>
        <w:autoSpaceDN w:val="0"/>
        <w:adjustRightInd w:val="0"/>
        <w:spacing w:after="0" w:line="240" w:lineRule="auto"/>
        <w:rPr>
          <w:rFonts w:ascii="Times New Roman" w:hAnsi="Times New Roman" w:cs="Times New Roman"/>
          <w:sz w:val="24"/>
          <w:szCs w:val="24"/>
        </w:rPr>
      </w:pPr>
    </w:p>
    <w:p w14:paraId="4A411A08" w14:textId="3E9073BB" w:rsidR="00854285" w:rsidRDefault="00854285" w:rsidP="00C95100">
      <w:pPr>
        <w:autoSpaceDE w:val="0"/>
        <w:autoSpaceDN w:val="0"/>
        <w:adjustRightInd w:val="0"/>
        <w:spacing w:after="0" w:line="240" w:lineRule="auto"/>
        <w:rPr>
          <w:rFonts w:ascii="Times New Roman" w:hAnsi="Times New Roman" w:cs="Times New Roman"/>
          <w:sz w:val="24"/>
          <w:szCs w:val="24"/>
        </w:rPr>
      </w:pPr>
    </w:p>
    <w:p w14:paraId="46B4AA12" w14:textId="1BED45EA" w:rsidR="00854285" w:rsidRDefault="00854285" w:rsidP="00C95100">
      <w:pPr>
        <w:autoSpaceDE w:val="0"/>
        <w:autoSpaceDN w:val="0"/>
        <w:adjustRightInd w:val="0"/>
        <w:spacing w:after="0" w:line="240" w:lineRule="auto"/>
        <w:rPr>
          <w:rFonts w:ascii="Times New Roman" w:hAnsi="Times New Roman" w:cs="Times New Roman"/>
          <w:sz w:val="24"/>
          <w:szCs w:val="24"/>
        </w:rPr>
      </w:pPr>
    </w:p>
    <w:p w14:paraId="789FDF85" w14:textId="284EF664" w:rsidR="00854285" w:rsidRDefault="00854285" w:rsidP="00C95100">
      <w:pPr>
        <w:autoSpaceDE w:val="0"/>
        <w:autoSpaceDN w:val="0"/>
        <w:adjustRightInd w:val="0"/>
        <w:spacing w:after="0" w:line="240" w:lineRule="auto"/>
        <w:rPr>
          <w:rFonts w:ascii="Times New Roman" w:hAnsi="Times New Roman" w:cs="Times New Roman"/>
          <w:sz w:val="24"/>
          <w:szCs w:val="24"/>
        </w:rPr>
      </w:pPr>
    </w:p>
    <w:p w14:paraId="784F2494" w14:textId="0F3B4232" w:rsidR="00854285" w:rsidRDefault="00854285" w:rsidP="00C95100">
      <w:pPr>
        <w:autoSpaceDE w:val="0"/>
        <w:autoSpaceDN w:val="0"/>
        <w:adjustRightInd w:val="0"/>
        <w:spacing w:after="0" w:line="240" w:lineRule="auto"/>
        <w:rPr>
          <w:rFonts w:ascii="Times New Roman" w:hAnsi="Times New Roman" w:cs="Times New Roman"/>
          <w:sz w:val="24"/>
          <w:szCs w:val="24"/>
        </w:rPr>
      </w:pPr>
    </w:p>
    <w:p w14:paraId="6F673886" w14:textId="65F06E01" w:rsidR="00854285" w:rsidRDefault="00854285" w:rsidP="00C95100">
      <w:pPr>
        <w:autoSpaceDE w:val="0"/>
        <w:autoSpaceDN w:val="0"/>
        <w:adjustRightInd w:val="0"/>
        <w:spacing w:after="0" w:line="240" w:lineRule="auto"/>
        <w:rPr>
          <w:rFonts w:ascii="Times New Roman" w:hAnsi="Times New Roman" w:cs="Times New Roman"/>
          <w:sz w:val="24"/>
          <w:szCs w:val="24"/>
        </w:rPr>
      </w:pPr>
    </w:p>
    <w:p w14:paraId="53B909FC" w14:textId="7CC0D86B" w:rsidR="00854285" w:rsidRDefault="00854285" w:rsidP="00C95100">
      <w:pPr>
        <w:autoSpaceDE w:val="0"/>
        <w:autoSpaceDN w:val="0"/>
        <w:adjustRightInd w:val="0"/>
        <w:spacing w:after="0" w:line="240" w:lineRule="auto"/>
        <w:rPr>
          <w:rFonts w:ascii="Times New Roman" w:hAnsi="Times New Roman" w:cs="Times New Roman"/>
          <w:sz w:val="24"/>
          <w:szCs w:val="24"/>
        </w:rPr>
      </w:pPr>
    </w:p>
    <w:p w14:paraId="0D3B72D7" w14:textId="3CB16039" w:rsidR="00854285" w:rsidRDefault="00854285" w:rsidP="00C95100">
      <w:pPr>
        <w:autoSpaceDE w:val="0"/>
        <w:autoSpaceDN w:val="0"/>
        <w:adjustRightInd w:val="0"/>
        <w:spacing w:after="0" w:line="240" w:lineRule="auto"/>
        <w:rPr>
          <w:rFonts w:ascii="Times New Roman" w:hAnsi="Times New Roman" w:cs="Times New Roman"/>
          <w:sz w:val="24"/>
          <w:szCs w:val="24"/>
        </w:rPr>
      </w:pPr>
    </w:p>
    <w:p w14:paraId="7BC5346F" w14:textId="57797C56" w:rsidR="00854285" w:rsidRDefault="00854285" w:rsidP="00C95100">
      <w:pPr>
        <w:autoSpaceDE w:val="0"/>
        <w:autoSpaceDN w:val="0"/>
        <w:adjustRightInd w:val="0"/>
        <w:spacing w:after="0" w:line="240" w:lineRule="auto"/>
        <w:rPr>
          <w:rFonts w:ascii="Times New Roman" w:hAnsi="Times New Roman" w:cs="Times New Roman"/>
          <w:sz w:val="24"/>
          <w:szCs w:val="24"/>
        </w:rPr>
      </w:pPr>
    </w:p>
    <w:p w14:paraId="6AA3CC60" w14:textId="28E4769D" w:rsidR="00854285" w:rsidRDefault="00854285" w:rsidP="00C95100">
      <w:pPr>
        <w:autoSpaceDE w:val="0"/>
        <w:autoSpaceDN w:val="0"/>
        <w:adjustRightInd w:val="0"/>
        <w:spacing w:after="0" w:line="240" w:lineRule="auto"/>
        <w:rPr>
          <w:rFonts w:ascii="Times New Roman" w:hAnsi="Times New Roman" w:cs="Times New Roman"/>
          <w:sz w:val="24"/>
          <w:szCs w:val="24"/>
        </w:rPr>
      </w:pPr>
    </w:p>
    <w:p w14:paraId="5FA7228D" w14:textId="29E559EF" w:rsidR="00854285" w:rsidRDefault="00854285" w:rsidP="00C95100">
      <w:pPr>
        <w:autoSpaceDE w:val="0"/>
        <w:autoSpaceDN w:val="0"/>
        <w:adjustRightInd w:val="0"/>
        <w:spacing w:after="0" w:line="240" w:lineRule="auto"/>
        <w:rPr>
          <w:rFonts w:ascii="Times New Roman" w:hAnsi="Times New Roman" w:cs="Times New Roman"/>
          <w:sz w:val="24"/>
          <w:szCs w:val="24"/>
        </w:rPr>
      </w:pPr>
    </w:p>
    <w:p w14:paraId="5EB7F014" w14:textId="51820954" w:rsidR="00854285" w:rsidRDefault="00854285" w:rsidP="00C95100">
      <w:pPr>
        <w:autoSpaceDE w:val="0"/>
        <w:autoSpaceDN w:val="0"/>
        <w:adjustRightInd w:val="0"/>
        <w:spacing w:after="0" w:line="240" w:lineRule="auto"/>
        <w:rPr>
          <w:rFonts w:ascii="Times New Roman" w:hAnsi="Times New Roman" w:cs="Times New Roman"/>
          <w:sz w:val="24"/>
          <w:szCs w:val="24"/>
        </w:rPr>
      </w:pPr>
    </w:p>
    <w:p w14:paraId="04ACC219" w14:textId="4BC1A70B" w:rsidR="00854285" w:rsidRDefault="00854285" w:rsidP="00C95100">
      <w:pPr>
        <w:autoSpaceDE w:val="0"/>
        <w:autoSpaceDN w:val="0"/>
        <w:adjustRightInd w:val="0"/>
        <w:spacing w:after="0" w:line="240" w:lineRule="auto"/>
        <w:rPr>
          <w:rFonts w:ascii="Times New Roman" w:hAnsi="Times New Roman" w:cs="Times New Roman"/>
          <w:sz w:val="24"/>
          <w:szCs w:val="24"/>
        </w:rPr>
      </w:pPr>
    </w:p>
    <w:p w14:paraId="5F3229EF" w14:textId="227FA6F8" w:rsidR="00023EFB" w:rsidRDefault="00023EFB" w:rsidP="00C95100">
      <w:pPr>
        <w:autoSpaceDE w:val="0"/>
        <w:autoSpaceDN w:val="0"/>
        <w:adjustRightInd w:val="0"/>
        <w:spacing w:after="0" w:line="240" w:lineRule="auto"/>
        <w:rPr>
          <w:rFonts w:ascii="Times New Roman" w:hAnsi="Times New Roman" w:cs="Times New Roman"/>
          <w:sz w:val="24"/>
          <w:szCs w:val="24"/>
        </w:rPr>
      </w:pPr>
    </w:p>
    <w:p w14:paraId="16353636" w14:textId="126D7F5A" w:rsidR="00023EFB" w:rsidRDefault="00023EFB" w:rsidP="00C95100">
      <w:pPr>
        <w:autoSpaceDE w:val="0"/>
        <w:autoSpaceDN w:val="0"/>
        <w:adjustRightInd w:val="0"/>
        <w:spacing w:after="0" w:line="240" w:lineRule="auto"/>
        <w:rPr>
          <w:rFonts w:ascii="Times New Roman" w:hAnsi="Times New Roman" w:cs="Times New Roman"/>
          <w:sz w:val="24"/>
          <w:szCs w:val="24"/>
        </w:rPr>
      </w:pPr>
    </w:p>
    <w:p w14:paraId="0DBB48FC" w14:textId="64EBA23E" w:rsidR="00023EFB" w:rsidRDefault="00023EFB" w:rsidP="00C95100">
      <w:pPr>
        <w:autoSpaceDE w:val="0"/>
        <w:autoSpaceDN w:val="0"/>
        <w:adjustRightInd w:val="0"/>
        <w:spacing w:after="0" w:line="240" w:lineRule="auto"/>
        <w:rPr>
          <w:rFonts w:ascii="Times New Roman" w:hAnsi="Times New Roman" w:cs="Times New Roman"/>
          <w:sz w:val="24"/>
          <w:szCs w:val="24"/>
        </w:rPr>
      </w:pPr>
    </w:p>
    <w:p w14:paraId="3EBC154A" w14:textId="50899FE2" w:rsidR="00023EFB" w:rsidRDefault="00023EFB" w:rsidP="00C95100">
      <w:pPr>
        <w:autoSpaceDE w:val="0"/>
        <w:autoSpaceDN w:val="0"/>
        <w:adjustRightInd w:val="0"/>
        <w:spacing w:after="0" w:line="240" w:lineRule="auto"/>
        <w:rPr>
          <w:rFonts w:ascii="Times New Roman" w:hAnsi="Times New Roman" w:cs="Times New Roman"/>
          <w:sz w:val="24"/>
          <w:szCs w:val="24"/>
        </w:rPr>
      </w:pPr>
    </w:p>
    <w:p w14:paraId="4AC77F70" w14:textId="069778C1" w:rsidR="00023EFB" w:rsidRDefault="00023EFB" w:rsidP="00C95100">
      <w:pPr>
        <w:autoSpaceDE w:val="0"/>
        <w:autoSpaceDN w:val="0"/>
        <w:adjustRightInd w:val="0"/>
        <w:spacing w:after="0" w:line="240" w:lineRule="auto"/>
        <w:rPr>
          <w:rFonts w:ascii="Times New Roman" w:hAnsi="Times New Roman" w:cs="Times New Roman"/>
          <w:sz w:val="24"/>
          <w:szCs w:val="24"/>
        </w:rPr>
      </w:pPr>
    </w:p>
    <w:p w14:paraId="7C0029B9" w14:textId="2D4DA574" w:rsidR="000F34CE" w:rsidRDefault="000F34CE" w:rsidP="00C95100">
      <w:pPr>
        <w:autoSpaceDE w:val="0"/>
        <w:autoSpaceDN w:val="0"/>
        <w:adjustRightInd w:val="0"/>
        <w:spacing w:after="0" w:line="240" w:lineRule="auto"/>
        <w:rPr>
          <w:rFonts w:ascii="Times New Roman" w:hAnsi="Times New Roman" w:cs="Times New Roman"/>
          <w:sz w:val="24"/>
          <w:szCs w:val="24"/>
        </w:rPr>
      </w:pPr>
    </w:p>
    <w:p w14:paraId="16D127BD" w14:textId="70EE33E8" w:rsidR="000F34CE" w:rsidRDefault="000F34CE" w:rsidP="00C95100">
      <w:pPr>
        <w:autoSpaceDE w:val="0"/>
        <w:autoSpaceDN w:val="0"/>
        <w:adjustRightInd w:val="0"/>
        <w:spacing w:after="0" w:line="240" w:lineRule="auto"/>
        <w:rPr>
          <w:rFonts w:ascii="Times New Roman" w:hAnsi="Times New Roman" w:cs="Times New Roman"/>
          <w:sz w:val="24"/>
          <w:szCs w:val="24"/>
        </w:rPr>
      </w:pPr>
    </w:p>
    <w:p w14:paraId="7D4A3899" w14:textId="236A4663" w:rsidR="000F34CE" w:rsidRDefault="000F34CE" w:rsidP="00C95100">
      <w:pPr>
        <w:autoSpaceDE w:val="0"/>
        <w:autoSpaceDN w:val="0"/>
        <w:adjustRightInd w:val="0"/>
        <w:spacing w:after="0" w:line="240" w:lineRule="auto"/>
        <w:rPr>
          <w:rFonts w:ascii="Times New Roman" w:hAnsi="Times New Roman" w:cs="Times New Roman"/>
          <w:sz w:val="24"/>
          <w:szCs w:val="24"/>
        </w:rPr>
      </w:pPr>
    </w:p>
    <w:p w14:paraId="3F1B00BB" w14:textId="77777777" w:rsidR="000F34CE" w:rsidRDefault="000F34CE" w:rsidP="00C95100">
      <w:pPr>
        <w:autoSpaceDE w:val="0"/>
        <w:autoSpaceDN w:val="0"/>
        <w:adjustRightInd w:val="0"/>
        <w:spacing w:after="0" w:line="240" w:lineRule="auto"/>
        <w:rPr>
          <w:rFonts w:ascii="Times New Roman" w:hAnsi="Times New Roman" w:cs="Times New Roman"/>
          <w:sz w:val="24"/>
          <w:szCs w:val="24"/>
        </w:rPr>
      </w:pPr>
    </w:p>
    <w:p w14:paraId="53FA71BC" w14:textId="49EA20EC" w:rsidR="00854285" w:rsidRDefault="00854285" w:rsidP="00C95100">
      <w:pPr>
        <w:autoSpaceDE w:val="0"/>
        <w:autoSpaceDN w:val="0"/>
        <w:adjustRightInd w:val="0"/>
        <w:spacing w:after="0" w:line="240" w:lineRule="auto"/>
        <w:rPr>
          <w:rFonts w:ascii="Times New Roman" w:hAnsi="Times New Roman" w:cs="Times New Roman"/>
          <w:sz w:val="24"/>
          <w:szCs w:val="24"/>
        </w:rPr>
      </w:pPr>
    </w:p>
    <w:p w14:paraId="35FDDF97" w14:textId="6777863C" w:rsidR="00854285" w:rsidRDefault="00854285" w:rsidP="00C95100">
      <w:pPr>
        <w:autoSpaceDE w:val="0"/>
        <w:autoSpaceDN w:val="0"/>
        <w:adjustRightInd w:val="0"/>
        <w:spacing w:after="0" w:line="240" w:lineRule="auto"/>
        <w:rPr>
          <w:rFonts w:ascii="Times New Roman" w:hAnsi="Times New Roman" w:cs="Times New Roman"/>
          <w:sz w:val="24"/>
          <w:szCs w:val="24"/>
        </w:rPr>
      </w:pPr>
    </w:p>
    <w:p w14:paraId="6F659897" w14:textId="279BCF2B" w:rsidR="00854285" w:rsidRDefault="00854285" w:rsidP="00C95100">
      <w:pPr>
        <w:autoSpaceDE w:val="0"/>
        <w:autoSpaceDN w:val="0"/>
        <w:adjustRightInd w:val="0"/>
        <w:spacing w:after="0" w:line="240" w:lineRule="auto"/>
        <w:rPr>
          <w:rFonts w:ascii="Times New Roman" w:hAnsi="Times New Roman" w:cs="Times New Roman"/>
          <w:sz w:val="24"/>
          <w:szCs w:val="24"/>
        </w:rPr>
      </w:pPr>
    </w:p>
    <w:p w14:paraId="1F677745" w14:textId="5F5752F4" w:rsidR="00854285" w:rsidRDefault="00854285" w:rsidP="00C95100">
      <w:pPr>
        <w:autoSpaceDE w:val="0"/>
        <w:autoSpaceDN w:val="0"/>
        <w:adjustRightInd w:val="0"/>
        <w:spacing w:after="0" w:line="240" w:lineRule="auto"/>
        <w:rPr>
          <w:rFonts w:ascii="Times New Roman" w:hAnsi="Times New Roman" w:cs="Times New Roman"/>
          <w:sz w:val="24"/>
          <w:szCs w:val="24"/>
        </w:rPr>
      </w:pPr>
    </w:p>
    <w:p w14:paraId="22EE6DDD" w14:textId="729FD08F" w:rsidR="001F687F" w:rsidRDefault="008A0507" w:rsidP="001E7C73">
      <w:pPr>
        <w:pStyle w:val="Titre2"/>
      </w:pPr>
      <w:r w:rsidRPr="008A0507">
        <w:rPr>
          <w:rStyle w:val="Lienhypertexte"/>
          <w:color w:val="00B050"/>
          <w:u w:val="none"/>
        </w:rPr>
        <w:lastRenderedPageBreak/>
        <w:t>I Historique</w:t>
      </w:r>
    </w:p>
    <w:p w14:paraId="57995D9E" w14:textId="31A95ABB" w:rsidR="00BF4679" w:rsidRDefault="00BF4679" w:rsidP="001F687F"/>
    <w:p w14:paraId="2B1ED08C" w14:textId="6BB06C68" w:rsidR="00BF4679" w:rsidRPr="00B3413D" w:rsidRDefault="00BF4679" w:rsidP="00476B2B">
      <w:pPr>
        <w:spacing w:line="360" w:lineRule="auto"/>
        <w:ind w:firstLine="708"/>
        <w:jc w:val="both"/>
        <w:rPr>
          <w:rFonts w:cstheme="minorHAnsi"/>
        </w:rPr>
      </w:pPr>
      <w:r w:rsidRPr="00B3413D">
        <w:rPr>
          <w:rFonts w:cstheme="minorHAnsi"/>
        </w:rPr>
        <w:t>La présente étude porte sur la proposition de règlement du Parlement européen et du Conseil</w:t>
      </w:r>
      <w:r w:rsidR="00DD1955" w:rsidRPr="00B3413D">
        <w:rPr>
          <w:rFonts w:cstheme="minorHAnsi"/>
        </w:rPr>
        <w:t xml:space="preserve"> </w:t>
      </w:r>
      <w:r w:rsidRPr="00B3413D">
        <w:rPr>
          <w:rFonts w:cstheme="minorHAnsi"/>
        </w:rPr>
        <w:t>relatif aux mesures de rationalisation en vue de progresser dans la réalisation du réseau transeuropéen de transport</w:t>
      </w:r>
      <w:r w:rsidRPr="00B3413D">
        <w:rPr>
          <w:rStyle w:val="Appelnotedebasdep"/>
          <w:rFonts w:cstheme="minorHAnsi"/>
        </w:rPr>
        <w:footnoteReference w:id="1"/>
      </w:r>
      <w:r w:rsidRPr="00B3413D">
        <w:rPr>
          <w:rFonts w:cstheme="minorHAnsi"/>
        </w:rPr>
        <w:t>, présentée par la Commission européenne le 17 mai 2018. Elle</w:t>
      </w:r>
      <w:r w:rsidR="00DD1955" w:rsidRPr="00B3413D">
        <w:rPr>
          <w:rFonts w:cstheme="minorHAnsi"/>
        </w:rPr>
        <w:t xml:space="preserve"> </w:t>
      </w:r>
      <w:r w:rsidRPr="00B3413D">
        <w:rPr>
          <w:rFonts w:cstheme="minorHAnsi"/>
        </w:rPr>
        <w:t>intervient dans le nouveau cadre du troisième paquet « l’Europe en mouvement » qui met en œuvre une nouvelle stratégie de politique industrielle de septembre 2017.</w:t>
      </w:r>
      <w:r w:rsidR="001E7C73" w:rsidRPr="00B3413D">
        <w:rPr>
          <w:rFonts w:cstheme="minorHAnsi"/>
        </w:rPr>
        <w:t xml:space="preserve"> Plus généralement il vise à achever le processus qui permettra à l’Europe de tirer pleinement profit de la modernisation de la mobilité.</w:t>
      </w:r>
    </w:p>
    <w:p w14:paraId="0DC13CFF" w14:textId="3C586A26" w:rsidR="001E7C73" w:rsidRPr="00B3413D" w:rsidRDefault="00BF4679" w:rsidP="008E0382">
      <w:pPr>
        <w:spacing w:line="360" w:lineRule="auto"/>
        <w:ind w:firstLine="708"/>
        <w:jc w:val="both"/>
      </w:pPr>
      <w:r w:rsidRPr="00B3413D">
        <w:rPr>
          <w:rFonts w:cstheme="minorHAnsi"/>
        </w:rPr>
        <w:t>Cette proposition est inscrite dans le programme de travail de la Commission pour 2019</w:t>
      </w:r>
      <w:r w:rsidRPr="00B3413D">
        <w:rPr>
          <w:rStyle w:val="Appelnotedebasdep"/>
          <w:rFonts w:cstheme="minorHAnsi"/>
        </w:rPr>
        <w:footnoteReference w:id="2"/>
      </w:r>
      <w:r w:rsidRPr="00B3413D">
        <w:rPr>
          <w:rFonts w:cstheme="minorHAnsi"/>
        </w:rPr>
        <w:t xml:space="preserve">, intitulé « Tenir nos engagements et préparer l'avenir » en tant que proposition prioritaire en attente. Cette réglementation contribue à l’effort de </w:t>
      </w:r>
      <w:r w:rsidR="00DD1955" w:rsidRPr="00B3413D">
        <w:rPr>
          <w:rFonts w:cstheme="minorHAnsi"/>
        </w:rPr>
        <w:t xml:space="preserve">parfaire et </w:t>
      </w:r>
      <w:r w:rsidR="00AE6D21" w:rsidRPr="00B3413D">
        <w:rPr>
          <w:rFonts w:cstheme="minorHAnsi"/>
        </w:rPr>
        <w:t xml:space="preserve">de </w:t>
      </w:r>
      <w:r w:rsidR="00DD1955" w:rsidRPr="00B3413D">
        <w:rPr>
          <w:rFonts w:cstheme="minorHAnsi"/>
        </w:rPr>
        <w:t xml:space="preserve">promouvoir la mise en place efficace du réseau </w:t>
      </w:r>
      <w:r w:rsidR="00DD1955" w:rsidRPr="00D02244">
        <w:rPr>
          <w:rFonts w:cstheme="minorHAnsi"/>
        </w:rPr>
        <w:t>transeuropéen de transport (ci-après RTE-T)</w:t>
      </w:r>
      <w:r w:rsidR="00AE6D21" w:rsidRPr="00D02244">
        <w:rPr>
          <w:rFonts w:cstheme="minorHAnsi"/>
        </w:rPr>
        <w:t xml:space="preserve"> </w:t>
      </w:r>
      <w:r w:rsidR="00DD1955" w:rsidRPr="00D02244">
        <w:rPr>
          <w:rFonts w:cstheme="minorHAnsi"/>
        </w:rPr>
        <w:t>tel que promu depuis la dernière réforme de 2013  en la matière. Plus précisément, elle intervient dans le domaine des mécanismes juridiques permettant la mise en place de ce réseau. En effet, les procédures juridiques nécessaires à la mise en place d’infrastructures de transport communes (ferroviaires, routières ou maritimes) à l’instar de la procédure de passation des marchés publics ne sont pas harmonisées au niveau européen. Force est alors de constater que les différen</w:t>
      </w:r>
      <w:r w:rsidR="00AE6D21" w:rsidRPr="00D02244">
        <w:rPr>
          <w:rFonts w:cstheme="minorHAnsi"/>
        </w:rPr>
        <w:t>c</w:t>
      </w:r>
      <w:r w:rsidR="00DD1955" w:rsidRPr="00D02244">
        <w:rPr>
          <w:rFonts w:cstheme="minorHAnsi"/>
        </w:rPr>
        <w:t xml:space="preserve">es juridiques sont sources d’entraves au projet transeuropéen, comme cela l’a été réitéré lors </w:t>
      </w:r>
      <w:r w:rsidR="00DD1955" w:rsidRPr="00D02244">
        <w:t>de la réunion des ministres des transports du G7 à Cagliari, en juin 2017</w:t>
      </w:r>
      <w:r w:rsidR="00DD1955" w:rsidRPr="00D02244">
        <w:rPr>
          <w:rStyle w:val="Appelnotedebasdep"/>
        </w:rPr>
        <w:footnoteReference w:id="3"/>
      </w:r>
      <w:r w:rsidR="00DD1955" w:rsidRPr="00D02244">
        <w:t xml:space="preserve">. Le présent règlement se donne comme objectif de remédier à ce manque d’harmonisation afin de continuer le processus du RTE-T. </w:t>
      </w:r>
    </w:p>
    <w:p w14:paraId="48109CE1" w14:textId="68896A3E" w:rsidR="002F4B8C" w:rsidRPr="00B3413D" w:rsidRDefault="00D117D8" w:rsidP="008E0382">
      <w:pPr>
        <w:spacing w:line="360" w:lineRule="auto"/>
        <w:ind w:firstLine="708"/>
        <w:jc w:val="both"/>
      </w:pPr>
      <w:r w:rsidRPr="00B3413D">
        <w:t>La politique du RTE-T est ancienne, les premiers jalons ayant été posées en 1996</w:t>
      </w:r>
      <w:r w:rsidRPr="00B3413D">
        <w:rPr>
          <w:rStyle w:val="Appelnotedebasdep"/>
        </w:rPr>
        <w:footnoteReference w:id="4"/>
      </w:r>
      <w:r w:rsidR="00207C98" w:rsidRPr="00B3413D">
        <w:t xml:space="preserve"> par le Parlement européen et le Conseil. Outre la création du RTE-T, objectif final, les projet incluait également la planification des infrastructures de ce dernier. Cela étant, les retards portant sur les procédures d’autorisation et réglementaires étaient déjà constatées. </w:t>
      </w:r>
      <w:r w:rsidR="004B7C89" w:rsidRPr="00B3413D">
        <w:t xml:space="preserve">Bien que des mesures de simplification aient été envisagées à l’époque pour remédier à la situation, elles n’ont pas été </w:t>
      </w:r>
      <w:r w:rsidR="00496A8A" w:rsidRPr="00B3413D">
        <w:t xml:space="preserve"> avril </w:t>
      </w:r>
      <w:r w:rsidR="004B7C89" w:rsidRPr="00B3413D">
        <w:t xml:space="preserve">appliquées car jugées prématurées. </w:t>
      </w:r>
      <w:r w:rsidR="00496A8A" w:rsidRPr="00B3413D">
        <w:t>En 2013, la politique du RTE-T est renforcée avec l’adoption d’un règlement</w:t>
      </w:r>
      <w:r w:rsidR="00496A8A" w:rsidRPr="00B3413D">
        <w:rPr>
          <w:rStyle w:val="Appelnotedebasdep"/>
        </w:rPr>
        <w:footnoteReference w:id="5"/>
      </w:r>
      <w:r w:rsidR="00496A8A" w:rsidRPr="00B3413D">
        <w:t xml:space="preserve"> définissant une stratégie globale basée sur la mise en œuvre du réseau central d’ici 2030 et du réseau global à l’horizon 2050. </w:t>
      </w:r>
      <w:r w:rsidR="005E3195" w:rsidRPr="00B3413D">
        <w:t xml:space="preserve">Les réseaux transeuropéens de transport (RTE-T) ont une structure à deux niveaux: le réseau global assure la connectivité de toutes les régions de l’Union, tandis que le réseau central comprend les parties du réseau qui revêtent la plus grande importance stratégique pour l'Union. </w:t>
      </w:r>
      <w:r w:rsidR="00496A8A" w:rsidRPr="00B3413D">
        <w:t xml:space="preserve">Pourtant, </w:t>
      </w:r>
      <w:r w:rsidR="002F4B8C" w:rsidRPr="00B3413D">
        <w:t>c</w:t>
      </w:r>
      <w:r w:rsidR="004B7C89" w:rsidRPr="00B3413D">
        <w:t xml:space="preserve">e règlement ne prévoit pas de solutions spécifiques concernant les procédures d’octroi des autorisations, contrairement au règlement (UE) n° 347/2013 du Parlement européen et du Conseil du 17 avril 2013 concernant des orientations pour les infrastructures énergétiques transeuropéennes. </w:t>
      </w:r>
      <w:r w:rsidR="002F4B8C" w:rsidRPr="00B3413D">
        <w:t>En juin 2015, un plan d’action en faveur de la simplification administrative a été présenté par les coordonnateurs du RTE-T K. Bodewig et C. Secchi, ainsi que par l’ancien vice-président de la Commission, H. Christophersen intitulé « Making the best use of new financial schemes for European transport infrastructure projects </w:t>
      </w:r>
      <w:r w:rsidR="002F4B8C" w:rsidRPr="00B3413D">
        <w:rPr>
          <w:rStyle w:val="Appelnotedebasdep"/>
        </w:rPr>
        <w:footnoteReference w:id="6"/>
      </w:r>
      <w:r w:rsidR="002F4B8C" w:rsidRPr="00B3413D">
        <w:t>» (Faire le meilleur usage possible des nouveaux mécanismes de financement pour les projets européens d’infrastructures de transport). Le plan vise à réduire les retards rencontrés dans la mise en œuvre des projets d’infrastructure du RTE-T. Elle fixe un délai maximal de trois ans pour l’ensemble de la procédure d’autorisation. Elle vise également à apporter une plus grande clarté concernant les procédures que les promoteurs de projet doivent appliquer, en particulier.</w:t>
      </w:r>
      <w:r w:rsidR="00BF593B">
        <w:t xml:space="preserve"> </w:t>
      </w:r>
      <w:r w:rsidR="002F4B8C" w:rsidRPr="00B3413D">
        <w:t>La proposition analysée dans le présent travail s’inscrit donc dans le sillage du rapport de 2015 afin de mettre en pratique les recommandations formulées. En effet, la politique de transport et en particulier le RTE-T est donc un objectif stratégique pour l’UE. La proposition rappelle à cet effet que « l’achèvement du réseau central du réseau transeuropéen de transport (RTE-T) et de ses corridors, notamment, devrait générer 4 500 milliards d’euros supplémentaires, soit 1,8 % du PIB de l’Union, et représenter 13 millions d’années-emplois jusqu’en 2030</w:t>
      </w:r>
      <w:r w:rsidR="002F4B8C" w:rsidRPr="00B3413D">
        <w:rPr>
          <w:rStyle w:val="Appelnotedebasdep"/>
        </w:rPr>
        <w:footnoteReference w:id="7"/>
      </w:r>
      <w:r w:rsidR="002F4B8C" w:rsidRPr="00B3413D">
        <w:t> </w:t>
      </w:r>
      <w:r w:rsidR="00E1566D" w:rsidRPr="00B3413D">
        <w:rPr>
          <w:rStyle w:val="Appelnotedebasdep"/>
        </w:rPr>
        <w:footnoteReference w:id="8"/>
      </w:r>
      <w:r w:rsidR="002F4B8C" w:rsidRPr="00B3413D">
        <w:t>». Promesse de compétitivité pour les industrie, de création d’emplois et de richesses, le RTE-T est un enjeux fort pour de nombreux acteurs</w:t>
      </w:r>
      <w:r w:rsidR="00E1566D" w:rsidRPr="00B3413D">
        <w:t xml:space="preserve"> mais également pour le climat puisque comme le réitère la commission, avoir un réseau de transport performant est également synonyme de transport propres. L’UE ne peut donc plus se permettre de voir les retards s’amonceler dans la mise en œuvre du RTE-T.  Signe de l’importance de l’enjeu, l</w:t>
      </w:r>
      <w:r w:rsidR="002F4B8C" w:rsidRPr="00B3413D">
        <w:t>’initiative a également fait l’objet de discussions au niveau ministériel à deux reprises, de même que d’autres questions liées au développement et au financement du RTE-T: lors de la conférence régionale sur l’investissement dans les transports le 23 mars 2017 à Sofia et lors de la réunion informelle du Conseil des ministres des transports le 21 septembre 2017 à Tallinn</w:t>
      </w:r>
      <w:r w:rsidR="00E1566D" w:rsidRPr="00B3413D">
        <w:t>.</w:t>
      </w:r>
    </w:p>
    <w:p w14:paraId="7EF00EBC" w14:textId="25AF6087" w:rsidR="002C0EFF" w:rsidRDefault="00E1566D" w:rsidP="008E0382">
      <w:pPr>
        <w:spacing w:line="360" w:lineRule="auto"/>
        <w:ind w:firstLine="708"/>
        <w:jc w:val="both"/>
      </w:pPr>
      <w:r w:rsidRPr="00B3413D">
        <w:t xml:space="preserve">La proposition a été formulée à la suite de consultations menées pendant deux ans auprès des parties intéressées (Etats-membre, autorités régionales, municipales etc.). </w:t>
      </w:r>
      <w:r w:rsidR="00BF593B">
        <w:t xml:space="preserve">Elle prend appui sur l’article 172 du TFUE et applique le principe de subsidiarité et de proportionnalité. </w:t>
      </w:r>
      <w:r w:rsidRPr="00B3413D">
        <w:t>Il en résulte « que les principaux problèmes liés aux procédures d’octroi des autorisations pour des projets relatifs au RTE-T concernaient des étapes au niveau stratégique de la préparation d’un projet, y compris l’obtention des autorisations d’aménagement du territoire, des permis de construire et des évaluations environnementales. </w:t>
      </w:r>
      <w:r w:rsidRPr="00B3413D">
        <w:rPr>
          <w:rStyle w:val="Appelnotedebasdep"/>
        </w:rPr>
        <w:footnoteReference w:id="9"/>
      </w:r>
      <w:r w:rsidRPr="00B3413D">
        <w:t xml:space="preserve">». Dans cette perspective l’idée de mettre en place un </w:t>
      </w:r>
      <w:r w:rsidRPr="00B3413D">
        <w:rPr>
          <w:b/>
          <w:bCs/>
        </w:rPr>
        <w:t>guichet unique</w:t>
      </w:r>
      <w:r w:rsidRPr="00B3413D">
        <w:t xml:space="preserve"> est avancée</w:t>
      </w:r>
      <w:r w:rsidR="00BF593B">
        <w:t xml:space="preserve"> par les promoteurs de projets</w:t>
      </w:r>
      <w:r w:rsidRPr="00B3413D">
        <w:t xml:space="preserve">. </w:t>
      </w:r>
      <w:r w:rsidR="00BF593B">
        <w:t>Il s’agirait d’un</w:t>
      </w:r>
      <w:r w:rsidR="0059605C">
        <w:t xml:space="preserve"> instrument ayant un pouvoir décisionnel</w:t>
      </w:r>
      <w:r w:rsidR="002C0EFF">
        <w:t xml:space="preserve"> où une autorité compétente serait chargée de l’ensemble des activités et servirait de point d’entrée pour les </w:t>
      </w:r>
      <w:r w:rsidR="002C0EFF" w:rsidRPr="002C0EFF">
        <w:t>promoteurs de projets et autres investisseurs</w:t>
      </w:r>
      <w:r w:rsidR="00BF593B" w:rsidRPr="002C0EFF">
        <w:t>. Cela étant l’idée de guichet ne fait pas l’unanimité, les gouvernements nationaux ayant des réserves</w:t>
      </w:r>
      <w:r w:rsidR="0059605C" w:rsidRPr="002C0EFF">
        <w:t xml:space="preserve"> quant au rôle décisionnel de ces guichets.</w:t>
      </w:r>
      <w:r w:rsidR="00BF593B" w:rsidRPr="002C0EFF">
        <w:t xml:space="preserve"> </w:t>
      </w:r>
      <w:r w:rsidR="0059605C" w:rsidRPr="002C0EFF">
        <w:t>Du reste, u</w:t>
      </w:r>
      <w:r w:rsidR="00BF593B" w:rsidRPr="002C0EFF">
        <w:t>n ensemble commun de règles à l’échelle de l’Union applicables aux projets transfrontières a été jugé la solution la plus efficace pour améliorer la passation des marchés publics, en particulier par les promoteurs de projets et les groupes industriels</w:t>
      </w:r>
      <w:r w:rsidR="0059605C" w:rsidRPr="002C0EFF">
        <w:t>.</w:t>
      </w:r>
      <w:r w:rsidR="002C0EFF" w:rsidRPr="002C0EFF">
        <w:t xml:space="preserve"> Cela se manifesterait par l’établissement de procédures intégrées menant à une décision globale et la fixation des délais pour un processus en deux étapes d'une durée maximale de trois ans.</w:t>
      </w:r>
    </w:p>
    <w:p w14:paraId="172B1C9B" w14:textId="1448F03A" w:rsidR="002C0EFF" w:rsidRDefault="002C0EFF" w:rsidP="008E0382">
      <w:pPr>
        <w:spacing w:line="360" w:lineRule="auto"/>
        <w:ind w:firstLine="708"/>
        <w:jc w:val="both"/>
        <w:rPr>
          <w:sz w:val="23"/>
          <w:szCs w:val="23"/>
        </w:rPr>
      </w:pPr>
      <w:r>
        <w:t xml:space="preserve">Chronologie : </w:t>
      </w:r>
    </w:p>
    <w:p w14:paraId="02BCA05B" w14:textId="48A5D860" w:rsidR="001312D4" w:rsidRPr="00B3413D" w:rsidRDefault="001312D4" w:rsidP="008E0382">
      <w:pPr>
        <w:spacing w:line="360" w:lineRule="auto"/>
        <w:jc w:val="both"/>
      </w:pPr>
      <w:r>
        <w:t xml:space="preserve">Ladite </w:t>
      </w:r>
      <w:r w:rsidRPr="00445667">
        <w:t xml:space="preserve">proposition se fonde sur l’article </w:t>
      </w:r>
      <w:r w:rsidR="005C57FC" w:rsidRPr="00445667">
        <w:t>172</w:t>
      </w:r>
      <w:r w:rsidRPr="00445667">
        <w:t xml:space="preserve"> du Traité</w:t>
      </w:r>
      <w:r>
        <w:t xml:space="preserve"> sur le fonctionnement de l’Union européenne.</w:t>
      </w:r>
      <w:r w:rsidR="00445667">
        <w:t xml:space="preserve"> </w:t>
      </w:r>
      <w:r>
        <w:t xml:space="preserve">Dans ce cadre, </w:t>
      </w:r>
      <w:r w:rsidR="005C57FC">
        <w:t xml:space="preserve">les orientation et mesures sont arrêtées par le Parlement et le Conseil, statuant conformément à la procédure législative ordinaire, après avoir eu l’avis du CESE et du comité des régions. Aussi, </w:t>
      </w:r>
      <w:r>
        <w:t xml:space="preserve">la Commission a présenté ses propositions au Conseil et au Parlement européen, en l’occurrence le 17 mai 2018. Le rapporteur </w:t>
      </w:r>
      <w:r w:rsidRPr="001312D4">
        <w:t>Dumitru FORNEA</w:t>
      </w:r>
      <w:r>
        <w:t xml:space="preserve"> du Comité Economique et Social (CES) a émis un avis le 17 octobre 2018, </w:t>
      </w:r>
      <w:r w:rsidRPr="001312D4">
        <w:t>Michiel SCHEFFER</w:t>
      </w:r>
      <w:r>
        <w:t xml:space="preserve">, rapporteur du Comité des Régions a émis le sien le 6 février 2019. Ce n’est qu’à la suite de ces deux avis que le Parlement européen et le Conseil statuent. Le Conseil s’est tout de même réuni quatre fois </w:t>
      </w:r>
      <w:r w:rsidR="00445667">
        <w:t xml:space="preserve">avant ces deux avis </w:t>
      </w:r>
      <w:r w:rsidR="002C0EFF">
        <w:t>pour étudier le texte en détail</w:t>
      </w:r>
      <w:r>
        <w:t>. Le Parlement a examiné le texte en première lecture en l’amendant</w:t>
      </w:r>
      <w:r w:rsidR="002C0EFF">
        <w:t xml:space="preserve"> le 13 février 2019 (le rapporteur est Dominique Riquet)</w:t>
      </w:r>
      <w:r>
        <w:t>. Le texte est actuellement examiné par le Conseil de l’Union européenne, dont la dernière réunion s’est tenue le 22 novembre 2019</w:t>
      </w:r>
      <w:r w:rsidR="003C5BFD">
        <w:rPr>
          <w:rStyle w:val="Appelnotedebasdep"/>
        </w:rPr>
        <w:footnoteReference w:id="10"/>
      </w:r>
      <w:r>
        <w:t>.</w:t>
      </w:r>
    </w:p>
    <w:p w14:paraId="03B7EC25" w14:textId="389026E5" w:rsidR="00524CF8" w:rsidRPr="00BF593B" w:rsidRDefault="00524CF8" w:rsidP="008E0382">
      <w:pPr>
        <w:spacing w:line="360" w:lineRule="auto"/>
      </w:pPr>
    </w:p>
    <w:p w14:paraId="22BD6D44" w14:textId="57DAD6DC" w:rsidR="00214D84" w:rsidRPr="00214D84" w:rsidRDefault="00214D84" w:rsidP="008E0382">
      <w:pPr>
        <w:pStyle w:val="Titre2"/>
        <w:spacing w:line="360" w:lineRule="auto"/>
      </w:pPr>
      <w:r w:rsidRPr="008A0507">
        <w:rPr>
          <w:rStyle w:val="Lienhypertexte"/>
          <w:color w:val="00B050"/>
          <w:u w:val="none"/>
        </w:rPr>
        <w:t>II Les acteurs</w:t>
      </w:r>
    </w:p>
    <w:p w14:paraId="07ECEA8E" w14:textId="4524C901" w:rsidR="00214D84" w:rsidRDefault="00214D84" w:rsidP="008E0382">
      <w:pPr>
        <w:pStyle w:val="Paragraphedeliste"/>
        <w:numPr>
          <w:ilvl w:val="0"/>
          <w:numId w:val="1"/>
        </w:numPr>
        <w:spacing w:line="360" w:lineRule="auto"/>
      </w:pPr>
      <w:r>
        <w:t>Institutionnels</w:t>
      </w:r>
    </w:p>
    <w:p w14:paraId="0936AAB9" w14:textId="2491F5BB" w:rsidR="007B4020" w:rsidRDefault="007B4020" w:rsidP="008E0382">
      <w:pPr>
        <w:spacing w:line="360" w:lineRule="auto"/>
        <w:jc w:val="both"/>
      </w:pPr>
      <w:r>
        <w:t>Les acteurs institutionnels clés de cette mesure se répartissent entre la Commission européenne, le Parlement européen et le Conseil de l’Union européenne.</w:t>
      </w:r>
    </w:p>
    <w:p w14:paraId="1EB21B15" w14:textId="77777777" w:rsidR="007B4020" w:rsidRPr="00913F81" w:rsidRDefault="007B4020" w:rsidP="008E0382">
      <w:pPr>
        <w:spacing w:line="360" w:lineRule="auto"/>
        <w:rPr>
          <w:b/>
          <w:bCs/>
        </w:rPr>
      </w:pPr>
      <w:r w:rsidRPr="00913F81">
        <w:rPr>
          <w:b/>
          <w:bCs/>
        </w:rPr>
        <w:t>La Commission européenne</w:t>
      </w:r>
    </w:p>
    <w:p w14:paraId="14CCE673" w14:textId="0D062515" w:rsidR="0080757D" w:rsidRDefault="007B4020" w:rsidP="00723F9E">
      <w:pPr>
        <w:spacing w:line="360" w:lineRule="auto"/>
        <w:jc w:val="both"/>
      </w:pPr>
      <w:r>
        <w:t xml:space="preserve">Le </w:t>
      </w:r>
      <w:r w:rsidRPr="0080757D">
        <w:t xml:space="preserve">projet est porté par la commissaire à la mobilité et les transports, </w:t>
      </w:r>
      <w:r w:rsidR="00336C00" w:rsidRPr="00336C00">
        <w:t>Adina-Ioana V</w:t>
      </w:r>
      <w:r w:rsidR="00336C00">
        <w:t>ALEAN</w:t>
      </w:r>
      <w:r w:rsidR="00FC336D" w:rsidRPr="0080757D">
        <w:t xml:space="preserve"> </w:t>
      </w:r>
      <w:r w:rsidR="005727A2" w:rsidRPr="0080757D">
        <w:t xml:space="preserve">jointe par le vice-président de la commission chargé de l’Union de l’énergie Maroš </w:t>
      </w:r>
      <w:r w:rsidR="00913F81">
        <w:t>SEFCOVIC</w:t>
      </w:r>
      <w:r w:rsidRPr="0080757D">
        <w:t>. Les propositions sont toutefois travaillées et établies à un niveau inférieur de la Direction générale de</w:t>
      </w:r>
      <w:r w:rsidR="00FC336D" w:rsidRPr="0080757D">
        <w:t xml:space="preserve"> la mobilité et des transports</w:t>
      </w:r>
      <w:r w:rsidR="00723F9E">
        <w:t xml:space="preserve"> (DG MOVE)</w:t>
      </w:r>
      <w:r w:rsidR="0080757D" w:rsidRPr="0080757D">
        <w:t>, dirigée par Henrik HOLOLEI</w:t>
      </w:r>
      <w:r w:rsidRPr="0080757D">
        <w:t xml:space="preserve">. L’unité </w:t>
      </w:r>
      <w:r w:rsidR="0080757D" w:rsidRPr="0080757D">
        <w:t>B1</w:t>
      </w:r>
      <w:r w:rsidRPr="0080757D">
        <w:t xml:space="preserve"> </w:t>
      </w:r>
      <w:r w:rsidR="00723F9E">
        <w:t>« </w:t>
      </w:r>
      <w:r w:rsidR="0080757D" w:rsidRPr="0080757D">
        <w:t>Réseaux de transports</w:t>
      </w:r>
      <w:r w:rsidRPr="0080757D">
        <w:t xml:space="preserve"> » dirigée par </w:t>
      </w:r>
      <w:r w:rsidR="0080757D" w:rsidRPr="0080757D">
        <w:t>Jean-Louis C</w:t>
      </w:r>
      <w:r w:rsidR="00913F81">
        <w:t>OLSON</w:t>
      </w:r>
      <w:r w:rsidR="0080757D" w:rsidRPr="0080757D">
        <w:t xml:space="preserve"> </w:t>
      </w:r>
      <w:r w:rsidRPr="0080757D">
        <w:t xml:space="preserve">est en charge de la proposition. </w:t>
      </w:r>
      <w:r w:rsidR="00640A80">
        <w:t xml:space="preserve">Au sein de cette unité, </w:t>
      </w:r>
      <w:r w:rsidR="00640A80" w:rsidRPr="00640A80">
        <w:t>M. P</w:t>
      </w:r>
      <w:r w:rsidR="00723F9E">
        <w:t>hilippe</w:t>
      </w:r>
      <w:r w:rsidR="00640A80" w:rsidRPr="00640A80">
        <w:t xml:space="preserve"> </w:t>
      </w:r>
      <w:r w:rsidR="00450C46">
        <w:t>CHANTRAINE</w:t>
      </w:r>
      <w:r w:rsidR="00F47F74">
        <w:rPr>
          <w:rStyle w:val="Appelnotedebasdep"/>
        </w:rPr>
        <w:footnoteReference w:id="11"/>
      </w:r>
      <w:r w:rsidR="00640A80">
        <w:t xml:space="preserve">, </w:t>
      </w:r>
      <w:r w:rsidR="00723F9E">
        <w:t xml:space="preserve">chef d’unité </w:t>
      </w:r>
      <w:r w:rsidR="00450C46">
        <w:t xml:space="preserve">adjoint </w:t>
      </w:r>
      <w:r w:rsidR="00640A80">
        <w:t>semble jouer un rôle significatif dans le processus décisionnel.</w:t>
      </w:r>
    </w:p>
    <w:p w14:paraId="2357C7C0" w14:textId="77777777" w:rsidR="0080757D" w:rsidRPr="00913F81" w:rsidRDefault="0080757D" w:rsidP="008E0382">
      <w:pPr>
        <w:spacing w:line="360" w:lineRule="auto"/>
        <w:rPr>
          <w:b/>
          <w:bCs/>
        </w:rPr>
      </w:pPr>
      <w:r w:rsidRPr="00913F81">
        <w:rPr>
          <w:b/>
          <w:bCs/>
        </w:rPr>
        <w:t>Le Parlement européen</w:t>
      </w:r>
    </w:p>
    <w:p w14:paraId="6CB4D94C" w14:textId="3EEF330C" w:rsidR="00F11FB2" w:rsidRPr="00D05B2F" w:rsidRDefault="0080757D" w:rsidP="008E0382">
      <w:pPr>
        <w:spacing w:line="360" w:lineRule="auto"/>
        <w:jc w:val="both"/>
        <w:rPr>
          <w:rFonts w:cstheme="minorHAnsi"/>
        </w:rPr>
      </w:pPr>
      <w:r w:rsidRPr="00D05B2F">
        <w:rPr>
          <w:rFonts w:cstheme="minorHAnsi"/>
        </w:rPr>
        <w:t>Au sein du Parlement européen les acteurs clés sont les rapporteurs</w:t>
      </w:r>
      <w:r w:rsidR="00723F9E">
        <w:rPr>
          <w:rFonts w:cstheme="minorHAnsi"/>
        </w:rPr>
        <w:t xml:space="preserve"> des commissions parlementaires </w:t>
      </w:r>
      <w:r w:rsidRPr="00D05B2F">
        <w:rPr>
          <w:rFonts w:cstheme="minorHAnsi"/>
        </w:rPr>
        <w:t>, en l’occurrence issus de la commission</w:t>
      </w:r>
      <w:r w:rsidR="006A0955" w:rsidRPr="00D05B2F">
        <w:rPr>
          <w:rFonts w:cstheme="minorHAnsi"/>
        </w:rPr>
        <w:t xml:space="preserve"> </w:t>
      </w:r>
      <w:r w:rsidR="00723F9E">
        <w:rPr>
          <w:rFonts w:cstheme="minorHAnsi"/>
        </w:rPr>
        <w:t>T</w:t>
      </w:r>
      <w:r w:rsidR="006A0955" w:rsidRPr="00D05B2F">
        <w:rPr>
          <w:rFonts w:cstheme="minorHAnsi"/>
        </w:rPr>
        <w:t>ransport et tourisme</w:t>
      </w:r>
      <w:r w:rsidR="00723F9E">
        <w:rPr>
          <w:rFonts w:cstheme="minorHAnsi"/>
        </w:rPr>
        <w:t xml:space="preserve"> </w:t>
      </w:r>
      <w:r w:rsidR="006A0955" w:rsidRPr="00D05B2F">
        <w:rPr>
          <w:rFonts w:cstheme="minorHAnsi"/>
        </w:rPr>
        <w:t xml:space="preserve">et de la commission au </w:t>
      </w:r>
      <w:r w:rsidR="00723F9E">
        <w:rPr>
          <w:rFonts w:cstheme="minorHAnsi"/>
        </w:rPr>
        <w:t>D</w:t>
      </w:r>
      <w:r w:rsidR="006A0955" w:rsidRPr="00D05B2F">
        <w:rPr>
          <w:rFonts w:cstheme="minorHAnsi"/>
        </w:rPr>
        <w:t>éveloppement régional</w:t>
      </w:r>
      <w:r w:rsidR="00F11FB2" w:rsidRPr="00D05B2F">
        <w:rPr>
          <w:rFonts w:cstheme="minorHAnsi"/>
        </w:rPr>
        <w:t xml:space="preserve">. </w:t>
      </w:r>
      <w:r w:rsidRPr="00D05B2F">
        <w:rPr>
          <w:rFonts w:cstheme="minorHAnsi"/>
        </w:rPr>
        <w:t xml:space="preserve">Il incombe à la commission parlementaire d’étudier la proposition en vue </w:t>
      </w:r>
      <w:r w:rsidR="00723F9E">
        <w:rPr>
          <w:rFonts w:cstheme="minorHAnsi"/>
        </w:rPr>
        <w:t xml:space="preserve">de proposer </w:t>
      </w:r>
      <w:r w:rsidRPr="00D05B2F">
        <w:rPr>
          <w:rFonts w:cstheme="minorHAnsi"/>
        </w:rPr>
        <w:t>d’éventuelles modifications</w:t>
      </w:r>
      <w:r w:rsidR="00723F9E">
        <w:rPr>
          <w:rFonts w:cstheme="minorHAnsi"/>
        </w:rPr>
        <w:t>.</w:t>
      </w:r>
      <w:r w:rsidRPr="00D05B2F">
        <w:rPr>
          <w:rFonts w:cstheme="minorHAnsi"/>
        </w:rPr>
        <w:t xml:space="preserve"> </w:t>
      </w:r>
      <w:r w:rsidR="00723F9E">
        <w:rPr>
          <w:rFonts w:cstheme="minorHAnsi"/>
        </w:rPr>
        <w:t>Dans ce cadre, l</w:t>
      </w:r>
      <w:r w:rsidRPr="00D05B2F">
        <w:rPr>
          <w:rFonts w:cstheme="minorHAnsi"/>
        </w:rPr>
        <w:t>a pièce maitresse est plus précisément le rapporteur principal</w:t>
      </w:r>
      <w:r w:rsidR="00723F9E">
        <w:rPr>
          <w:rFonts w:cstheme="minorHAnsi"/>
        </w:rPr>
        <w:t xml:space="preserve"> dont la tâche est</w:t>
      </w:r>
      <w:r w:rsidRPr="00D05B2F">
        <w:rPr>
          <w:rFonts w:cstheme="minorHAnsi"/>
        </w:rPr>
        <w:t xml:space="preserve"> d’accompagner le texte tout au long du processus législatif</w:t>
      </w:r>
      <w:r w:rsidR="00723F9E">
        <w:rPr>
          <w:rFonts w:cstheme="minorHAnsi"/>
        </w:rPr>
        <w:t>. E</w:t>
      </w:r>
      <w:r w:rsidRPr="00D05B2F">
        <w:rPr>
          <w:rFonts w:cstheme="minorHAnsi"/>
        </w:rPr>
        <w:t xml:space="preserve">n l’espèce il s’agit du député du </w:t>
      </w:r>
      <w:r w:rsidR="00F11FB2" w:rsidRPr="00D05B2F">
        <w:rPr>
          <w:rFonts w:cstheme="minorHAnsi"/>
        </w:rPr>
        <w:t>Groupe Renew Europe Dominique RIQUET</w:t>
      </w:r>
      <w:r w:rsidR="00E75162">
        <w:rPr>
          <w:rFonts w:cstheme="minorHAnsi"/>
        </w:rPr>
        <w:t>, nommé le</w:t>
      </w:r>
      <w:r w:rsidR="00913F81">
        <w:rPr>
          <w:rFonts w:cstheme="minorHAnsi"/>
        </w:rPr>
        <w:t xml:space="preserve"> 06</w:t>
      </w:r>
      <w:r w:rsidR="00723F9E">
        <w:rPr>
          <w:rFonts w:cstheme="minorHAnsi"/>
        </w:rPr>
        <w:t xml:space="preserve"> juillet </w:t>
      </w:r>
      <w:r w:rsidR="00913F81">
        <w:rPr>
          <w:rFonts w:cstheme="minorHAnsi"/>
        </w:rPr>
        <w:t>2018</w:t>
      </w:r>
      <w:r w:rsidRPr="00D05B2F">
        <w:rPr>
          <w:rFonts w:cstheme="minorHAnsi"/>
        </w:rPr>
        <w:t>.</w:t>
      </w:r>
      <w:r w:rsidR="00F11FB2" w:rsidRPr="00D05B2F">
        <w:rPr>
          <w:rFonts w:cstheme="minorHAnsi"/>
        </w:rPr>
        <w:t xml:space="preserve"> A ses côtés se tien</w:t>
      </w:r>
      <w:r w:rsidR="00C45377" w:rsidRPr="00D05B2F">
        <w:rPr>
          <w:rFonts w:cstheme="minorHAnsi"/>
        </w:rPr>
        <w:t xml:space="preserve">t </w:t>
      </w:r>
      <w:r w:rsidR="00F11FB2" w:rsidRPr="00D05B2F">
        <w:rPr>
          <w:rFonts w:cstheme="minorHAnsi"/>
        </w:rPr>
        <w:t xml:space="preserve"> Demetros PAPADAKIS</w:t>
      </w:r>
      <w:r w:rsidR="00913F81">
        <w:rPr>
          <w:rFonts w:cstheme="minorHAnsi"/>
        </w:rPr>
        <w:t>, nommé le 20</w:t>
      </w:r>
      <w:r w:rsidR="00723F9E">
        <w:rPr>
          <w:rFonts w:cstheme="minorHAnsi"/>
        </w:rPr>
        <w:t xml:space="preserve"> juin </w:t>
      </w:r>
      <w:r w:rsidR="00913F81">
        <w:rPr>
          <w:rFonts w:cstheme="minorHAnsi"/>
        </w:rPr>
        <w:t>2018</w:t>
      </w:r>
      <w:r w:rsidR="00F11FB2" w:rsidRPr="00D05B2F">
        <w:rPr>
          <w:rFonts w:cstheme="minorHAnsi"/>
        </w:rPr>
        <w:t xml:space="preserve">, en qualité de rapporteur pour avis. Issu de la commission au </w:t>
      </w:r>
      <w:r w:rsidR="00723F9E">
        <w:rPr>
          <w:rFonts w:cstheme="minorHAnsi"/>
        </w:rPr>
        <w:t>D</w:t>
      </w:r>
      <w:r w:rsidR="00F11FB2" w:rsidRPr="00D05B2F">
        <w:rPr>
          <w:rFonts w:cstheme="minorHAnsi"/>
        </w:rPr>
        <w:t xml:space="preserve">éveloppement régional, sa commission a été </w:t>
      </w:r>
      <w:r w:rsidR="00C45377" w:rsidRPr="00D05B2F">
        <w:rPr>
          <w:rFonts w:cstheme="minorHAnsi"/>
        </w:rPr>
        <w:t xml:space="preserve">saisie par la commission </w:t>
      </w:r>
      <w:r w:rsidR="00723F9E">
        <w:rPr>
          <w:rFonts w:cstheme="minorHAnsi"/>
        </w:rPr>
        <w:t>T</w:t>
      </w:r>
      <w:r w:rsidR="00C45377" w:rsidRPr="00D05B2F">
        <w:rPr>
          <w:rFonts w:cstheme="minorHAnsi"/>
        </w:rPr>
        <w:t xml:space="preserve">ransport et tourisme pour avis sur la proposition débattue en vertu de l’article </w:t>
      </w:r>
      <w:r w:rsidR="00C45377" w:rsidRPr="00D05B2F">
        <w:rPr>
          <w:rFonts w:cstheme="minorHAnsi"/>
          <w:shd w:val="clear" w:color="auto" w:fill="FFFFFF"/>
        </w:rPr>
        <w:t xml:space="preserve"> 201, paragraphe 3</w:t>
      </w:r>
      <w:r w:rsidR="00C45377" w:rsidRPr="00D05B2F">
        <w:rPr>
          <w:rStyle w:val="Appelnotedebasdep"/>
          <w:rFonts w:cstheme="minorHAnsi"/>
          <w:shd w:val="clear" w:color="auto" w:fill="FFFFFF"/>
        </w:rPr>
        <w:footnoteReference w:id="12"/>
      </w:r>
      <w:r w:rsidR="00C45377" w:rsidRPr="00D05B2F">
        <w:rPr>
          <w:rFonts w:cstheme="minorHAnsi"/>
          <w:shd w:val="clear" w:color="auto" w:fill="FFFFFF"/>
        </w:rPr>
        <w:t xml:space="preserve"> du règlement intérieur du Parlement européen, après autorisation du président du parlement. L’existence de deux rapporteurs fait que Dominique RIQUET est compétent au fond, là pour Demetros PAPADAKIS l’est pour avis.</w:t>
      </w:r>
      <w:r w:rsidR="00E75162">
        <w:rPr>
          <w:rFonts w:cstheme="minorHAnsi"/>
          <w:shd w:val="clear" w:color="auto" w:fill="FFFFFF"/>
        </w:rPr>
        <w:t xml:space="preserve"> A noter que la commission compétente au fond avait également saisi l’avis de deux autres commissions parlementaires : la commission ENVI et IMCO. Cela étant elles n’ont rendu aucun avis.</w:t>
      </w:r>
      <w:r w:rsidR="000C580D">
        <w:rPr>
          <w:rFonts w:cstheme="minorHAnsi"/>
          <w:shd w:val="clear" w:color="auto" w:fill="FFFFFF"/>
        </w:rPr>
        <w:t xml:space="preserve"> </w:t>
      </w:r>
      <w:r w:rsidR="000C580D">
        <w:t xml:space="preserve">La présente proposition ayant un impact direct sur les régions, </w:t>
      </w:r>
      <w:r w:rsidR="00723F9E">
        <w:t>l’</w:t>
      </w:r>
      <w:r w:rsidR="000C580D">
        <w:t xml:space="preserve"> avis </w:t>
      </w:r>
      <w:r w:rsidR="00723F9E">
        <w:t xml:space="preserve">de M. PAPADAKIS </w:t>
      </w:r>
      <w:r w:rsidR="000C580D">
        <w:t xml:space="preserve">sera semble-t-il très intéressant sur l’adéquation ou non entre problématiques </w:t>
      </w:r>
      <w:r w:rsidR="00723F9E">
        <w:t xml:space="preserve">régionales </w:t>
      </w:r>
      <w:r w:rsidR="000C580D">
        <w:t>et la proposition.</w:t>
      </w:r>
    </w:p>
    <w:p w14:paraId="286472E8" w14:textId="460C19BC" w:rsidR="007F3770" w:rsidRDefault="0080757D" w:rsidP="008E0382">
      <w:pPr>
        <w:spacing w:line="360" w:lineRule="auto"/>
        <w:jc w:val="both"/>
      </w:pPr>
      <w:r>
        <w:t xml:space="preserve">Les rapporteurs fictifs négocient </w:t>
      </w:r>
      <w:r w:rsidR="00723F9E">
        <w:t xml:space="preserve">de leur côté </w:t>
      </w:r>
      <w:r>
        <w:t>des compromis au nom de leur groupe politique. Ils ont une importance moindre</w:t>
      </w:r>
      <w:r w:rsidR="00723F9E">
        <w:t xml:space="preserve"> par rapport au</w:t>
      </w:r>
      <w:r>
        <w:t xml:space="preserve"> rapporteur principal mais sont tout de même important dans la négociation parlementaire. Il convient de les énumérer : </w:t>
      </w:r>
      <w:r w:rsidR="000C580D">
        <w:t>Tom BERENDSEN (PPE</w:t>
      </w:r>
      <w:r>
        <w:t>)</w:t>
      </w:r>
      <w:r w:rsidR="000C580D">
        <w:t>, Isabel GARCIA</w:t>
      </w:r>
      <w:r w:rsidR="0056169D">
        <w:t xml:space="preserve"> </w:t>
      </w:r>
      <w:bookmarkStart w:id="1" w:name="_GoBack"/>
      <w:bookmarkEnd w:id="1"/>
      <w:r w:rsidR="000C580D">
        <w:t>MUNOS (S&amp;D), Jill EVANS (ADLE), Paolo BORCHIA (ID), Kosma ZLOTOWSKI (ECR), Elena KOUNTOURA (GUE)</w:t>
      </w:r>
      <w:r w:rsidR="00DA7C3E">
        <w:rPr>
          <w:rStyle w:val="Appelnotedebasdep"/>
        </w:rPr>
        <w:footnoteReference w:id="13"/>
      </w:r>
      <w:r>
        <w:t xml:space="preserve">. </w:t>
      </w:r>
    </w:p>
    <w:p w14:paraId="3354D8BF" w14:textId="77777777" w:rsidR="007F3770" w:rsidRPr="00B66239" w:rsidRDefault="007F3770" w:rsidP="008E0382">
      <w:pPr>
        <w:spacing w:line="360" w:lineRule="auto"/>
        <w:rPr>
          <w:b/>
          <w:bCs/>
        </w:rPr>
      </w:pPr>
      <w:r w:rsidRPr="00B66239">
        <w:rPr>
          <w:b/>
          <w:bCs/>
        </w:rPr>
        <w:t>Le Conseil</w:t>
      </w:r>
    </w:p>
    <w:p w14:paraId="07AB983D" w14:textId="463FC26A" w:rsidR="00A16773" w:rsidRPr="00B66239" w:rsidRDefault="007F3770" w:rsidP="008E0382">
      <w:pPr>
        <w:spacing w:line="360" w:lineRule="auto"/>
        <w:jc w:val="both"/>
      </w:pPr>
      <w:r w:rsidRPr="00B66239">
        <w:t xml:space="preserve">Il s’organise ici autour du comité des représentants permanent du Coreper 1. Le 22 mai 2018 marque la première réunions des corps préparatoires. les corps préparatoires se sont réunis mais n’ont pu statuer avant </w:t>
      </w:r>
      <w:r w:rsidR="00B66239" w:rsidRPr="00B66239">
        <w:t xml:space="preserve">d’avoir </w:t>
      </w:r>
      <w:r w:rsidRPr="00B66239">
        <w:t>les avis respectifs du Comité des Régions ainsi que du Comité Economique et Social. L</w:t>
      </w:r>
      <w:r w:rsidR="007E585D" w:rsidRPr="00B66239">
        <w:t>’Allemagne, la Suède, la République Tchèque, le Portugal, l’Irlande ont déposé des avis</w:t>
      </w:r>
      <w:r w:rsidR="009541EA" w:rsidRPr="00B66239">
        <w:t>, issus de leur parlements nationaux</w:t>
      </w:r>
      <w:r w:rsidR="007E585D" w:rsidRPr="00B66239">
        <w:t xml:space="preserve">. </w:t>
      </w:r>
      <w:r w:rsidR="004C0898" w:rsidRPr="00B66239">
        <w:t>I</w:t>
      </w:r>
      <w:r w:rsidRPr="00B66239">
        <w:t xml:space="preserve">l serait pertinent de s’attacher tout particulièrement aux positions de leur représentants permanents, membres qui semblent </w:t>
      </w:r>
      <w:r w:rsidRPr="00B66239">
        <w:rPr>
          <w:i/>
          <w:iCs/>
        </w:rPr>
        <w:t>a priori</w:t>
      </w:r>
      <w:r w:rsidRPr="00B66239">
        <w:t xml:space="preserve"> être les acteurs </w:t>
      </w:r>
      <w:r w:rsidR="004C0898" w:rsidRPr="00B66239">
        <w:t>ayant des doléances particulières compte tenu du projet d’harmonisation juridique</w:t>
      </w:r>
      <w:r w:rsidRPr="00B66239">
        <w:t xml:space="preserve">. Les représentants permanents sont respectivement </w:t>
      </w:r>
      <w:r w:rsidR="00DD124B" w:rsidRPr="00B66239">
        <w:t>Mme Susanne SZECH-KOUNDOUROS, Tor</w:t>
      </w:r>
      <w:r w:rsidR="00F4735A" w:rsidRPr="00B66239">
        <w:t>b</w:t>
      </w:r>
      <w:r w:rsidR="00DD124B" w:rsidRPr="00B66239">
        <w:t>jörn HAAK, Jaroslav ZAJICEK, Pedro LOURTIE et</w:t>
      </w:r>
      <w:r w:rsidR="00F4735A" w:rsidRPr="00B66239">
        <w:t xml:space="preserve"> Mme</w:t>
      </w:r>
      <w:r w:rsidR="00DD124B" w:rsidRPr="00B66239">
        <w:t xml:space="preserve"> Maeve COLLINS</w:t>
      </w:r>
      <w:r w:rsidR="00041C43" w:rsidRPr="00B66239">
        <w:rPr>
          <w:rStyle w:val="Appelnotedebasdep"/>
        </w:rPr>
        <w:footnoteReference w:id="14"/>
      </w:r>
      <w:r w:rsidR="00DD124B" w:rsidRPr="00B66239">
        <w:t>.</w:t>
      </w:r>
    </w:p>
    <w:p w14:paraId="7BB9481D" w14:textId="77777777" w:rsidR="008E0382" w:rsidRDefault="008E0382" w:rsidP="008E0382">
      <w:pPr>
        <w:spacing w:line="360" w:lineRule="auto"/>
        <w:jc w:val="both"/>
      </w:pPr>
    </w:p>
    <w:p w14:paraId="21047234" w14:textId="15478009" w:rsidR="00F91212" w:rsidRPr="00037188" w:rsidRDefault="00214D84" w:rsidP="00A84359">
      <w:pPr>
        <w:pStyle w:val="Paragraphedeliste"/>
        <w:numPr>
          <w:ilvl w:val="0"/>
          <w:numId w:val="1"/>
        </w:numPr>
        <w:spacing w:line="360" w:lineRule="auto"/>
        <w:jc w:val="both"/>
      </w:pPr>
      <w:r w:rsidRPr="00037188">
        <w:t>Les parties intéressées</w:t>
      </w:r>
    </w:p>
    <w:p w14:paraId="7A6509B3" w14:textId="54143460" w:rsidR="001A20DC" w:rsidRDefault="00F91212" w:rsidP="00A84359">
      <w:pPr>
        <w:spacing w:line="360" w:lineRule="auto"/>
        <w:jc w:val="both"/>
      </w:pPr>
      <w:r w:rsidRPr="00037188">
        <w:t>La commission européenne a procédé à des consultations publiques</w:t>
      </w:r>
      <w:r w:rsidR="007425B3" w:rsidRPr="00037188">
        <w:t xml:space="preserve"> (</w:t>
      </w:r>
      <w:r w:rsidR="00BB5A8E">
        <w:t xml:space="preserve">trois </w:t>
      </w:r>
      <w:r w:rsidR="00B66239">
        <w:t>workshops</w:t>
      </w:r>
      <w:r w:rsidR="00BB5A8E">
        <w:t xml:space="preserve"> en 2017</w:t>
      </w:r>
      <w:r w:rsidR="00B66239">
        <w:t xml:space="preserve">, </w:t>
      </w:r>
      <w:r w:rsidR="00BB5A8E">
        <w:t xml:space="preserve">une </w:t>
      </w:r>
      <w:r w:rsidR="00B66239">
        <w:t xml:space="preserve">consultations </w:t>
      </w:r>
      <w:r w:rsidR="007425B3" w:rsidRPr="00037188">
        <w:t>en ligne</w:t>
      </w:r>
      <w:r w:rsidR="00814B77" w:rsidRPr="00037188">
        <w:rPr>
          <w:rStyle w:val="Appelnotedebasdep"/>
        </w:rPr>
        <w:footnoteReference w:id="15"/>
      </w:r>
      <w:r w:rsidR="007425B3" w:rsidRPr="00037188">
        <w:t xml:space="preserve">, </w:t>
      </w:r>
      <w:r w:rsidR="00BB5A8E">
        <w:t xml:space="preserve">des </w:t>
      </w:r>
      <w:r w:rsidR="007425B3" w:rsidRPr="00037188">
        <w:t xml:space="preserve">entretiens avec </w:t>
      </w:r>
      <w:r w:rsidR="00151A48">
        <w:t>les administrations nationales et autres parties prenantes</w:t>
      </w:r>
      <w:r w:rsidR="007425B3" w:rsidRPr="00037188">
        <w:t>)</w:t>
      </w:r>
      <w:r w:rsidRPr="00037188">
        <w:t xml:space="preserve"> qui laissent apparaître bon nombre de parties intéressées</w:t>
      </w:r>
      <w:r w:rsidR="00151A48">
        <w:t>. O</w:t>
      </w:r>
      <w:r w:rsidRPr="00037188">
        <w:t xml:space="preserve">n constate que toute une série d’acteurs se positionnent au regard de la proposition. </w:t>
      </w:r>
    </w:p>
    <w:p w14:paraId="79F62D4C" w14:textId="77777777" w:rsidR="00151A48" w:rsidRPr="001A20DC" w:rsidRDefault="00151A48" w:rsidP="00151A48">
      <w:pPr>
        <w:spacing w:line="360" w:lineRule="auto"/>
      </w:pPr>
    </w:p>
    <w:p w14:paraId="1EEC549B" w14:textId="113201FB" w:rsidR="007425B3" w:rsidRPr="001A20DC" w:rsidRDefault="00F91212" w:rsidP="001A20DC">
      <w:pPr>
        <w:autoSpaceDE w:val="0"/>
        <w:autoSpaceDN w:val="0"/>
        <w:adjustRightInd w:val="0"/>
        <w:spacing w:after="0" w:line="360" w:lineRule="auto"/>
        <w:jc w:val="both"/>
        <w:rPr>
          <w:rFonts w:cstheme="minorHAnsi"/>
          <w:b/>
          <w:bCs/>
        </w:rPr>
      </w:pPr>
      <w:r w:rsidRPr="00037188">
        <w:rPr>
          <w:rFonts w:cstheme="minorHAnsi"/>
          <w:b/>
          <w:bCs/>
        </w:rPr>
        <w:t>Autorités publiques</w:t>
      </w:r>
    </w:p>
    <w:p w14:paraId="3C1A251F" w14:textId="020F7218" w:rsidR="007425B3" w:rsidRPr="00037188" w:rsidRDefault="007425B3" w:rsidP="008E0382">
      <w:pPr>
        <w:autoSpaceDE w:val="0"/>
        <w:autoSpaceDN w:val="0"/>
        <w:adjustRightInd w:val="0"/>
        <w:spacing w:after="0" w:line="360" w:lineRule="auto"/>
        <w:jc w:val="both"/>
        <w:rPr>
          <w:rFonts w:cstheme="minorHAnsi"/>
        </w:rPr>
      </w:pPr>
      <w:r w:rsidRPr="00037188">
        <w:rPr>
          <w:rFonts w:cstheme="minorHAnsi"/>
          <w:b/>
          <w:bCs/>
        </w:rPr>
        <w:t xml:space="preserve">Les </w:t>
      </w:r>
      <w:r w:rsidR="00604566" w:rsidRPr="00037188">
        <w:rPr>
          <w:rFonts w:cstheme="minorHAnsi"/>
          <w:b/>
          <w:bCs/>
        </w:rPr>
        <w:t>assemblées parlementaires nationales</w:t>
      </w:r>
      <w:r w:rsidR="00604566" w:rsidRPr="00037188">
        <w:rPr>
          <w:rFonts w:cstheme="minorHAnsi"/>
        </w:rPr>
        <w:t> :</w:t>
      </w:r>
    </w:p>
    <w:p w14:paraId="2598BC6A" w14:textId="4858B9BF" w:rsidR="00604566" w:rsidRPr="00037188" w:rsidRDefault="00604566" w:rsidP="008E0382">
      <w:pPr>
        <w:autoSpaceDE w:val="0"/>
        <w:autoSpaceDN w:val="0"/>
        <w:adjustRightInd w:val="0"/>
        <w:spacing w:after="0" w:line="360" w:lineRule="auto"/>
        <w:jc w:val="both"/>
        <w:rPr>
          <w:rFonts w:cstheme="minorHAnsi"/>
        </w:rPr>
      </w:pPr>
      <w:r w:rsidRPr="00037188">
        <w:rPr>
          <w:rFonts w:cstheme="minorHAnsi"/>
        </w:rPr>
        <w:t xml:space="preserve">Le Parlement </w:t>
      </w:r>
      <w:r w:rsidR="003E403A" w:rsidRPr="00037188">
        <w:rPr>
          <w:rFonts w:cstheme="minorHAnsi"/>
        </w:rPr>
        <w:t>suédois</w:t>
      </w:r>
      <w:r w:rsidRPr="00037188">
        <w:rPr>
          <w:rFonts w:cstheme="minorHAnsi"/>
        </w:rPr>
        <w:t>, allemand (Bundestag et Bundesrat), la République Tchèque (sénat tchèque), le sénat irlandais, l’assemblée du Portugal et l’assemblée nationale française ont chacun émis des avis motivés concernant la proposition</w:t>
      </w:r>
      <w:r w:rsidRPr="00037188">
        <w:rPr>
          <w:rStyle w:val="Appelnotedebasdep"/>
          <w:rFonts w:cstheme="minorHAnsi"/>
        </w:rPr>
        <w:footnoteReference w:id="16"/>
      </w:r>
      <w:r w:rsidRPr="00037188">
        <w:rPr>
          <w:rFonts w:cstheme="minorHAnsi"/>
        </w:rPr>
        <w:t xml:space="preserve">. </w:t>
      </w:r>
    </w:p>
    <w:p w14:paraId="791362C0" w14:textId="77777777" w:rsidR="00FA4A76" w:rsidRPr="00037188" w:rsidRDefault="00FA4A76" w:rsidP="008E0382">
      <w:pPr>
        <w:autoSpaceDE w:val="0"/>
        <w:autoSpaceDN w:val="0"/>
        <w:adjustRightInd w:val="0"/>
        <w:spacing w:after="0" w:line="360" w:lineRule="auto"/>
        <w:jc w:val="both"/>
        <w:rPr>
          <w:rFonts w:cstheme="minorHAnsi"/>
        </w:rPr>
      </w:pPr>
    </w:p>
    <w:p w14:paraId="307948B0" w14:textId="394B2C85" w:rsidR="00870917" w:rsidRPr="00037188" w:rsidRDefault="0036113A" w:rsidP="008E0382">
      <w:pPr>
        <w:autoSpaceDE w:val="0"/>
        <w:autoSpaceDN w:val="0"/>
        <w:adjustRightInd w:val="0"/>
        <w:spacing w:after="0" w:line="360" w:lineRule="auto"/>
        <w:jc w:val="both"/>
        <w:rPr>
          <w:rFonts w:cstheme="minorHAnsi"/>
        </w:rPr>
      </w:pPr>
      <w:r w:rsidRPr="00037188">
        <w:rPr>
          <w:rFonts w:cstheme="minorHAnsi"/>
          <w:b/>
          <w:bCs/>
        </w:rPr>
        <w:t>Les gouvernements</w:t>
      </w:r>
      <w:r w:rsidR="00151A48">
        <w:rPr>
          <w:rFonts w:cstheme="minorHAnsi"/>
          <w:b/>
          <w:bCs/>
        </w:rPr>
        <w:t xml:space="preserve"> et administrations</w:t>
      </w:r>
      <w:r w:rsidRPr="00037188">
        <w:rPr>
          <w:rFonts w:cstheme="minorHAnsi"/>
          <w:b/>
          <w:bCs/>
        </w:rPr>
        <w:t xml:space="preserve"> nationa</w:t>
      </w:r>
      <w:r w:rsidR="00151A48">
        <w:rPr>
          <w:rFonts w:cstheme="minorHAnsi"/>
          <w:b/>
          <w:bCs/>
        </w:rPr>
        <w:t>les</w:t>
      </w:r>
      <w:r w:rsidR="00FA4A76" w:rsidRPr="00037188">
        <w:rPr>
          <w:rFonts w:cstheme="minorHAnsi"/>
          <w:b/>
          <w:bCs/>
        </w:rPr>
        <w:t> :</w:t>
      </w:r>
      <w:r w:rsidR="00FA4A76" w:rsidRPr="00037188">
        <w:rPr>
          <w:rFonts w:cstheme="minorHAnsi"/>
        </w:rPr>
        <w:t xml:space="preserve"> </w:t>
      </w:r>
    </w:p>
    <w:p w14:paraId="56007293" w14:textId="50C62F21" w:rsidR="00037188" w:rsidRPr="001A20DC" w:rsidRDefault="00151A48" w:rsidP="00151A48">
      <w:pPr>
        <w:autoSpaceDE w:val="0"/>
        <w:autoSpaceDN w:val="0"/>
        <w:adjustRightInd w:val="0"/>
        <w:spacing w:after="0" w:line="360" w:lineRule="auto"/>
        <w:jc w:val="both"/>
        <w:rPr>
          <w:rFonts w:cstheme="minorHAnsi"/>
        </w:rPr>
      </w:pPr>
      <w:r>
        <w:rPr>
          <w:rFonts w:cstheme="minorHAnsi"/>
        </w:rPr>
        <w:t xml:space="preserve">Les </w:t>
      </w:r>
      <w:r w:rsidR="000A1BD0" w:rsidRPr="00037188">
        <w:rPr>
          <w:rFonts w:cstheme="minorHAnsi"/>
        </w:rPr>
        <w:t>Gouvernement</w:t>
      </w:r>
      <w:r>
        <w:rPr>
          <w:rFonts w:cstheme="minorHAnsi"/>
        </w:rPr>
        <w:t xml:space="preserve">s se sentent particulièrement concernés par la proposition et de la question du guichet unique. En effet, lors de la consultation en ligne, </w:t>
      </w:r>
      <w:r w:rsidR="00BB5A8E">
        <w:rPr>
          <w:rFonts w:cstheme="minorHAnsi"/>
        </w:rPr>
        <w:t>23 Etats-membres</w:t>
      </w:r>
      <w:r>
        <w:rPr>
          <w:rFonts w:cstheme="minorHAnsi"/>
        </w:rPr>
        <w:t xml:space="preserve"> ont répondu</w:t>
      </w:r>
      <w:r w:rsidR="00BB5A8E">
        <w:rPr>
          <w:rFonts w:cstheme="minorHAnsi"/>
        </w:rPr>
        <w:t>. Parmi ces Etats, 12 gouvernements ont participé à la consultation</w:t>
      </w:r>
      <w:r>
        <w:rPr>
          <w:rFonts w:cstheme="minorHAnsi"/>
        </w:rPr>
        <w:t xml:space="preserve"> à l’instar</w:t>
      </w:r>
      <w:r w:rsidR="000A1BD0" w:rsidRPr="00037188">
        <w:rPr>
          <w:rFonts w:cstheme="minorHAnsi"/>
        </w:rPr>
        <w:t xml:space="preserve"> de Malte, Chypre, </w:t>
      </w:r>
      <w:r>
        <w:rPr>
          <w:rFonts w:cstheme="minorHAnsi"/>
        </w:rPr>
        <w:t xml:space="preserve">des </w:t>
      </w:r>
      <w:r w:rsidR="000A1BD0" w:rsidRPr="00037188">
        <w:rPr>
          <w:rFonts w:cstheme="minorHAnsi"/>
        </w:rPr>
        <w:t xml:space="preserve">Pays-Bas, </w:t>
      </w:r>
      <w:r>
        <w:rPr>
          <w:rFonts w:cstheme="minorHAnsi"/>
        </w:rPr>
        <w:t>d’I</w:t>
      </w:r>
      <w:r w:rsidRPr="00037188">
        <w:rPr>
          <w:rFonts w:cstheme="minorHAnsi"/>
        </w:rPr>
        <w:t>talie</w:t>
      </w:r>
      <w:r w:rsidR="000A1BD0" w:rsidRPr="00037188">
        <w:rPr>
          <w:rFonts w:cstheme="minorHAnsi"/>
        </w:rPr>
        <w:t xml:space="preserve">, </w:t>
      </w:r>
      <w:r>
        <w:rPr>
          <w:rFonts w:cstheme="minorHAnsi"/>
        </w:rPr>
        <w:t xml:space="preserve">de la </w:t>
      </w:r>
      <w:r w:rsidR="000A1BD0" w:rsidRPr="00037188">
        <w:rPr>
          <w:rFonts w:cstheme="minorHAnsi"/>
        </w:rPr>
        <w:t xml:space="preserve">République Tchèque, </w:t>
      </w:r>
      <w:r>
        <w:rPr>
          <w:rFonts w:cstheme="minorHAnsi"/>
        </w:rPr>
        <w:t xml:space="preserve">de </w:t>
      </w:r>
      <w:r w:rsidR="000A1BD0" w:rsidRPr="00037188">
        <w:rPr>
          <w:rFonts w:cstheme="minorHAnsi"/>
        </w:rPr>
        <w:t>Pologne, Belgique, Portugal, Hongrie, Suède</w:t>
      </w:r>
      <w:r>
        <w:rPr>
          <w:rFonts w:cstheme="minorHAnsi"/>
        </w:rPr>
        <w:t xml:space="preserve"> et de la</w:t>
      </w:r>
      <w:r w:rsidR="000A1BD0" w:rsidRPr="00037188">
        <w:rPr>
          <w:rFonts w:cstheme="minorHAnsi"/>
        </w:rPr>
        <w:t xml:space="preserve"> </w:t>
      </w:r>
      <w:r>
        <w:rPr>
          <w:rFonts w:cstheme="minorHAnsi"/>
        </w:rPr>
        <w:t>France</w:t>
      </w:r>
      <w:r w:rsidR="00BB5A8E">
        <w:rPr>
          <w:rFonts w:cstheme="minorHAnsi"/>
        </w:rPr>
        <w:t xml:space="preserve"> et de la Lituanie</w:t>
      </w:r>
      <w:r>
        <w:rPr>
          <w:rFonts w:cstheme="minorHAnsi"/>
        </w:rPr>
        <w:t>.</w:t>
      </w:r>
      <w:r w:rsidR="000A1BD0" w:rsidRPr="00037188">
        <w:rPr>
          <w:rFonts w:cstheme="minorHAnsi"/>
        </w:rPr>
        <w:t xml:space="preserve"> </w:t>
      </w:r>
      <w:r>
        <w:rPr>
          <w:rFonts w:cstheme="minorHAnsi"/>
        </w:rPr>
        <w:t xml:space="preserve">En particulier l’Allemagne a affirmé une position forte dans la mesure où elle a déjà mis en place des procédures accélérées, en accord avec la proposition de la Commission. </w:t>
      </w:r>
      <w:r w:rsidR="00037188" w:rsidRPr="001A20DC">
        <w:rPr>
          <w:rFonts w:cstheme="minorHAnsi"/>
        </w:rPr>
        <w:t>En outre, des interviews ont été menée</w:t>
      </w:r>
      <w:r>
        <w:rPr>
          <w:rFonts w:cstheme="minorHAnsi"/>
        </w:rPr>
        <w:t>s</w:t>
      </w:r>
      <w:r w:rsidR="00037188" w:rsidRPr="001A20DC">
        <w:rPr>
          <w:rFonts w:cstheme="minorHAnsi"/>
        </w:rPr>
        <w:t xml:space="preserve"> par téléphone au</w:t>
      </w:r>
      <w:r w:rsidR="001A20DC">
        <w:rPr>
          <w:rFonts w:cstheme="minorHAnsi"/>
        </w:rPr>
        <w:t>p</w:t>
      </w:r>
      <w:r w:rsidR="00037188" w:rsidRPr="001A20DC">
        <w:rPr>
          <w:rFonts w:cstheme="minorHAnsi"/>
        </w:rPr>
        <w:t>rès des membres d’administrations centrale</w:t>
      </w:r>
      <w:r>
        <w:rPr>
          <w:rFonts w:cstheme="minorHAnsi"/>
        </w:rPr>
        <w:t>s</w:t>
      </w:r>
      <w:r w:rsidR="00037188" w:rsidRPr="001A20DC">
        <w:rPr>
          <w:rFonts w:cstheme="minorHAnsi"/>
        </w:rPr>
        <w:t xml:space="preserve"> </w:t>
      </w:r>
      <w:r w:rsidR="001A20DC" w:rsidRPr="001A20DC">
        <w:rPr>
          <w:rFonts w:cstheme="minorHAnsi"/>
        </w:rPr>
        <w:t xml:space="preserve">en </w:t>
      </w:r>
      <w:r w:rsidR="00037188" w:rsidRPr="001A20DC">
        <w:t xml:space="preserve">France, </w:t>
      </w:r>
      <w:r w:rsidR="001A20DC" w:rsidRPr="001A20DC">
        <w:t xml:space="preserve">Allemagne, Pays-Bas, Pologne et </w:t>
      </w:r>
      <w:r w:rsidR="001A20DC">
        <w:t xml:space="preserve">Italie </w:t>
      </w:r>
      <w:r w:rsidR="001A20DC" w:rsidRPr="00151A48">
        <w:t>entre le 6 Décembre 2017 et le 17 Janvier 2018.</w:t>
      </w:r>
    </w:p>
    <w:p w14:paraId="531C58FA" w14:textId="77777777" w:rsidR="00B84A34" w:rsidRPr="00037188" w:rsidRDefault="00B84A34" w:rsidP="008E0382">
      <w:pPr>
        <w:autoSpaceDE w:val="0"/>
        <w:autoSpaceDN w:val="0"/>
        <w:adjustRightInd w:val="0"/>
        <w:spacing w:after="0" w:line="360" w:lineRule="auto"/>
        <w:jc w:val="both"/>
        <w:rPr>
          <w:rFonts w:cstheme="minorHAnsi"/>
          <w:b/>
          <w:bCs/>
        </w:rPr>
      </w:pPr>
    </w:p>
    <w:p w14:paraId="0D4EC430" w14:textId="38A5FE5F" w:rsidR="005C5BD4" w:rsidRPr="00037188" w:rsidRDefault="007425B3" w:rsidP="008E0382">
      <w:pPr>
        <w:autoSpaceDE w:val="0"/>
        <w:autoSpaceDN w:val="0"/>
        <w:adjustRightInd w:val="0"/>
        <w:spacing w:after="0" w:line="360" w:lineRule="auto"/>
        <w:jc w:val="both"/>
        <w:rPr>
          <w:rFonts w:cstheme="minorHAnsi"/>
        </w:rPr>
      </w:pPr>
      <w:r w:rsidRPr="00037188">
        <w:rPr>
          <w:rFonts w:cstheme="minorHAnsi"/>
          <w:b/>
          <w:bCs/>
        </w:rPr>
        <w:t>Les autorités locales (régionales, départementale, municipales)</w:t>
      </w:r>
      <w:r w:rsidR="00FA4A76" w:rsidRPr="00037188">
        <w:rPr>
          <w:rFonts w:cstheme="minorHAnsi"/>
          <w:b/>
          <w:bCs/>
        </w:rPr>
        <w:t> :</w:t>
      </w:r>
      <w:r w:rsidR="00FA4A76" w:rsidRPr="00037188">
        <w:rPr>
          <w:rFonts w:cstheme="minorHAnsi"/>
        </w:rPr>
        <w:t xml:space="preserve"> </w:t>
      </w:r>
    </w:p>
    <w:p w14:paraId="43E54598" w14:textId="129D44F8" w:rsidR="007425B3" w:rsidRPr="00037188" w:rsidRDefault="00AD3E87" w:rsidP="008E0382">
      <w:pPr>
        <w:autoSpaceDE w:val="0"/>
        <w:autoSpaceDN w:val="0"/>
        <w:adjustRightInd w:val="0"/>
        <w:spacing w:after="0" w:line="360" w:lineRule="auto"/>
        <w:jc w:val="both"/>
        <w:rPr>
          <w:rFonts w:cstheme="minorHAnsi"/>
        </w:rPr>
      </w:pPr>
      <w:r w:rsidRPr="00037188">
        <w:rPr>
          <w:rFonts w:cstheme="minorHAnsi"/>
        </w:rPr>
        <w:t>Lors de la consultation publique, 20% des répondants venaient d’autorité</w:t>
      </w:r>
      <w:r w:rsidR="00412B2C">
        <w:rPr>
          <w:rFonts w:cstheme="minorHAnsi"/>
        </w:rPr>
        <w:t>s</w:t>
      </w:r>
      <w:r w:rsidRPr="00037188">
        <w:rPr>
          <w:rFonts w:cstheme="minorHAnsi"/>
        </w:rPr>
        <w:t xml:space="preserve"> locales</w:t>
      </w:r>
      <w:r w:rsidR="00BB5A8E">
        <w:rPr>
          <w:rFonts w:cstheme="minorHAnsi"/>
        </w:rPr>
        <w:t xml:space="preserve"> soit 16 entités</w:t>
      </w:r>
      <w:r w:rsidRPr="00037188">
        <w:rPr>
          <w:rFonts w:cstheme="minorHAnsi"/>
        </w:rPr>
        <w:t xml:space="preserve">. </w:t>
      </w:r>
      <w:r w:rsidR="003112D3" w:rsidRPr="00037188">
        <w:rPr>
          <w:rFonts w:cstheme="minorHAnsi"/>
        </w:rPr>
        <w:t xml:space="preserve">Leur opinion n’est donc pas à négliger. </w:t>
      </w:r>
      <w:r w:rsidR="00037188" w:rsidRPr="00037188">
        <w:rPr>
          <w:rFonts w:cstheme="minorHAnsi"/>
        </w:rPr>
        <w:t>En outre, lors des workshops organisés par la Commission un grand nombre y ont participé. Les plus significatifs étant le mini</w:t>
      </w:r>
      <w:r w:rsidR="00412B2C">
        <w:rPr>
          <w:rFonts w:cstheme="minorHAnsi"/>
        </w:rPr>
        <w:t>s</w:t>
      </w:r>
      <w:r w:rsidR="00037188" w:rsidRPr="00037188">
        <w:rPr>
          <w:rFonts w:cstheme="minorHAnsi"/>
        </w:rPr>
        <w:t>tère des transports tchèque</w:t>
      </w:r>
      <w:r w:rsidR="00412B2C">
        <w:rPr>
          <w:rFonts w:cstheme="minorHAnsi"/>
        </w:rPr>
        <w:t xml:space="preserve"> </w:t>
      </w:r>
      <w:r w:rsidR="00037188" w:rsidRPr="00037188">
        <w:rPr>
          <w:rFonts w:cstheme="minorHAnsi"/>
        </w:rPr>
        <w:t xml:space="preserve">et le ministère des transports danois. </w:t>
      </w:r>
    </w:p>
    <w:p w14:paraId="7C285E3B" w14:textId="77777777" w:rsidR="00FA4A76" w:rsidRPr="00037188" w:rsidRDefault="00FA4A76" w:rsidP="008E0382">
      <w:pPr>
        <w:autoSpaceDE w:val="0"/>
        <w:autoSpaceDN w:val="0"/>
        <w:adjustRightInd w:val="0"/>
        <w:spacing w:after="0" w:line="360" w:lineRule="auto"/>
        <w:jc w:val="both"/>
        <w:rPr>
          <w:rFonts w:cstheme="minorHAnsi"/>
        </w:rPr>
      </w:pPr>
    </w:p>
    <w:p w14:paraId="72D5B5BC" w14:textId="77777777" w:rsidR="005C5BD4" w:rsidRPr="00037188" w:rsidRDefault="007425B3" w:rsidP="008E0382">
      <w:pPr>
        <w:autoSpaceDE w:val="0"/>
        <w:autoSpaceDN w:val="0"/>
        <w:adjustRightInd w:val="0"/>
        <w:spacing w:after="0" w:line="360" w:lineRule="auto"/>
        <w:jc w:val="both"/>
        <w:rPr>
          <w:rFonts w:cstheme="minorHAnsi"/>
        </w:rPr>
      </w:pPr>
      <w:r w:rsidRPr="00037188">
        <w:rPr>
          <w:rFonts w:cstheme="minorHAnsi"/>
          <w:b/>
          <w:bCs/>
        </w:rPr>
        <w:t>Les promoteurs de projets</w:t>
      </w:r>
      <w:r w:rsidR="0036113A" w:rsidRPr="00037188">
        <w:rPr>
          <w:rFonts w:cstheme="minorHAnsi"/>
          <w:b/>
          <w:bCs/>
        </w:rPr>
        <w:t> :</w:t>
      </w:r>
      <w:r w:rsidR="0036113A" w:rsidRPr="00037188">
        <w:rPr>
          <w:rFonts w:cstheme="minorHAnsi"/>
        </w:rPr>
        <w:t xml:space="preserve"> </w:t>
      </w:r>
    </w:p>
    <w:p w14:paraId="470F65D9" w14:textId="366BA55A" w:rsidR="00037188" w:rsidRDefault="003112D3" w:rsidP="008E0382">
      <w:pPr>
        <w:autoSpaceDE w:val="0"/>
        <w:autoSpaceDN w:val="0"/>
        <w:adjustRightInd w:val="0"/>
        <w:spacing w:after="0" w:line="360" w:lineRule="auto"/>
        <w:jc w:val="both"/>
        <w:rPr>
          <w:rFonts w:cstheme="minorHAnsi"/>
        </w:rPr>
      </w:pPr>
      <w:r w:rsidRPr="00037188">
        <w:rPr>
          <w:rFonts w:cstheme="minorHAnsi"/>
        </w:rPr>
        <w:t>Ils représentent 20% des parties ayant répondu à la consultation publique</w:t>
      </w:r>
      <w:r w:rsidR="00412B2C">
        <w:rPr>
          <w:rFonts w:cstheme="minorHAnsi"/>
        </w:rPr>
        <w:t xml:space="preserve"> et </w:t>
      </w:r>
      <w:r w:rsidRPr="00037188">
        <w:rPr>
          <w:rFonts w:cstheme="minorHAnsi"/>
        </w:rPr>
        <w:t xml:space="preserve">regroupent des </w:t>
      </w:r>
      <w:r w:rsidR="0036113A" w:rsidRPr="00037188">
        <w:rPr>
          <w:rFonts w:cstheme="minorHAnsi"/>
        </w:rPr>
        <w:t>particuliers</w:t>
      </w:r>
      <w:r w:rsidR="00412B2C">
        <w:rPr>
          <w:rFonts w:cstheme="minorHAnsi"/>
        </w:rPr>
        <w:t>, des</w:t>
      </w:r>
      <w:r w:rsidR="0036113A" w:rsidRPr="00037188">
        <w:rPr>
          <w:rFonts w:cstheme="minorHAnsi"/>
        </w:rPr>
        <w:t xml:space="preserve"> groupes d’intérêts industriel</w:t>
      </w:r>
      <w:r w:rsidR="00DA5CEC">
        <w:rPr>
          <w:rFonts w:cstheme="minorHAnsi"/>
        </w:rPr>
        <w:t>s</w:t>
      </w:r>
      <w:r w:rsidRPr="00037188">
        <w:rPr>
          <w:rFonts w:cstheme="minorHAnsi"/>
        </w:rPr>
        <w:t xml:space="preserve"> </w:t>
      </w:r>
      <w:r w:rsidR="00412B2C">
        <w:rPr>
          <w:rFonts w:cstheme="minorHAnsi"/>
        </w:rPr>
        <w:t xml:space="preserve">ainsi que </w:t>
      </w:r>
      <w:r w:rsidRPr="00037188">
        <w:rPr>
          <w:rFonts w:cstheme="minorHAnsi"/>
        </w:rPr>
        <w:t>des promoteurs de projet</w:t>
      </w:r>
      <w:r w:rsidR="0036113A" w:rsidRPr="00037188">
        <w:rPr>
          <w:rFonts w:cstheme="minorHAnsi"/>
        </w:rPr>
        <w:t>s</w:t>
      </w:r>
      <w:r w:rsidR="00BB5A8E">
        <w:rPr>
          <w:rFonts w:cstheme="minorHAnsi"/>
        </w:rPr>
        <w:t xml:space="preserve"> pour un total de 46 entités</w:t>
      </w:r>
      <w:r w:rsidR="00412B2C">
        <w:rPr>
          <w:rFonts w:cstheme="minorHAnsi"/>
        </w:rPr>
        <w:t xml:space="preserve">. Ils ont été </w:t>
      </w:r>
      <w:r w:rsidR="00BB5A8E">
        <w:rPr>
          <w:rFonts w:cstheme="minorHAnsi"/>
        </w:rPr>
        <w:t>particulièrement</w:t>
      </w:r>
      <w:r w:rsidR="00412B2C">
        <w:rPr>
          <w:rFonts w:cstheme="minorHAnsi"/>
        </w:rPr>
        <w:t xml:space="preserve"> actifs lors des différentes consultations menées par la Commission. Parmi eux se trouvaient notamment </w:t>
      </w:r>
      <w:r w:rsidR="00412B2C" w:rsidRPr="00037188">
        <w:rPr>
          <w:rFonts w:cstheme="minorHAnsi"/>
        </w:rPr>
        <w:t>Seine-Scheldt Canal, PKP, Tunnel Euralpin Lyon Turin</w:t>
      </w:r>
      <w:r w:rsidR="00BB5A8E">
        <w:rPr>
          <w:rFonts w:cstheme="minorHAnsi"/>
        </w:rPr>
        <w:t xml:space="preserve">, </w:t>
      </w:r>
      <w:r w:rsidR="00BB5A8E" w:rsidRPr="00BB5A8E">
        <w:rPr>
          <w:rFonts w:cstheme="minorHAnsi"/>
        </w:rPr>
        <w:t>Rail Baltic JV, TELT, Canal Seine Nord</w:t>
      </w:r>
      <w:r w:rsidR="00412B2C">
        <w:rPr>
          <w:rFonts w:cstheme="minorHAnsi"/>
        </w:rPr>
        <w:t>. Leur position est globalement favorable à</w:t>
      </w:r>
      <w:r w:rsidR="0036113A" w:rsidRPr="00037188">
        <w:rPr>
          <w:rFonts w:cstheme="minorHAnsi"/>
        </w:rPr>
        <w:t xml:space="preserve"> la mise en place d’un guichet unique</w:t>
      </w:r>
      <w:r w:rsidR="00FA4A76" w:rsidRPr="00037188">
        <w:rPr>
          <w:rFonts w:cstheme="minorHAnsi"/>
        </w:rPr>
        <w:t xml:space="preserve"> contrairement aux gouvernements. </w:t>
      </w:r>
    </w:p>
    <w:p w14:paraId="7116904F" w14:textId="09AB123A" w:rsidR="007425B3" w:rsidRPr="00A84359" w:rsidRDefault="007425B3" w:rsidP="008E0382">
      <w:pPr>
        <w:autoSpaceDE w:val="0"/>
        <w:autoSpaceDN w:val="0"/>
        <w:adjustRightInd w:val="0"/>
        <w:spacing w:after="0" w:line="360" w:lineRule="auto"/>
        <w:rPr>
          <w:rFonts w:ascii="TimesNewRomanPSMT" w:hAnsi="TimesNewRomanPSMT" w:cs="TimesNewRomanPSMT"/>
          <w:sz w:val="24"/>
          <w:szCs w:val="24"/>
        </w:rPr>
      </w:pPr>
    </w:p>
    <w:p w14:paraId="3BD644CF" w14:textId="75D1414A" w:rsidR="00214D84" w:rsidRPr="00460C55" w:rsidRDefault="00214D84" w:rsidP="008E0382">
      <w:pPr>
        <w:pStyle w:val="Paragraphedeliste"/>
        <w:numPr>
          <w:ilvl w:val="0"/>
          <w:numId w:val="1"/>
        </w:numPr>
        <w:spacing w:line="360" w:lineRule="auto"/>
        <w:jc w:val="both"/>
        <w:rPr>
          <w:rFonts w:cstheme="minorHAnsi"/>
        </w:rPr>
      </w:pPr>
      <w:r w:rsidRPr="00460C55">
        <w:rPr>
          <w:rFonts w:cstheme="minorHAnsi"/>
        </w:rPr>
        <w:t>Les acteurs clés</w:t>
      </w:r>
    </w:p>
    <w:p w14:paraId="55C404AC" w14:textId="77777777" w:rsidR="00D34500" w:rsidRPr="00460C55" w:rsidRDefault="00D34500" w:rsidP="008E0382">
      <w:pPr>
        <w:autoSpaceDE w:val="0"/>
        <w:autoSpaceDN w:val="0"/>
        <w:adjustRightInd w:val="0"/>
        <w:spacing w:after="0" w:line="360" w:lineRule="auto"/>
        <w:jc w:val="both"/>
        <w:rPr>
          <w:rFonts w:cstheme="minorHAnsi"/>
        </w:rPr>
      </w:pPr>
      <w:r w:rsidRPr="00460C55">
        <w:rPr>
          <w:rFonts w:cstheme="minorHAnsi"/>
        </w:rPr>
        <w:t>Différents acteurs individuels se trouvent en position de force lors du processus décisionnel, il</w:t>
      </w:r>
    </w:p>
    <w:p w14:paraId="59E4A67F" w14:textId="39D945AC" w:rsidR="002F4B8C" w:rsidRPr="00460C55" w:rsidRDefault="00D34500" w:rsidP="008E0382">
      <w:pPr>
        <w:spacing w:line="360" w:lineRule="auto"/>
        <w:jc w:val="both"/>
        <w:rPr>
          <w:rFonts w:cstheme="minorHAnsi"/>
        </w:rPr>
      </w:pPr>
      <w:r w:rsidRPr="00460C55">
        <w:rPr>
          <w:rFonts w:cstheme="minorHAnsi"/>
        </w:rPr>
        <w:t xml:space="preserve">convient d’en présenter </w:t>
      </w:r>
      <w:r w:rsidR="005C5BD4" w:rsidRPr="00460C55">
        <w:rPr>
          <w:rFonts w:cstheme="minorHAnsi"/>
        </w:rPr>
        <w:t>quelques-uns</w:t>
      </w:r>
      <w:r w:rsidRPr="00460C55">
        <w:rPr>
          <w:rFonts w:cstheme="minorHAnsi"/>
        </w:rPr>
        <w:t xml:space="preserve"> qui sont particulièrement centraux :</w:t>
      </w:r>
    </w:p>
    <w:p w14:paraId="09F7043D" w14:textId="0A535AFE" w:rsidR="00D34500" w:rsidRPr="00AD030C" w:rsidRDefault="00D34500" w:rsidP="008E0382">
      <w:pPr>
        <w:spacing w:line="360" w:lineRule="auto"/>
        <w:jc w:val="both"/>
        <w:rPr>
          <w:rFonts w:cstheme="minorHAnsi"/>
          <w:b/>
          <w:bCs/>
        </w:rPr>
      </w:pPr>
      <w:r w:rsidRPr="00AD030C">
        <w:rPr>
          <w:rFonts w:cstheme="minorHAnsi"/>
          <w:b/>
          <w:bCs/>
        </w:rPr>
        <w:t>Jean-Louis COLSON</w:t>
      </w:r>
    </w:p>
    <w:p w14:paraId="61466A93" w14:textId="6D0FA4DA" w:rsidR="00AD030C" w:rsidRPr="00AD030C" w:rsidRDefault="00AD030C" w:rsidP="00A31AA9">
      <w:pPr>
        <w:autoSpaceDE w:val="0"/>
        <w:autoSpaceDN w:val="0"/>
        <w:adjustRightInd w:val="0"/>
        <w:spacing w:after="0" w:line="360" w:lineRule="auto"/>
        <w:jc w:val="both"/>
        <w:rPr>
          <w:rFonts w:cstheme="minorHAnsi"/>
        </w:rPr>
      </w:pPr>
      <w:r>
        <w:rPr>
          <w:rFonts w:cstheme="minorHAnsi"/>
        </w:rPr>
        <w:t xml:space="preserve">Est français et </w:t>
      </w:r>
      <w:r w:rsidR="001D269A" w:rsidRPr="00460C55">
        <w:rPr>
          <w:rFonts w:cstheme="minorHAnsi"/>
        </w:rPr>
        <w:t xml:space="preserve">dirige l’unité </w:t>
      </w:r>
      <w:r w:rsidR="00F755B8" w:rsidRPr="00460C55">
        <w:rPr>
          <w:rFonts w:cstheme="minorHAnsi"/>
        </w:rPr>
        <w:t xml:space="preserve">B1 </w:t>
      </w:r>
      <w:r w:rsidR="00847A03">
        <w:rPr>
          <w:rFonts w:cstheme="minorHAnsi"/>
        </w:rPr>
        <w:t>« </w:t>
      </w:r>
      <w:r w:rsidR="00F755B8" w:rsidRPr="00460C55">
        <w:rPr>
          <w:rFonts w:cstheme="minorHAnsi"/>
        </w:rPr>
        <w:t>Réseaux de transports</w:t>
      </w:r>
      <w:r w:rsidR="001D269A" w:rsidRPr="00460C55">
        <w:rPr>
          <w:rFonts w:cstheme="minorHAnsi"/>
        </w:rPr>
        <w:t xml:space="preserve"> » de la</w:t>
      </w:r>
      <w:r w:rsidR="00F755B8" w:rsidRPr="00460C55">
        <w:rPr>
          <w:rFonts w:cstheme="minorHAnsi"/>
        </w:rPr>
        <w:t xml:space="preserve"> </w:t>
      </w:r>
      <w:r w:rsidR="001D269A" w:rsidRPr="00460C55">
        <w:rPr>
          <w:rFonts w:cstheme="minorHAnsi"/>
        </w:rPr>
        <w:t>Direction générale de</w:t>
      </w:r>
      <w:r w:rsidR="00F755B8" w:rsidRPr="00460C55">
        <w:rPr>
          <w:rFonts w:cstheme="minorHAnsi"/>
        </w:rPr>
        <w:t xml:space="preserve"> la mobilité et des transports (DG MOVE)</w:t>
      </w:r>
      <w:r w:rsidR="001D269A" w:rsidRPr="00460C55">
        <w:rPr>
          <w:rFonts w:cstheme="minorHAnsi"/>
        </w:rPr>
        <w:t xml:space="preserve">. </w:t>
      </w:r>
      <w:r w:rsidR="00F755B8" w:rsidRPr="00460C55">
        <w:rPr>
          <w:rFonts w:cstheme="minorHAnsi"/>
        </w:rPr>
        <w:t xml:space="preserve">Jean-Louis COLSON est diplômé de Sciences Po Paris et de HEC. Il a rejoint la Commission en 1985 et </w:t>
      </w:r>
      <w:r w:rsidR="000863A3" w:rsidRPr="00460C55">
        <w:rPr>
          <w:rFonts w:cstheme="minorHAnsi"/>
        </w:rPr>
        <w:t xml:space="preserve">a travaillé au sein de la DG Concurrence depuis 1988 </w:t>
      </w:r>
      <w:r>
        <w:rPr>
          <w:rFonts w:cstheme="minorHAnsi"/>
        </w:rPr>
        <w:t xml:space="preserve">en tant que chef d’unité </w:t>
      </w:r>
      <w:r w:rsidR="000863A3" w:rsidRPr="00460C55">
        <w:rPr>
          <w:rFonts w:cstheme="minorHAnsi"/>
        </w:rPr>
        <w:t xml:space="preserve">dans le domaine du contrôle </w:t>
      </w:r>
      <w:r w:rsidR="000863A3" w:rsidRPr="00AD030C">
        <w:rPr>
          <w:rFonts w:cstheme="minorHAnsi"/>
        </w:rPr>
        <w:t xml:space="preserve">des aides d’Etats. </w:t>
      </w:r>
      <w:r w:rsidRPr="00AD030C">
        <w:rPr>
          <w:rFonts w:cstheme="minorHAnsi"/>
        </w:rPr>
        <w:t>A</w:t>
      </w:r>
      <w:r>
        <w:rPr>
          <w:rFonts w:cstheme="minorHAnsi"/>
        </w:rPr>
        <w:t xml:space="preserve"> partir de février 2008, il intègre la </w:t>
      </w:r>
      <w:r w:rsidRPr="00AD030C">
        <w:rPr>
          <w:rFonts w:cstheme="minorHAnsi"/>
        </w:rPr>
        <w:t>Direction Générale de la Mobilité et des Transports en tant que chef d’unité. En particulier, e</w:t>
      </w:r>
      <w:r w:rsidR="000863A3" w:rsidRPr="00AD030C">
        <w:rPr>
          <w:rFonts w:cstheme="minorHAnsi"/>
        </w:rPr>
        <w:t xml:space="preserve">n 2016, il est nommé </w:t>
      </w:r>
      <w:r w:rsidR="000863A3" w:rsidRPr="00AD030C">
        <w:rPr>
          <w:rFonts w:cstheme="minorHAnsi"/>
          <w:shd w:val="clear" w:color="auto" w:fill="FFFFFF"/>
        </w:rPr>
        <w:t>chef d'unité "Aspects sociaux, droits des passagers et égalité des chances</w:t>
      </w:r>
      <w:r w:rsidR="00847A03">
        <w:rPr>
          <w:rFonts w:cstheme="minorHAnsi"/>
          <w:shd w:val="clear" w:color="auto" w:fill="FFFFFF"/>
        </w:rPr>
        <w:t> »</w:t>
      </w:r>
      <w:r w:rsidR="00D27EF4" w:rsidRPr="00AD030C">
        <w:rPr>
          <w:rFonts w:cstheme="minorHAnsi"/>
          <w:shd w:val="clear" w:color="auto" w:fill="FFFFFF"/>
        </w:rPr>
        <w:t xml:space="preserve"> au sein de la DG MOVE</w:t>
      </w:r>
      <w:r w:rsidR="00D27EF4" w:rsidRPr="00AD030C">
        <w:rPr>
          <w:rStyle w:val="Appelnotedebasdep"/>
          <w:rFonts w:cstheme="minorHAnsi"/>
          <w:shd w:val="clear" w:color="auto" w:fill="FFFFFF"/>
        </w:rPr>
        <w:footnoteReference w:id="17"/>
      </w:r>
      <w:r w:rsidRPr="00AD030C">
        <w:rPr>
          <w:rFonts w:cstheme="minorHAnsi"/>
          <w:shd w:val="clear" w:color="auto" w:fill="FFFFFF"/>
        </w:rPr>
        <w:t xml:space="preserve"> . Il prend ensuite la direction de</w:t>
      </w:r>
      <w:r w:rsidRPr="00AD030C">
        <w:rPr>
          <w:rFonts w:cstheme="minorHAnsi"/>
        </w:rPr>
        <w:t xml:space="preserve"> l’Unité « Réseaux de Transports » en mars 2017. </w:t>
      </w:r>
      <w:r w:rsidR="001D269A" w:rsidRPr="00460C55">
        <w:rPr>
          <w:rFonts w:cstheme="minorHAnsi"/>
        </w:rPr>
        <w:t>Sa position de chef d’unité lui procure une place importante dans l’élaboration et</w:t>
      </w:r>
      <w:r>
        <w:rPr>
          <w:rFonts w:cstheme="minorHAnsi"/>
        </w:rPr>
        <w:t xml:space="preserve"> </w:t>
      </w:r>
      <w:r w:rsidR="001D269A" w:rsidRPr="00460C55">
        <w:rPr>
          <w:rFonts w:cstheme="minorHAnsi"/>
        </w:rPr>
        <w:t>l’orientation de la proposition au sein de la Commission. En effet</w:t>
      </w:r>
      <w:r>
        <w:rPr>
          <w:rFonts w:cstheme="minorHAnsi"/>
        </w:rPr>
        <w:t>, étant déjà présent en 2018,</w:t>
      </w:r>
      <w:r w:rsidR="001D269A" w:rsidRPr="00460C55">
        <w:rPr>
          <w:rFonts w:cstheme="minorHAnsi"/>
        </w:rPr>
        <w:t xml:space="preserve"> </w:t>
      </w:r>
      <w:r w:rsidR="00460C55" w:rsidRPr="00460C55">
        <w:rPr>
          <w:rFonts w:cstheme="minorHAnsi"/>
        </w:rPr>
        <w:t>il</w:t>
      </w:r>
      <w:r>
        <w:rPr>
          <w:rFonts w:cstheme="minorHAnsi"/>
        </w:rPr>
        <w:t xml:space="preserve"> supervisé le travail qui a donné lieu à la proposition. </w:t>
      </w:r>
    </w:p>
    <w:p w14:paraId="5B88AD89" w14:textId="53CE1B25" w:rsidR="00D34500" w:rsidRPr="00AD030C" w:rsidRDefault="00D34500" w:rsidP="008E0382">
      <w:pPr>
        <w:spacing w:line="360" w:lineRule="auto"/>
        <w:jc w:val="both"/>
        <w:rPr>
          <w:rFonts w:cstheme="minorHAnsi"/>
          <w:b/>
          <w:bCs/>
        </w:rPr>
      </w:pPr>
      <w:r w:rsidRPr="00AD030C">
        <w:rPr>
          <w:rFonts w:cstheme="minorHAnsi"/>
          <w:b/>
          <w:bCs/>
        </w:rPr>
        <w:t>M. P</w:t>
      </w:r>
      <w:r w:rsidR="00AD030C">
        <w:rPr>
          <w:rFonts w:cstheme="minorHAnsi"/>
          <w:b/>
          <w:bCs/>
        </w:rPr>
        <w:t>hilippe</w:t>
      </w:r>
      <w:r w:rsidR="00AD030C" w:rsidRPr="00AD030C">
        <w:rPr>
          <w:rFonts w:cstheme="minorHAnsi"/>
          <w:b/>
          <w:bCs/>
        </w:rPr>
        <w:t xml:space="preserve"> CHANTRAINE</w:t>
      </w:r>
    </w:p>
    <w:p w14:paraId="0A58944B" w14:textId="0C3EC10B" w:rsidR="00E74C9C" w:rsidRDefault="00AD030C" w:rsidP="008E0382">
      <w:pPr>
        <w:spacing w:line="360" w:lineRule="auto"/>
        <w:jc w:val="both"/>
        <w:rPr>
          <w:rFonts w:cstheme="minorHAnsi"/>
        </w:rPr>
      </w:pPr>
      <w:r>
        <w:rPr>
          <w:rFonts w:cstheme="minorHAnsi"/>
        </w:rPr>
        <w:t xml:space="preserve">Adjoint de Jean-Louis COLSON, il a pris en charge le dossier et l’a particulièrement suivi. </w:t>
      </w:r>
      <w:r w:rsidR="00290703">
        <w:rPr>
          <w:rFonts w:cstheme="minorHAnsi"/>
        </w:rPr>
        <w:t xml:space="preserve">Il est à la DG MOVE depuis au moins </w:t>
      </w:r>
      <w:r w:rsidR="00F432EE">
        <w:rPr>
          <w:rFonts w:cstheme="minorHAnsi"/>
        </w:rPr>
        <w:t xml:space="preserve">depuis </w:t>
      </w:r>
      <w:r w:rsidR="00290703">
        <w:rPr>
          <w:rFonts w:cstheme="minorHAnsi"/>
        </w:rPr>
        <w:t>201</w:t>
      </w:r>
      <w:r w:rsidR="00F432EE">
        <w:rPr>
          <w:rFonts w:cstheme="minorHAnsi"/>
        </w:rPr>
        <w:t>2 au sein de l’unité B1</w:t>
      </w:r>
      <w:r w:rsidR="00F432EE">
        <w:rPr>
          <w:rStyle w:val="Appelnotedebasdep"/>
          <w:rFonts w:cstheme="minorHAnsi"/>
        </w:rPr>
        <w:footnoteReference w:id="18"/>
      </w:r>
      <w:r w:rsidR="00F432EE">
        <w:rPr>
          <w:rFonts w:cstheme="minorHAnsi"/>
        </w:rPr>
        <w:t xml:space="preserve">. En cela il a pu devenir un expert </w:t>
      </w:r>
      <w:r w:rsidR="004A1C9C">
        <w:rPr>
          <w:rFonts w:cstheme="minorHAnsi"/>
        </w:rPr>
        <w:t>d</w:t>
      </w:r>
      <w:r w:rsidR="00F432EE">
        <w:rPr>
          <w:rFonts w:cstheme="minorHAnsi"/>
        </w:rPr>
        <w:t>u RTE</w:t>
      </w:r>
      <w:r w:rsidR="00847A03">
        <w:rPr>
          <w:rFonts w:cstheme="minorHAnsi"/>
        </w:rPr>
        <w:t>-</w:t>
      </w:r>
      <w:r w:rsidR="00F432EE">
        <w:rPr>
          <w:rFonts w:cstheme="minorHAnsi"/>
        </w:rPr>
        <w:t>T, pour lequel a déjà fait l’objet d’auditio</w:t>
      </w:r>
      <w:r w:rsidR="004A1C9C">
        <w:rPr>
          <w:rFonts w:cstheme="minorHAnsi"/>
        </w:rPr>
        <w:t>n en 2012. Cela explique alors pourquoi il a été impliqué particulièrement sur le projet RTE-T</w:t>
      </w:r>
      <w:r w:rsidR="00F56969">
        <w:rPr>
          <w:rFonts w:cstheme="minorHAnsi"/>
        </w:rPr>
        <w:t xml:space="preserve"> depuis février 2019</w:t>
      </w:r>
      <w:r w:rsidR="004A1C9C">
        <w:rPr>
          <w:rFonts w:cstheme="minorHAnsi"/>
        </w:rPr>
        <w:t>.</w:t>
      </w:r>
    </w:p>
    <w:p w14:paraId="6BFDD842" w14:textId="344EEFF2" w:rsidR="00AD030C" w:rsidRPr="00E74C9C" w:rsidRDefault="00AD030C" w:rsidP="008E0382">
      <w:pPr>
        <w:spacing w:line="360" w:lineRule="auto"/>
        <w:jc w:val="both"/>
        <w:rPr>
          <w:rFonts w:cstheme="minorHAnsi"/>
        </w:rPr>
      </w:pPr>
      <w:r w:rsidRPr="00AD030C">
        <w:rPr>
          <w:rFonts w:cstheme="minorHAnsi"/>
          <w:b/>
          <w:bCs/>
        </w:rPr>
        <w:t>M</w:t>
      </w:r>
      <w:r w:rsidR="00985238">
        <w:rPr>
          <w:rFonts w:cstheme="minorHAnsi"/>
          <w:b/>
          <w:bCs/>
        </w:rPr>
        <w:t>.</w:t>
      </w:r>
      <w:r w:rsidRPr="00AD030C">
        <w:rPr>
          <w:rFonts w:cstheme="minorHAnsi"/>
          <w:b/>
          <w:bCs/>
        </w:rPr>
        <w:t xml:space="preserve"> Siamak JALALI</w:t>
      </w:r>
      <w:r w:rsidR="00523F48">
        <w:rPr>
          <w:rStyle w:val="Appelnotedebasdep"/>
          <w:rFonts w:cstheme="minorHAnsi"/>
          <w:b/>
          <w:bCs/>
        </w:rPr>
        <w:footnoteReference w:id="19"/>
      </w:r>
    </w:p>
    <w:p w14:paraId="55F27445" w14:textId="1DBF6841" w:rsidR="00ED558F" w:rsidRPr="00E12DD3" w:rsidRDefault="00AD030C" w:rsidP="00E12DD3">
      <w:pPr>
        <w:spacing w:line="360" w:lineRule="auto"/>
        <w:jc w:val="both"/>
        <w:rPr>
          <w:rFonts w:cstheme="minorHAnsi"/>
        </w:rPr>
      </w:pPr>
      <w:r w:rsidRPr="00523F48">
        <w:rPr>
          <w:rFonts w:cstheme="minorHAnsi"/>
        </w:rPr>
        <w:t xml:space="preserve">Est suédois, </w:t>
      </w:r>
      <w:r w:rsidR="00523F48" w:rsidRPr="00523F48">
        <w:rPr>
          <w:rFonts w:cstheme="minorHAnsi"/>
        </w:rPr>
        <w:t xml:space="preserve">et travaille en tant que </w:t>
      </w:r>
      <w:r w:rsidR="00523F48" w:rsidRPr="00847A03">
        <w:rPr>
          <w:rFonts w:cstheme="minorHAnsi"/>
          <w:i/>
          <w:iCs/>
        </w:rPr>
        <w:t>policy officer</w:t>
      </w:r>
      <w:r w:rsidR="00523F48" w:rsidRPr="00523F48">
        <w:rPr>
          <w:rFonts w:cstheme="minorHAnsi"/>
        </w:rPr>
        <w:t xml:space="preserve"> au sein de la DG MOVE, dans l’unité B1</w:t>
      </w:r>
      <w:r w:rsidR="00847A03">
        <w:rPr>
          <w:rFonts w:cstheme="minorHAnsi"/>
        </w:rPr>
        <w:t xml:space="preserve"> en tant qu’expert national détaché.</w:t>
      </w:r>
      <w:r w:rsidR="00523F48" w:rsidRPr="00523F48">
        <w:rPr>
          <w:rFonts w:cstheme="minorHAnsi"/>
        </w:rPr>
        <w:t xml:space="preserve"> Il suit le proposition de près aux côtés de Philippe Chantraine</w:t>
      </w:r>
      <w:r w:rsidR="00F56969">
        <w:rPr>
          <w:rFonts w:cstheme="minorHAnsi"/>
        </w:rPr>
        <w:t xml:space="preserve"> depuis avril/mai 2019</w:t>
      </w:r>
      <w:r w:rsidR="00523F48" w:rsidRPr="00523F48">
        <w:rPr>
          <w:rFonts w:cstheme="minorHAnsi"/>
        </w:rPr>
        <w:t>. Il est diplômé de l’université de Linköping en Suède avec un master en administration et business. Au cours de son cursus univer</w:t>
      </w:r>
      <w:r w:rsidR="00523F48">
        <w:rPr>
          <w:rFonts w:cstheme="minorHAnsi"/>
        </w:rPr>
        <w:t>si</w:t>
      </w:r>
      <w:r w:rsidR="00523F48" w:rsidRPr="00523F48">
        <w:rPr>
          <w:rFonts w:cstheme="minorHAnsi"/>
        </w:rPr>
        <w:t>taire et de ses stages, M</w:t>
      </w:r>
      <w:r w:rsidR="00847A03">
        <w:rPr>
          <w:rFonts w:cstheme="minorHAnsi"/>
        </w:rPr>
        <w:t>.</w:t>
      </w:r>
      <w:r w:rsidR="00523F48" w:rsidRPr="00523F48">
        <w:rPr>
          <w:rFonts w:cstheme="minorHAnsi"/>
        </w:rPr>
        <w:t xml:space="preserve"> JALALI s’est spécialisé sur la question des transports en travaillant en Suède au sein du ministère des transports suédois pendant </w:t>
      </w:r>
      <w:r w:rsidR="00847A03">
        <w:rPr>
          <w:rFonts w:cstheme="minorHAnsi"/>
        </w:rPr>
        <w:t xml:space="preserve">deux </w:t>
      </w:r>
      <w:r w:rsidR="00523F48" w:rsidRPr="00523F48">
        <w:rPr>
          <w:rFonts w:cstheme="minorHAnsi"/>
        </w:rPr>
        <w:t>ans et demi en tant que responsable du budget. Au niveau européen il a intégré l’EIM (</w:t>
      </w:r>
      <w:r w:rsidR="00523F48" w:rsidRPr="00847A03">
        <w:rPr>
          <w:rFonts w:cstheme="minorHAnsi"/>
          <w:i/>
          <w:iCs/>
        </w:rPr>
        <w:t xml:space="preserve">European rail </w:t>
      </w:r>
      <w:r w:rsidR="004A1C9C" w:rsidRPr="00847A03">
        <w:rPr>
          <w:rFonts w:cstheme="minorHAnsi"/>
          <w:i/>
          <w:iCs/>
        </w:rPr>
        <w:t>infrastructures</w:t>
      </w:r>
      <w:r w:rsidR="00523F48" w:rsidRPr="00847A03">
        <w:rPr>
          <w:rFonts w:cstheme="minorHAnsi"/>
          <w:i/>
          <w:iCs/>
        </w:rPr>
        <w:t xml:space="preserve"> managers</w:t>
      </w:r>
      <w:r w:rsidR="00523F48" w:rsidRPr="00523F48">
        <w:rPr>
          <w:rFonts w:cstheme="minorHAnsi"/>
        </w:rPr>
        <w:t xml:space="preserve">) à Bruxelles pendant un an. </w:t>
      </w:r>
    </w:p>
    <w:p w14:paraId="6C132A90" w14:textId="77777777" w:rsidR="00ED558F" w:rsidRDefault="00ED558F" w:rsidP="008E0382">
      <w:pPr>
        <w:autoSpaceDE w:val="0"/>
        <w:autoSpaceDN w:val="0"/>
        <w:adjustRightInd w:val="0"/>
        <w:spacing w:after="0" w:line="360" w:lineRule="auto"/>
        <w:jc w:val="both"/>
        <w:rPr>
          <w:rFonts w:cstheme="minorHAnsi"/>
          <w:b/>
          <w:bCs/>
        </w:rPr>
      </w:pPr>
    </w:p>
    <w:p w14:paraId="509A3BE6" w14:textId="779BEFE4" w:rsidR="00330925" w:rsidRPr="00460C55" w:rsidRDefault="00D34500" w:rsidP="008E0382">
      <w:pPr>
        <w:autoSpaceDE w:val="0"/>
        <w:autoSpaceDN w:val="0"/>
        <w:adjustRightInd w:val="0"/>
        <w:spacing w:after="0" w:line="360" w:lineRule="auto"/>
        <w:jc w:val="both"/>
        <w:rPr>
          <w:rFonts w:cstheme="minorHAnsi"/>
        </w:rPr>
      </w:pPr>
      <w:r w:rsidRPr="00AD030C">
        <w:rPr>
          <w:rFonts w:cstheme="minorHAnsi"/>
          <w:b/>
          <w:bCs/>
        </w:rPr>
        <w:t>M</w:t>
      </w:r>
      <w:r w:rsidR="00985238">
        <w:rPr>
          <w:rFonts w:cstheme="minorHAnsi"/>
          <w:b/>
          <w:bCs/>
        </w:rPr>
        <w:t>.</w:t>
      </w:r>
      <w:r w:rsidRPr="00AD030C">
        <w:rPr>
          <w:rFonts w:cstheme="minorHAnsi"/>
          <w:b/>
          <w:bCs/>
        </w:rPr>
        <w:t xml:space="preserve"> Dominique RIQUET</w:t>
      </w:r>
      <w:r w:rsidR="001D269A" w:rsidRPr="00460C55">
        <w:rPr>
          <w:rStyle w:val="Appelnotedebasdep"/>
          <w:rFonts w:cstheme="minorHAnsi"/>
        </w:rPr>
        <w:footnoteReference w:id="20"/>
      </w:r>
    </w:p>
    <w:p w14:paraId="6EE866A6" w14:textId="3D42E34A" w:rsidR="00D34500" w:rsidRPr="00460C55" w:rsidRDefault="00330925" w:rsidP="008E0382">
      <w:pPr>
        <w:autoSpaceDE w:val="0"/>
        <w:autoSpaceDN w:val="0"/>
        <w:adjustRightInd w:val="0"/>
        <w:spacing w:after="0" w:line="360" w:lineRule="auto"/>
        <w:jc w:val="both"/>
        <w:rPr>
          <w:rFonts w:cstheme="minorHAnsi"/>
        </w:rPr>
      </w:pPr>
      <w:r w:rsidRPr="00460C55">
        <w:rPr>
          <w:rFonts w:cstheme="minorHAnsi"/>
        </w:rPr>
        <w:t>D</w:t>
      </w:r>
      <w:r w:rsidR="00D34500" w:rsidRPr="00460C55">
        <w:rPr>
          <w:rFonts w:cstheme="minorHAnsi"/>
        </w:rPr>
        <w:t xml:space="preserve">éputé européen </w:t>
      </w:r>
      <w:r w:rsidRPr="00460C55">
        <w:rPr>
          <w:rFonts w:cstheme="minorHAnsi"/>
        </w:rPr>
        <w:t xml:space="preserve">français </w:t>
      </w:r>
      <w:r w:rsidR="00D34500" w:rsidRPr="00460C55">
        <w:rPr>
          <w:rFonts w:cstheme="minorHAnsi"/>
        </w:rPr>
        <w:t xml:space="preserve">du </w:t>
      </w:r>
      <w:r w:rsidRPr="00460C55">
        <w:rPr>
          <w:rFonts w:cstheme="minorHAnsi"/>
        </w:rPr>
        <w:t>partie du Groupe Renew Europe</w:t>
      </w:r>
      <w:r w:rsidR="00D34500" w:rsidRPr="00460C55">
        <w:rPr>
          <w:rFonts w:cstheme="minorHAnsi"/>
        </w:rPr>
        <w:t xml:space="preserve"> </w:t>
      </w:r>
      <w:r w:rsidRPr="00460C55">
        <w:rPr>
          <w:rFonts w:cstheme="minorHAnsi"/>
        </w:rPr>
        <w:t>au Parlement ( parti Mouvement Radical Social-Libéral en France</w:t>
      </w:r>
      <w:r w:rsidRPr="00ED558F">
        <w:rPr>
          <w:rFonts w:cstheme="minorHAnsi"/>
        </w:rPr>
        <w:t xml:space="preserve">) </w:t>
      </w:r>
      <w:r w:rsidR="00D34500" w:rsidRPr="00ED558F">
        <w:rPr>
          <w:rFonts w:cstheme="minorHAnsi"/>
        </w:rPr>
        <w:t>et membre de la Commission</w:t>
      </w:r>
      <w:r w:rsidRPr="00ED558F">
        <w:rPr>
          <w:rFonts w:cstheme="minorHAnsi"/>
        </w:rPr>
        <w:t xml:space="preserve"> </w:t>
      </w:r>
      <w:r w:rsidR="00ED558F" w:rsidRPr="00ED558F">
        <w:rPr>
          <w:rFonts w:cstheme="minorHAnsi"/>
        </w:rPr>
        <w:t>T</w:t>
      </w:r>
      <w:r w:rsidRPr="00ED558F">
        <w:rPr>
          <w:rFonts w:cstheme="minorHAnsi"/>
        </w:rPr>
        <w:t>ransport et tourisme</w:t>
      </w:r>
      <w:r w:rsidR="00D34500" w:rsidRPr="00ED558F">
        <w:rPr>
          <w:rFonts w:cstheme="minorHAnsi"/>
        </w:rPr>
        <w:t xml:space="preserve">, il </w:t>
      </w:r>
      <w:r w:rsidR="00C30F27" w:rsidRPr="00ED558F">
        <w:rPr>
          <w:rFonts w:cstheme="minorHAnsi"/>
        </w:rPr>
        <w:t xml:space="preserve">a été </w:t>
      </w:r>
      <w:r w:rsidR="00D34500" w:rsidRPr="00ED558F">
        <w:rPr>
          <w:rFonts w:cstheme="minorHAnsi"/>
        </w:rPr>
        <w:t>l</w:t>
      </w:r>
      <w:r w:rsidR="00C30F27" w:rsidRPr="00ED558F">
        <w:rPr>
          <w:rFonts w:cstheme="minorHAnsi"/>
        </w:rPr>
        <w:t xml:space="preserve">e </w:t>
      </w:r>
      <w:r w:rsidR="00D34500" w:rsidRPr="00ED558F">
        <w:rPr>
          <w:rFonts w:cstheme="minorHAnsi"/>
        </w:rPr>
        <w:t xml:space="preserve">rapporteur de la proposition de la Commission. </w:t>
      </w:r>
      <w:r w:rsidRPr="00ED558F">
        <w:rPr>
          <w:rFonts w:cstheme="minorHAnsi"/>
        </w:rPr>
        <w:t>Dominique R</w:t>
      </w:r>
      <w:r w:rsidR="00ED558F">
        <w:rPr>
          <w:rFonts w:cstheme="minorHAnsi"/>
        </w:rPr>
        <w:t>IQUET</w:t>
      </w:r>
      <w:r w:rsidRPr="00ED558F">
        <w:rPr>
          <w:rFonts w:cstheme="minorHAnsi"/>
        </w:rPr>
        <w:t xml:space="preserve"> est chirurgien de formation (Lille). Il se lance en politique, d’abord au niveau local en devenant maire de Valenciennes (Nord) entre 2002 et 2012 ainsi qu’en tant que conseiller régional du Nord-Pas-de-Calais entre 1992 et 2009. </w:t>
      </w:r>
      <w:r w:rsidRPr="00460C55">
        <w:rPr>
          <w:rFonts w:cstheme="minorHAnsi"/>
        </w:rPr>
        <w:t xml:space="preserve">Il accède à la fonction de député européen en 2009 en tant que </w:t>
      </w:r>
      <w:r w:rsidR="00D40A95" w:rsidRPr="00460C55">
        <w:rPr>
          <w:rFonts w:cstheme="minorHAnsi"/>
        </w:rPr>
        <w:t>représentant</w:t>
      </w:r>
      <w:r w:rsidRPr="00460C55">
        <w:rPr>
          <w:rFonts w:cstheme="minorHAnsi"/>
        </w:rPr>
        <w:t xml:space="preserve"> de la </w:t>
      </w:r>
      <w:r w:rsidR="00D40A95" w:rsidRPr="00460C55">
        <w:rPr>
          <w:rFonts w:cstheme="minorHAnsi"/>
        </w:rPr>
        <w:t>circonscription</w:t>
      </w:r>
      <w:r w:rsidRPr="00460C55">
        <w:rPr>
          <w:rFonts w:cstheme="minorHAnsi"/>
        </w:rPr>
        <w:t xml:space="preserve"> Nord-Ouest. </w:t>
      </w:r>
    </w:p>
    <w:p w14:paraId="1947C1EF" w14:textId="5E808B73" w:rsidR="00B51EC5" w:rsidRDefault="00D34500" w:rsidP="002218A8">
      <w:pPr>
        <w:autoSpaceDE w:val="0"/>
        <w:autoSpaceDN w:val="0"/>
        <w:adjustRightInd w:val="0"/>
        <w:spacing w:after="0" w:line="360" w:lineRule="auto"/>
        <w:jc w:val="both"/>
        <w:rPr>
          <w:rFonts w:cstheme="minorHAnsi"/>
        </w:rPr>
      </w:pPr>
      <w:r w:rsidRPr="00460C55">
        <w:rPr>
          <w:rFonts w:cstheme="minorHAnsi"/>
        </w:rPr>
        <w:t xml:space="preserve">La position que lui confère la mission de rapporteur </w:t>
      </w:r>
      <w:r w:rsidR="00C30F27" w:rsidRPr="00460C55">
        <w:rPr>
          <w:rFonts w:cstheme="minorHAnsi"/>
        </w:rPr>
        <w:t>semble résulter d’une expertise longue sur le sujet, Dominique R</w:t>
      </w:r>
      <w:r w:rsidR="00ED558F">
        <w:rPr>
          <w:rFonts w:cstheme="minorHAnsi"/>
        </w:rPr>
        <w:t>IQUET</w:t>
      </w:r>
      <w:r w:rsidR="00C30F27" w:rsidRPr="00460C55">
        <w:rPr>
          <w:rFonts w:cstheme="minorHAnsi"/>
        </w:rPr>
        <w:t xml:space="preserve"> ayant été vice-président de la commission </w:t>
      </w:r>
      <w:r w:rsidR="00D40A95" w:rsidRPr="00460C55">
        <w:rPr>
          <w:rFonts w:cstheme="minorHAnsi"/>
        </w:rPr>
        <w:t>transport</w:t>
      </w:r>
      <w:r w:rsidR="00C30F27" w:rsidRPr="00460C55">
        <w:rPr>
          <w:rFonts w:cstheme="minorHAnsi"/>
        </w:rPr>
        <w:t xml:space="preserve"> et tourisme depuis 2009 et ayant travaillé sur </w:t>
      </w:r>
      <w:r w:rsidR="00C30F27" w:rsidRPr="00460C55">
        <w:rPr>
          <w:rFonts w:cstheme="minorHAnsi"/>
          <w:color w:val="222222"/>
          <w:shd w:val="clear" w:color="auto" w:fill="FFFFFF"/>
        </w:rPr>
        <w:t>l’élaboration du quatrième paquet ferroviaire et du plan de financement du canal Seine-Nord Europe.</w:t>
      </w:r>
      <w:r w:rsidR="008E0382">
        <w:rPr>
          <w:rFonts w:cstheme="minorHAnsi"/>
          <w:color w:val="222222"/>
          <w:shd w:val="clear" w:color="auto" w:fill="FFFFFF"/>
        </w:rPr>
        <w:t xml:space="preserve"> </w:t>
      </w:r>
      <w:r w:rsidR="00D40A95" w:rsidRPr="00460C55">
        <w:rPr>
          <w:rFonts w:cstheme="minorHAnsi"/>
          <w:color w:val="222222"/>
          <w:shd w:val="clear" w:color="auto" w:fill="FFFFFF"/>
        </w:rPr>
        <w:t xml:space="preserve">Avoir la position de rapporteur confère à </w:t>
      </w:r>
      <w:r w:rsidR="00ED558F">
        <w:rPr>
          <w:rFonts w:cstheme="minorHAnsi"/>
          <w:color w:val="222222"/>
          <w:shd w:val="clear" w:color="auto" w:fill="FFFFFF"/>
        </w:rPr>
        <w:t xml:space="preserve">M. </w:t>
      </w:r>
      <w:r w:rsidR="00D40A95" w:rsidRPr="00460C55">
        <w:rPr>
          <w:rFonts w:cstheme="minorHAnsi"/>
          <w:color w:val="222222"/>
          <w:shd w:val="clear" w:color="auto" w:fill="FFFFFF"/>
        </w:rPr>
        <w:t>R</w:t>
      </w:r>
      <w:r w:rsidR="00ED558F">
        <w:rPr>
          <w:rFonts w:cstheme="minorHAnsi"/>
          <w:color w:val="222222"/>
          <w:shd w:val="clear" w:color="auto" w:fill="FFFFFF"/>
        </w:rPr>
        <w:t>IQUET</w:t>
      </w:r>
      <w:r w:rsidR="00D40A95" w:rsidRPr="00460C55">
        <w:rPr>
          <w:rFonts w:cstheme="minorHAnsi"/>
          <w:color w:val="222222"/>
          <w:shd w:val="clear" w:color="auto" w:fill="FFFFFF"/>
        </w:rPr>
        <w:t xml:space="preserve"> le rôle de pilote de la proposition </w:t>
      </w:r>
      <w:r w:rsidR="00D40A95" w:rsidRPr="00460C55">
        <w:rPr>
          <w:rFonts w:cstheme="minorHAnsi"/>
        </w:rPr>
        <w:t>au</w:t>
      </w:r>
      <w:r w:rsidR="004A1C9C">
        <w:rPr>
          <w:rFonts w:cstheme="minorHAnsi"/>
        </w:rPr>
        <w:t xml:space="preserve"> </w:t>
      </w:r>
      <w:r w:rsidRPr="00460C55">
        <w:rPr>
          <w:rFonts w:cstheme="minorHAnsi"/>
        </w:rPr>
        <w:t>Parlement européen. C’est lui qui entendra les différentes parties intéressées et qui sera à</w:t>
      </w:r>
      <w:r w:rsidR="004A1C9C">
        <w:rPr>
          <w:rFonts w:cstheme="minorHAnsi"/>
        </w:rPr>
        <w:t xml:space="preserve"> </w:t>
      </w:r>
      <w:r w:rsidRPr="00460C55">
        <w:rPr>
          <w:rFonts w:cstheme="minorHAnsi"/>
        </w:rPr>
        <w:t>même de modifier les propositions de la Commission, avec dans une moindre mesure les</w:t>
      </w:r>
      <w:r w:rsidR="004A1C9C">
        <w:rPr>
          <w:rFonts w:cstheme="minorHAnsi"/>
        </w:rPr>
        <w:t xml:space="preserve"> </w:t>
      </w:r>
      <w:r w:rsidRPr="00460C55">
        <w:rPr>
          <w:rFonts w:cstheme="minorHAnsi"/>
        </w:rPr>
        <w:t>rapporteurs fictifs.</w:t>
      </w:r>
    </w:p>
    <w:p w14:paraId="0472AD6C" w14:textId="77777777" w:rsidR="0056169D" w:rsidRPr="002218A8" w:rsidRDefault="0056169D" w:rsidP="002218A8">
      <w:pPr>
        <w:autoSpaceDE w:val="0"/>
        <w:autoSpaceDN w:val="0"/>
        <w:adjustRightInd w:val="0"/>
        <w:spacing w:after="0" w:line="360" w:lineRule="auto"/>
        <w:jc w:val="both"/>
        <w:rPr>
          <w:rFonts w:cstheme="minorHAnsi"/>
          <w:color w:val="222222"/>
          <w:shd w:val="clear" w:color="auto" w:fill="FFFFFF"/>
        </w:rPr>
      </w:pPr>
    </w:p>
    <w:p w14:paraId="3EB17F02" w14:textId="2611EC3F" w:rsidR="008A0507" w:rsidRDefault="008A0507" w:rsidP="008E0382">
      <w:pPr>
        <w:pStyle w:val="Titre2"/>
        <w:spacing w:line="360" w:lineRule="auto"/>
        <w:rPr>
          <w:rStyle w:val="Lienhypertexte"/>
          <w:color w:val="00B050"/>
          <w:u w:val="none"/>
        </w:rPr>
      </w:pPr>
      <w:r w:rsidRPr="008A0507">
        <w:rPr>
          <w:rStyle w:val="Lienhypertexte"/>
          <w:color w:val="00B050"/>
          <w:u w:val="none"/>
        </w:rPr>
        <w:t>III Rapport</w:t>
      </w:r>
      <w:r w:rsidR="002218A8">
        <w:rPr>
          <w:rStyle w:val="Lienhypertexte"/>
          <w:color w:val="00B050"/>
          <w:u w:val="none"/>
        </w:rPr>
        <w:t>s</w:t>
      </w:r>
      <w:r w:rsidRPr="008A0507">
        <w:rPr>
          <w:rStyle w:val="Lienhypertexte"/>
          <w:color w:val="00B050"/>
          <w:u w:val="none"/>
        </w:rPr>
        <w:t xml:space="preserve"> de force et stratégie</w:t>
      </w:r>
    </w:p>
    <w:p w14:paraId="6BBC7DE8" w14:textId="3937150F" w:rsidR="003F43DB" w:rsidRDefault="003F43DB" w:rsidP="008E0382">
      <w:pPr>
        <w:spacing w:line="360" w:lineRule="auto"/>
      </w:pPr>
    </w:p>
    <w:p w14:paraId="6B650528" w14:textId="77777777" w:rsidR="003F43DB" w:rsidRPr="00C03AAA" w:rsidRDefault="003F43DB" w:rsidP="008E0382">
      <w:pPr>
        <w:spacing w:line="360" w:lineRule="auto"/>
        <w:jc w:val="both"/>
        <w:rPr>
          <w:rFonts w:cstheme="minorHAnsi"/>
        </w:rPr>
      </w:pPr>
      <w:r w:rsidRPr="00C03AAA">
        <w:rPr>
          <w:rFonts w:cstheme="minorHAnsi"/>
        </w:rPr>
        <w:t>Les stratégies et luttes institutionnelles</w:t>
      </w:r>
    </w:p>
    <w:p w14:paraId="38C271BB" w14:textId="3E39DB12" w:rsidR="003F43DB" w:rsidRPr="00C03AAA" w:rsidRDefault="003F43DB" w:rsidP="008E0382">
      <w:pPr>
        <w:spacing w:line="360" w:lineRule="auto"/>
        <w:jc w:val="both"/>
        <w:rPr>
          <w:rFonts w:cstheme="minorHAnsi"/>
        </w:rPr>
      </w:pPr>
      <w:r w:rsidRPr="00C03AAA">
        <w:rPr>
          <w:rFonts w:cstheme="minorHAnsi"/>
          <w:b/>
          <w:bCs/>
        </w:rPr>
        <w:t>Le Conseil et le Parlement européen</w:t>
      </w:r>
      <w:r w:rsidRPr="00C03AAA">
        <w:rPr>
          <w:rFonts w:cstheme="minorHAnsi"/>
        </w:rPr>
        <w:t xml:space="preserve"> sont les deux institutions fortes dans cette procédure en tant que colégislateur, ils ont la faculté d’amender la proposition de la Commission</w:t>
      </w:r>
      <w:r w:rsidR="002218A8">
        <w:rPr>
          <w:rFonts w:cstheme="minorHAnsi"/>
        </w:rPr>
        <w:t xml:space="preserve"> bien que celle-ci ait l’initiative législative</w:t>
      </w:r>
      <w:r w:rsidRPr="00C03AAA">
        <w:rPr>
          <w:rFonts w:cstheme="minorHAnsi"/>
        </w:rPr>
        <w:t xml:space="preserve">. </w:t>
      </w:r>
    </w:p>
    <w:p w14:paraId="5A868C0E" w14:textId="273ABE63" w:rsidR="003F43DB" w:rsidRPr="00C03AAA" w:rsidRDefault="003F43DB" w:rsidP="008E0382">
      <w:pPr>
        <w:spacing w:line="360" w:lineRule="auto"/>
        <w:jc w:val="both"/>
        <w:rPr>
          <w:rFonts w:cstheme="minorHAnsi"/>
        </w:rPr>
      </w:pPr>
      <w:r w:rsidRPr="00C03AAA">
        <w:rPr>
          <w:rFonts w:cstheme="minorHAnsi"/>
          <w:b/>
          <w:bCs/>
        </w:rPr>
        <w:t>La Commission</w:t>
      </w:r>
      <w:r w:rsidRPr="00C03AAA">
        <w:rPr>
          <w:rFonts w:cstheme="minorHAnsi"/>
        </w:rPr>
        <w:t xml:space="preserve"> par le biais de Jean-Louis C</w:t>
      </w:r>
      <w:r w:rsidR="000D5A80">
        <w:rPr>
          <w:rFonts w:cstheme="minorHAnsi"/>
        </w:rPr>
        <w:t>OLSON</w:t>
      </w:r>
      <w:r w:rsidRPr="00C03AAA">
        <w:rPr>
          <w:rFonts w:cstheme="minorHAnsi"/>
        </w:rPr>
        <w:t>, Philippe C</w:t>
      </w:r>
      <w:r w:rsidR="000D5A80">
        <w:rPr>
          <w:rFonts w:cstheme="minorHAnsi"/>
        </w:rPr>
        <w:t>HANTRAINE</w:t>
      </w:r>
      <w:r w:rsidRPr="00C03AAA">
        <w:rPr>
          <w:rFonts w:cstheme="minorHAnsi"/>
        </w:rPr>
        <w:t xml:space="preserve"> et Siamak J</w:t>
      </w:r>
      <w:r w:rsidR="000D5A80">
        <w:rPr>
          <w:rFonts w:cstheme="minorHAnsi"/>
        </w:rPr>
        <w:t>ALALI</w:t>
      </w:r>
      <w:r w:rsidRPr="00C03AAA">
        <w:rPr>
          <w:rFonts w:cstheme="minorHAnsi"/>
        </w:rPr>
        <w:t xml:space="preserve"> adopte un point de vue </w:t>
      </w:r>
      <w:r w:rsidR="00A22B9A" w:rsidRPr="00C03AAA">
        <w:rPr>
          <w:rFonts w:cstheme="minorHAnsi"/>
        </w:rPr>
        <w:t>très favorable à l’harmonisation des pratiques administratives et juridiques en vue de pouvoir faire avancer rapidement les projets du RTE-T en mettant en avant la mise en place d’un guichet unique dans chaque Etat-membre</w:t>
      </w:r>
      <w:r w:rsidRPr="00C03AAA">
        <w:rPr>
          <w:rFonts w:cstheme="minorHAnsi"/>
        </w:rPr>
        <w:t>.</w:t>
      </w:r>
      <w:r w:rsidR="00A22B9A" w:rsidRPr="00C03AAA">
        <w:rPr>
          <w:rFonts w:cstheme="minorHAnsi"/>
        </w:rPr>
        <w:t xml:space="preserve"> </w:t>
      </w:r>
      <w:r w:rsidR="00A22B9A" w:rsidRPr="00345A15">
        <w:rPr>
          <w:rFonts w:cstheme="minorHAnsi"/>
        </w:rPr>
        <w:t>Elle met en avant les effets positifs qu’engendrera  un tel processus s</w:t>
      </w:r>
      <w:r w:rsidR="00BD69C1">
        <w:rPr>
          <w:rFonts w:cstheme="minorHAnsi"/>
        </w:rPr>
        <w:t>u</w:t>
      </w:r>
      <w:r w:rsidR="00A22B9A" w:rsidRPr="00345A15">
        <w:rPr>
          <w:rFonts w:cstheme="minorHAnsi"/>
        </w:rPr>
        <w:t xml:space="preserve">r le marché intérieur. En outre, il </w:t>
      </w:r>
      <w:r w:rsidR="008574D1" w:rsidRPr="00345A15">
        <w:rPr>
          <w:rFonts w:cstheme="minorHAnsi"/>
        </w:rPr>
        <w:t>s</w:t>
      </w:r>
      <w:r w:rsidR="00A22B9A" w:rsidRPr="00345A15">
        <w:rPr>
          <w:rFonts w:cstheme="minorHAnsi"/>
        </w:rPr>
        <w:t>’inscrira dans les objectifs de développement durable et de protection du climat.</w:t>
      </w:r>
      <w:r w:rsidRPr="00345A15">
        <w:rPr>
          <w:rFonts w:cstheme="minorHAnsi"/>
        </w:rPr>
        <w:t xml:space="preserve"> </w:t>
      </w:r>
    </w:p>
    <w:p w14:paraId="037C22FE" w14:textId="3E73B844" w:rsidR="00DE0205" w:rsidRDefault="003F43DB" w:rsidP="00DE0205">
      <w:pPr>
        <w:spacing w:line="360" w:lineRule="auto"/>
        <w:jc w:val="both"/>
        <w:rPr>
          <w:rFonts w:cstheme="minorHAnsi"/>
        </w:rPr>
      </w:pPr>
      <w:r w:rsidRPr="00C03AAA">
        <w:rPr>
          <w:rFonts w:cstheme="minorHAnsi"/>
          <w:b/>
          <w:bCs/>
        </w:rPr>
        <w:t>Le Parlement</w:t>
      </w:r>
      <w:r w:rsidRPr="00C03AAA">
        <w:rPr>
          <w:rFonts w:cstheme="minorHAnsi"/>
        </w:rPr>
        <w:t xml:space="preserve"> est en faveur de la </w:t>
      </w:r>
      <w:r w:rsidR="001679A8">
        <w:rPr>
          <w:rFonts w:cstheme="minorHAnsi"/>
        </w:rPr>
        <w:t>proposition de la commission</w:t>
      </w:r>
      <w:r w:rsidRPr="00C03AAA">
        <w:rPr>
          <w:rFonts w:cstheme="minorHAnsi"/>
        </w:rPr>
        <w:t xml:space="preserve"> dans son ensemble et sur les principaux objectifs de </w:t>
      </w:r>
      <w:r w:rsidR="002818D9" w:rsidRPr="00C03AAA">
        <w:rPr>
          <w:rFonts w:cstheme="minorHAnsi"/>
        </w:rPr>
        <w:t>mise en place d’un guichet unique en vue de rationnaliser le RTE-T</w:t>
      </w:r>
      <w:r w:rsidRPr="00C03AAA">
        <w:rPr>
          <w:rFonts w:cstheme="minorHAnsi"/>
        </w:rPr>
        <w:t xml:space="preserve">. </w:t>
      </w:r>
      <w:r w:rsidR="001679A8">
        <w:rPr>
          <w:rFonts w:cstheme="minorHAnsi"/>
        </w:rPr>
        <w:t xml:space="preserve">Ainsi, Dominique RIQUET approuve les délais clairs proposés pour chaque étape de la procédure de délivrance des permis. Cependant il souhaite arriver à un texte plus contraignant en réduisant l’ensemble de la procédure à moins de trois ans </w:t>
      </w:r>
      <w:r w:rsidR="001679A8" w:rsidRPr="00C03AAA">
        <w:rPr>
          <w:rFonts w:cstheme="minorHAnsi"/>
        </w:rPr>
        <w:t xml:space="preserve">afin de </w:t>
      </w:r>
      <w:r w:rsidR="001679A8">
        <w:rPr>
          <w:rFonts w:cstheme="minorHAnsi"/>
        </w:rPr>
        <w:t xml:space="preserve">faire </w:t>
      </w:r>
      <w:r w:rsidR="001679A8" w:rsidRPr="00C03AAA">
        <w:rPr>
          <w:rFonts w:cstheme="minorHAnsi"/>
        </w:rPr>
        <w:t>respecter les échéances de réalisation du réseau prioritaire et global</w:t>
      </w:r>
      <w:r w:rsidR="001679A8">
        <w:rPr>
          <w:rFonts w:cstheme="minorHAnsi"/>
        </w:rPr>
        <w:t xml:space="preserve">. </w:t>
      </w:r>
      <w:r w:rsidR="001679A8" w:rsidRPr="001679A8">
        <w:rPr>
          <w:rFonts w:cstheme="minorHAnsi"/>
        </w:rPr>
        <w:t xml:space="preserve">D'autres changements concerneraient la possibilité, pour un État membre, de déléguer la compétence (d'une autorité compétente unique) à un niveau plus approprié, pour autant que le principe du "guichet unique" soit respecté. </w:t>
      </w:r>
      <w:r w:rsidR="001679A8">
        <w:rPr>
          <w:rFonts w:cstheme="minorHAnsi"/>
        </w:rPr>
        <w:t>Enfi</w:t>
      </w:r>
      <w:r w:rsidR="00C21459">
        <w:rPr>
          <w:rFonts w:cstheme="minorHAnsi"/>
        </w:rPr>
        <w:t>n</w:t>
      </w:r>
      <w:r w:rsidR="001679A8">
        <w:rPr>
          <w:rFonts w:cstheme="minorHAnsi"/>
        </w:rPr>
        <w:t>, l</w:t>
      </w:r>
      <w:r w:rsidR="001679A8" w:rsidRPr="001679A8">
        <w:rPr>
          <w:rFonts w:cstheme="minorHAnsi"/>
        </w:rPr>
        <w:t>e rapporteur a introduit une nouvelle disposition qui ferait du respect des délais l'un des critères de sélection des projets sollicitant un financement au titre du mécanisme Connecting Europe Facility (CEF).</w:t>
      </w:r>
      <w:r w:rsidR="001679A8">
        <w:rPr>
          <w:rFonts w:cstheme="minorHAnsi"/>
        </w:rPr>
        <w:t xml:space="preserve"> </w:t>
      </w:r>
    </w:p>
    <w:p w14:paraId="7870CCBC" w14:textId="1A6B45CE" w:rsidR="0056169D" w:rsidRDefault="0056169D" w:rsidP="00DE0205">
      <w:pPr>
        <w:spacing w:line="360" w:lineRule="auto"/>
        <w:jc w:val="both"/>
        <w:rPr>
          <w:rFonts w:cstheme="minorHAnsi"/>
        </w:rPr>
      </w:pPr>
    </w:p>
    <w:p w14:paraId="2061ACE8" w14:textId="77777777" w:rsidR="0056169D" w:rsidRDefault="0056169D" w:rsidP="00DE0205">
      <w:pPr>
        <w:spacing w:line="360" w:lineRule="auto"/>
        <w:jc w:val="both"/>
        <w:rPr>
          <w:rFonts w:cstheme="minorHAnsi"/>
        </w:rPr>
      </w:pPr>
    </w:p>
    <w:p w14:paraId="5DC1DD81" w14:textId="69EDD51D" w:rsidR="007A21FD" w:rsidRPr="00DE0205" w:rsidRDefault="00DE0205" w:rsidP="008E0382">
      <w:pPr>
        <w:spacing w:line="360" w:lineRule="auto"/>
        <w:jc w:val="both"/>
        <w:rPr>
          <w:rFonts w:cstheme="minorHAnsi"/>
          <w:b/>
          <w:bCs/>
        </w:rPr>
      </w:pPr>
      <w:r>
        <w:rPr>
          <w:rFonts w:cstheme="minorHAnsi"/>
          <w:b/>
          <w:bCs/>
        </w:rPr>
        <w:t xml:space="preserve">Le </w:t>
      </w:r>
      <w:r w:rsidR="007A21FD" w:rsidRPr="00DE0205">
        <w:rPr>
          <w:rFonts w:cstheme="minorHAnsi"/>
          <w:b/>
          <w:bCs/>
        </w:rPr>
        <w:t xml:space="preserve">Conseil </w:t>
      </w:r>
    </w:p>
    <w:p w14:paraId="212A9124" w14:textId="77777777" w:rsidR="00DE0205" w:rsidRDefault="001679A8" w:rsidP="001679A8">
      <w:pPr>
        <w:spacing w:line="360" w:lineRule="auto"/>
        <w:jc w:val="both"/>
        <w:rPr>
          <w:rFonts w:cstheme="minorHAnsi"/>
        </w:rPr>
      </w:pPr>
      <w:r>
        <w:rPr>
          <w:rFonts w:cstheme="minorHAnsi"/>
        </w:rPr>
        <w:t>A</w:t>
      </w:r>
      <w:r w:rsidRPr="001679A8">
        <w:rPr>
          <w:rFonts w:cstheme="minorHAnsi"/>
        </w:rPr>
        <w:t xml:space="preserve">u cours des discussions qui ont eu lieu au sein du groupe "Transports", les États membres se sont félicités de l'objectif de la proposition, mais certains ont souligné que les mesures proposées ne contribuaient pas suffisamment à la réalisation de l'objectif principal de la proposition et pourraient même en ralentir davantage les progrès. </w:t>
      </w:r>
    </w:p>
    <w:p w14:paraId="7E18F0E4" w14:textId="77555F01" w:rsidR="001679A8" w:rsidRPr="001679A8" w:rsidRDefault="001679A8" w:rsidP="001679A8">
      <w:pPr>
        <w:spacing w:line="360" w:lineRule="auto"/>
        <w:jc w:val="both"/>
        <w:rPr>
          <w:rFonts w:cstheme="minorHAnsi"/>
        </w:rPr>
      </w:pPr>
      <w:r w:rsidRPr="001679A8">
        <w:rPr>
          <w:rFonts w:cstheme="minorHAnsi"/>
        </w:rPr>
        <w:t xml:space="preserve">Certains se sont interrogés sur la manière dont une autorité compétente unique au niveau national chargée des procédures d'octroi de permis devait être mise en œuvre dans la pratique et sur l'impact qu'elle aurait sur les autorités locales et régionales en termes de financement et de charge de travail. Certains ont mis en doute la forme juridique choisie (un règlement), d'autres la compatibilité de la proposition avec le principe de subsidiarité </w:t>
      </w:r>
      <w:r w:rsidR="00DE0205">
        <w:rPr>
          <w:rFonts w:cstheme="minorHAnsi"/>
        </w:rPr>
        <w:t xml:space="preserve">et de proportionnalité </w:t>
      </w:r>
      <w:r w:rsidRPr="001679A8">
        <w:rPr>
          <w:rFonts w:cstheme="minorHAnsi"/>
        </w:rPr>
        <w:t>et ont averti que les procédures de planification intégrée et d'octroi de permis proposées pourraient être contre-productives. La présidence a proposé un compromis permettant aux autorités existantes au niveau administratif approprié de devenir une autorité compétente unique. Le Conseil a publié un rapport sur l'état des travaux le 16 novembre 2018. Toutefois, le Conseil Transports du 3 décembre 2018 a confirmé qu'un certain nombre d'aspects de la proposition doivent encore être traités avant qu'un accord ne devienne possible.</w:t>
      </w:r>
    </w:p>
    <w:p w14:paraId="3A44E67D" w14:textId="77777777" w:rsidR="00DE0205" w:rsidRDefault="00DE0205" w:rsidP="00E12DD3">
      <w:pPr>
        <w:spacing w:line="360" w:lineRule="auto"/>
        <w:jc w:val="both"/>
        <w:rPr>
          <w:b/>
          <w:bCs/>
        </w:rPr>
      </w:pPr>
    </w:p>
    <w:p w14:paraId="77EEF59D" w14:textId="53D1FF88" w:rsidR="00E12DD3" w:rsidRPr="00DE0205" w:rsidRDefault="00DE0205" w:rsidP="00E12DD3">
      <w:pPr>
        <w:spacing w:line="360" w:lineRule="auto"/>
        <w:jc w:val="both"/>
        <w:rPr>
          <w:b/>
          <w:bCs/>
        </w:rPr>
      </w:pPr>
      <w:r w:rsidRPr="00DE0205">
        <w:rPr>
          <w:b/>
          <w:bCs/>
        </w:rPr>
        <w:t>Autorités locales, gouvernementales</w:t>
      </w:r>
    </w:p>
    <w:p w14:paraId="4309E7BC" w14:textId="7EBFF38C" w:rsidR="00E12DD3" w:rsidRPr="00E12DD3" w:rsidRDefault="00E12DD3" w:rsidP="00E12DD3">
      <w:pPr>
        <w:autoSpaceDE w:val="0"/>
        <w:autoSpaceDN w:val="0"/>
        <w:adjustRightInd w:val="0"/>
        <w:spacing w:after="0" w:line="360" w:lineRule="auto"/>
        <w:jc w:val="both"/>
        <w:rPr>
          <w:rFonts w:cstheme="minorHAnsi"/>
        </w:rPr>
      </w:pPr>
      <w:r w:rsidRPr="00E12DD3">
        <w:rPr>
          <w:rFonts w:cstheme="minorHAnsi"/>
        </w:rPr>
        <w:t>Globalement, les gouvernements nationaux et régionaux sont réservés quant à l’idée de voir les guichet</w:t>
      </w:r>
      <w:r w:rsidR="00DA5CEC">
        <w:rPr>
          <w:rFonts w:cstheme="minorHAnsi"/>
        </w:rPr>
        <w:t>s</w:t>
      </w:r>
      <w:r w:rsidRPr="00E12DD3">
        <w:rPr>
          <w:rFonts w:cstheme="minorHAnsi"/>
        </w:rPr>
        <w:t xml:space="preserve"> uniques avoir du pouvoir. Un grand nombre de représentants nationaux </w:t>
      </w:r>
      <w:r w:rsidR="00DA5CEC">
        <w:rPr>
          <w:rFonts w:cstheme="minorHAnsi"/>
        </w:rPr>
        <w:t>ont</w:t>
      </w:r>
      <w:r w:rsidRPr="00E12DD3">
        <w:rPr>
          <w:rFonts w:cstheme="minorHAnsi"/>
        </w:rPr>
        <w:t xml:space="preserve"> déclaré que les guichets uniques ne devraient avoir que des pouvoirs de coordination. De même la mise en place de règle</w:t>
      </w:r>
      <w:r w:rsidR="00DA5CEC">
        <w:rPr>
          <w:rFonts w:cstheme="minorHAnsi"/>
        </w:rPr>
        <w:t>s</w:t>
      </w:r>
      <w:r w:rsidRPr="00E12DD3">
        <w:rPr>
          <w:rFonts w:cstheme="minorHAnsi"/>
        </w:rPr>
        <w:t xml:space="preserve"> communes au niveau de l’UE relative aux projets transfrontière</w:t>
      </w:r>
      <w:r w:rsidR="00DA5CEC">
        <w:rPr>
          <w:rFonts w:cstheme="minorHAnsi"/>
        </w:rPr>
        <w:t>s</w:t>
      </w:r>
      <w:r w:rsidRPr="00E12DD3">
        <w:rPr>
          <w:rFonts w:cstheme="minorHAnsi"/>
        </w:rPr>
        <w:t xml:space="preserve"> devrait être uniquement appliqué</w:t>
      </w:r>
      <w:r w:rsidR="00DA5CEC">
        <w:rPr>
          <w:rFonts w:cstheme="minorHAnsi"/>
        </w:rPr>
        <w:t>e</w:t>
      </w:r>
      <w:r w:rsidRPr="00E12DD3">
        <w:rPr>
          <w:rFonts w:cstheme="minorHAnsi"/>
        </w:rPr>
        <w:t xml:space="preserve"> à des projets transfrontières bénéficiant de financements européens selon eux. </w:t>
      </w:r>
    </w:p>
    <w:p w14:paraId="3E7C6FD8" w14:textId="77777777" w:rsidR="00552F5F" w:rsidRDefault="00552F5F" w:rsidP="008E0382">
      <w:pPr>
        <w:autoSpaceDE w:val="0"/>
        <w:autoSpaceDN w:val="0"/>
        <w:adjustRightInd w:val="0"/>
        <w:spacing w:after="0" w:line="360" w:lineRule="auto"/>
        <w:jc w:val="both"/>
        <w:rPr>
          <w:rFonts w:cstheme="minorHAnsi"/>
        </w:rPr>
      </w:pPr>
    </w:p>
    <w:p w14:paraId="1E23A09C" w14:textId="5756C712" w:rsidR="00B84A34" w:rsidRDefault="00B84A34" w:rsidP="008E0382">
      <w:pPr>
        <w:autoSpaceDE w:val="0"/>
        <w:autoSpaceDN w:val="0"/>
        <w:adjustRightInd w:val="0"/>
        <w:spacing w:after="0" w:line="360" w:lineRule="auto"/>
        <w:jc w:val="both"/>
        <w:rPr>
          <w:rFonts w:cstheme="minorHAnsi"/>
        </w:rPr>
      </w:pPr>
      <w:r w:rsidRPr="005C5BD4">
        <w:rPr>
          <w:rFonts w:cstheme="minorHAnsi"/>
          <w:b/>
          <w:bCs/>
        </w:rPr>
        <w:t>Les promoteurs de projets :</w:t>
      </w:r>
      <w:r w:rsidRPr="00460C55">
        <w:rPr>
          <w:rFonts w:cstheme="minorHAnsi"/>
        </w:rPr>
        <w:t xml:space="preserve"> </w:t>
      </w:r>
    </w:p>
    <w:p w14:paraId="371FDB33" w14:textId="77777777" w:rsidR="00B84A34" w:rsidRDefault="00B84A34" w:rsidP="008E0382">
      <w:pPr>
        <w:autoSpaceDE w:val="0"/>
        <w:autoSpaceDN w:val="0"/>
        <w:adjustRightInd w:val="0"/>
        <w:spacing w:after="0" w:line="360" w:lineRule="auto"/>
        <w:jc w:val="both"/>
        <w:rPr>
          <w:rFonts w:cstheme="minorHAnsi"/>
        </w:rPr>
      </w:pPr>
    </w:p>
    <w:p w14:paraId="209D8DD4" w14:textId="63E4DF70" w:rsidR="00B84A34" w:rsidRDefault="00B84A34" w:rsidP="008E0382">
      <w:pPr>
        <w:autoSpaceDE w:val="0"/>
        <w:autoSpaceDN w:val="0"/>
        <w:adjustRightInd w:val="0"/>
        <w:spacing w:after="0" w:line="360" w:lineRule="auto"/>
        <w:jc w:val="both"/>
        <w:rPr>
          <w:rFonts w:cstheme="minorHAnsi"/>
        </w:rPr>
      </w:pPr>
      <w:r>
        <w:rPr>
          <w:rFonts w:cstheme="minorHAnsi"/>
        </w:rPr>
        <w:t xml:space="preserve">Il s’agit là des </w:t>
      </w:r>
      <w:r w:rsidRPr="00460C55">
        <w:rPr>
          <w:rFonts w:cstheme="minorHAnsi"/>
        </w:rPr>
        <w:t>particuliers et groupes d’intérêts industriels</w:t>
      </w:r>
      <w:r>
        <w:rPr>
          <w:rFonts w:cstheme="minorHAnsi"/>
        </w:rPr>
        <w:t>. Ces derniers</w:t>
      </w:r>
      <w:r w:rsidRPr="00460C55">
        <w:rPr>
          <w:rFonts w:cstheme="minorHAnsi"/>
        </w:rPr>
        <w:t xml:space="preserve"> soutiennent la mise en place d’un guichet unique contrairement aux gouvernements</w:t>
      </w:r>
      <w:r w:rsidR="00552F5F">
        <w:rPr>
          <w:rFonts w:cstheme="minorHAnsi"/>
        </w:rPr>
        <w:t xml:space="preserve"> et autorités locales</w:t>
      </w:r>
      <w:r w:rsidRPr="00460C55">
        <w:rPr>
          <w:rFonts w:cstheme="minorHAnsi"/>
        </w:rPr>
        <w:t xml:space="preserve">. </w:t>
      </w:r>
      <w:r>
        <w:rPr>
          <w:rFonts w:cstheme="minorHAnsi"/>
        </w:rPr>
        <w:t>Pour eux, c</w:t>
      </w:r>
      <w:r w:rsidRPr="00460C55">
        <w:rPr>
          <w:rFonts w:cstheme="minorHAnsi"/>
        </w:rPr>
        <w:t>haque guichet unique devrait avoir une capacité décisionnelle élargie afin de gérer toutes les évaluations environnementales au niveau des projets, les autorisations d’aménagement du territoire.</w:t>
      </w:r>
      <w:r>
        <w:rPr>
          <w:rFonts w:cstheme="minorHAnsi"/>
        </w:rPr>
        <w:t xml:space="preserve"> L</w:t>
      </w:r>
      <w:r w:rsidR="00F90320">
        <w:rPr>
          <w:rFonts w:cstheme="minorHAnsi"/>
        </w:rPr>
        <w:t>ors de</w:t>
      </w:r>
      <w:r>
        <w:rPr>
          <w:rFonts w:cstheme="minorHAnsi"/>
        </w:rPr>
        <w:t xml:space="preserve">s consultations menées par la </w:t>
      </w:r>
      <w:r w:rsidR="00F90320">
        <w:rPr>
          <w:rFonts w:cstheme="minorHAnsi"/>
        </w:rPr>
        <w:t>C</w:t>
      </w:r>
      <w:r>
        <w:rPr>
          <w:rFonts w:cstheme="minorHAnsi"/>
        </w:rPr>
        <w:t xml:space="preserve">ommission </w:t>
      </w:r>
      <w:r w:rsidR="00552F5F">
        <w:rPr>
          <w:rFonts w:cstheme="minorHAnsi"/>
        </w:rPr>
        <w:t xml:space="preserve">ce groupe </w:t>
      </w:r>
      <w:r w:rsidR="00F90320">
        <w:rPr>
          <w:rFonts w:cstheme="minorHAnsi"/>
        </w:rPr>
        <w:t>a</w:t>
      </w:r>
      <w:r>
        <w:rPr>
          <w:rFonts w:cstheme="minorHAnsi"/>
        </w:rPr>
        <w:t xml:space="preserve"> montré que pour </w:t>
      </w:r>
      <w:r w:rsidR="00F90320">
        <w:rPr>
          <w:rFonts w:cstheme="minorHAnsi"/>
        </w:rPr>
        <w:t>lui</w:t>
      </w:r>
      <w:r>
        <w:rPr>
          <w:rFonts w:cstheme="minorHAnsi"/>
        </w:rPr>
        <w:t>, la mise en place d’échéances claires était positif car aiderait à réduire les retards</w:t>
      </w:r>
      <w:r w:rsidR="00576E7A">
        <w:rPr>
          <w:rFonts w:cstheme="minorHAnsi"/>
        </w:rPr>
        <w:t xml:space="preserve"> dans la réalisation du RTE-T</w:t>
      </w:r>
      <w:r>
        <w:rPr>
          <w:rFonts w:cstheme="minorHAnsi"/>
        </w:rPr>
        <w:t xml:space="preserve">. De même la mise en œuvre d’un </w:t>
      </w:r>
      <w:r w:rsidRPr="00460C55">
        <w:rPr>
          <w:rFonts w:cstheme="minorHAnsi"/>
        </w:rPr>
        <w:t>ensemble commun de règles à l’échelle de l’Union</w:t>
      </w:r>
      <w:r w:rsidR="00576E7A">
        <w:rPr>
          <w:rFonts w:cstheme="minorHAnsi"/>
        </w:rPr>
        <w:t>,</w:t>
      </w:r>
      <w:r w:rsidRPr="00460C55">
        <w:rPr>
          <w:rFonts w:cstheme="minorHAnsi"/>
        </w:rPr>
        <w:t xml:space="preserve"> applicables aux projets transfrontières</w:t>
      </w:r>
      <w:r w:rsidR="00576E7A">
        <w:rPr>
          <w:rFonts w:cstheme="minorHAnsi"/>
        </w:rPr>
        <w:t>,</w:t>
      </w:r>
      <w:r w:rsidRPr="00460C55">
        <w:rPr>
          <w:rFonts w:cstheme="minorHAnsi"/>
        </w:rPr>
        <w:t xml:space="preserve"> a été jugé la solution la plus efficace pour améliorer la passation des marchés publics</w:t>
      </w:r>
      <w:r>
        <w:rPr>
          <w:rFonts w:cstheme="minorHAnsi"/>
        </w:rPr>
        <w:t xml:space="preserve">. </w:t>
      </w:r>
    </w:p>
    <w:p w14:paraId="09D2BD14" w14:textId="7B4235D0" w:rsidR="00B84A34" w:rsidRPr="00460C55" w:rsidRDefault="00B84A34" w:rsidP="008E0382">
      <w:pPr>
        <w:autoSpaceDE w:val="0"/>
        <w:autoSpaceDN w:val="0"/>
        <w:adjustRightInd w:val="0"/>
        <w:spacing w:after="0" w:line="360" w:lineRule="auto"/>
        <w:jc w:val="both"/>
        <w:rPr>
          <w:rFonts w:cstheme="minorHAnsi"/>
        </w:rPr>
      </w:pPr>
      <w:r>
        <w:rPr>
          <w:rFonts w:cstheme="minorHAnsi"/>
        </w:rPr>
        <w:t xml:space="preserve">Les acteurs publics et privés ne partagent </w:t>
      </w:r>
      <w:r w:rsidR="00576E7A">
        <w:rPr>
          <w:rFonts w:cstheme="minorHAnsi"/>
        </w:rPr>
        <w:t xml:space="preserve">donc </w:t>
      </w:r>
      <w:r>
        <w:rPr>
          <w:rFonts w:cstheme="minorHAnsi"/>
        </w:rPr>
        <w:t xml:space="preserve">pas la même vision des choses en matière de mise en œuvre du RTE-T et de l’harmonisation juridique. </w:t>
      </w:r>
    </w:p>
    <w:p w14:paraId="7DCD4BC4" w14:textId="77777777" w:rsidR="00DE0205" w:rsidRPr="003F43DB" w:rsidRDefault="00DE0205" w:rsidP="008E0382">
      <w:pPr>
        <w:spacing w:line="360" w:lineRule="auto"/>
        <w:jc w:val="both"/>
      </w:pPr>
    </w:p>
    <w:p w14:paraId="182CF504" w14:textId="13DB7EFB" w:rsidR="008A0507" w:rsidRDefault="008A0507" w:rsidP="008E0382">
      <w:pPr>
        <w:pStyle w:val="Titre2"/>
        <w:spacing w:line="360" w:lineRule="auto"/>
        <w:jc w:val="both"/>
        <w:rPr>
          <w:rStyle w:val="Lienhypertexte"/>
          <w:color w:val="00B050"/>
          <w:u w:val="none"/>
        </w:rPr>
      </w:pPr>
      <w:r w:rsidRPr="008A0507">
        <w:rPr>
          <w:rStyle w:val="Lienhypertexte"/>
          <w:color w:val="00B050"/>
          <w:u w:val="none"/>
        </w:rPr>
        <w:t xml:space="preserve">IV Recommandations </w:t>
      </w:r>
    </w:p>
    <w:p w14:paraId="66A320EC" w14:textId="77777777" w:rsidR="005F6D71" w:rsidRPr="005F6D71" w:rsidRDefault="005F6D71" w:rsidP="008E0382">
      <w:pPr>
        <w:spacing w:line="360" w:lineRule="auto"/>
        <w:jc w:val="both"/>
      </w:pPr>
    </w:p>
    <w:p w14:paraId="161FD930" w14:textId="4140DDB9" w:rsidR="00011B96" w:rsidRPr="005F6D71" w:rsidRDefault="005F6D71" w:rsidP="008E0382">
      <w:pPr>
        <w:spacing w:line="360" w:lineRule="auto"/>
        <w:jc w:val="both"/>
        <w:rPr>
          <w:rStyle w:val="Lienhypertexte"/>
          <w:color w:val="auto"/>
          <w:u w:val="none"/>
        </w:rPr>
      </w:pPr>
      <w:r w:rsidRPr="005F6D71">
        <w:rPr>
          <w:rStyle w:val="Lienhypertexte"/>
          <w:color w:val="auto"/>
          <w:u w:val="none"/>
        </w:rPr>
        <w:t xml:space="preserve">Situation : </w:t>
      </w:r>
      <w:r w:rsidR="00C21459" w:rsidRPr="00ED2652">
        <w:rPr>
          <w:rStyle w:val="Lienhypertexte"/>
          <w:i/>
          <w:iCs/>
          <w:color w:val="auto"/>
          <w:u w:val="none"/>
        </w:rPr>
        <w:t>Policy officer</w:t>
      </w:r>
      <w:r w:rsidR="00C21459">
        <w:rPr>
          <w:rStyle w:val="Lienhypertexte"/>
          <w:color w:val="auto"/>
          <w:u w:val="none"/>
        </w:rPr>
        <w:t xml:space="preserve"> auprès de la Société du Canal Seine-Nord Europe</w:t>
      </w:r>
      <w:r w:rsidR="00521E35">
        <w:rPr>
          <w:rStyle w:val="Lienhypertexte"/>
          <w:color w:val="auto"/>
          <w:u w:val="none"/>
        </w:rPr>
        <w:t>, établissement public français</w:t>
      </w:r>
    </w:p>
    <w:p w14:paraId="3212CE2B" w14:textId="5FF82B6C" w:rsidR="00011B96" w:rsidRDefault="004D3E50" w:rsidP="00CA23EC">
      <w:pPr>
        <w:autoSpaceDE w:val="0"/>
        <w:autoSpaceDN w:val="0"/>
        <w:adjustRightInd w:val="0"/>
        <w:spacing w:after="0" w:line="360" w:lineRule="auto"/>
        <w:jc w:val="both"/>
        <w:rPr>
          <w:rFonts w:cstheme="minorHAnsi"/>
        </w:rPr>
      </w:pPr>
      <w:r w:rsidRPr="004D3E50">
        <w:rPr>
          <w:rFonts w:cstheme="minorHAnsi"/>
        </w:rPr>
        <w:t>Stratégie : Compte tenu du rapport de force constaté précédemment, deux approches semblent</w:t>
      </w:r>
      <w:r>
        <w:rPr>
          <w:rFonts w:cstheme="minorHAnsi"/>
        </w:rPr>
        <w:t xml:space="preserve"> </w:t>
      </w:r>
      <w:r w:rsidRPr="004D3E50">
        <w:rPr>
          <w:rFonts w:cstheme="minorHAnsi"/>
        </w:rPr>
        <w:t>se dégag</w:t>
      </w:r>
      <w:r w:rsidR="00ED2652">
        <w:rPr>
          <w:rFonts w:cstheme="minorHAnsi"/>
        </w:rPr>
        <w:t>er.</w:t>
      </w:r>
      <w:r w:rsidRPr="004D3E50">
        <w:rPr>
          <w:rFonts w:cstheme="minorHAnsi"/>
        </w:rPr>
        <w:t xml:space="preserve"> </w:t>
      </w:r>
      <w:r w:rsidR="00ED2652">
        <w:rPr>
          <w:rFonts w:cstheme="minorHAnsi"/>
        </w:rPr>
        <w:t>L</w:t>
      </w:r>
      <w:r w:rsidRPr="004D3E50">
        <w:rPr>
          <w:rFonts w:cstheme="minorHAnsi"/>
        </w:rPr>
        <w:t>’une e</w:t>
      </w:r>
      <w:r w:rsidR="00ED2652">
        <w:rPr>
          <w:rFonts w:cstheme="minorHAnsi"/>
        </w:rPr>
        <w:t xml:space="preserve">st </w:t>
      </w:r>
      <w:r w:rsidRPr="004D3E50">
        <w:rPr>
          <w:rFonts w:cstheme="minorHAnsi"/>
        </w:rPr>
        <w:t>favorable au guichet unique</w:t>
      </w:r>
      <w:r w:rsidR="00ED2652">
        <w:rPr>
          <w:rFonts w:cstheme="minorHAnsi"/>
        </w:rPr>
        <w:t xml:space="preserve"> et à la proposition en général ;</w:t>
      </w:r>
      <w:r w:rsidRPr="004D3E50">
        <w:rPr>
          <w:rFonts w:cstheme="minorHAnsi"/>
        </w:rPr>
        <w:t xml:space="preserve"> soutenue par la Commission</w:t>
      </w:r>
      <w:r w:rsidR="00ED2652">
        <w:rPr>
          <w:rFonts w:cstheme="minorHAnsi"/>
        </w:rPr>
        <w:t>,</w:t>
      </w:r>
      <w:r w:rsidRPr="004D3E50">
        <w:rPr>
          <w:rFonts w:cstheme="minorHAnsi"/>
        </w:rPr>
        <w:t xml:space="preserve"> le Parlement </w:t>
      </w:r>
      <w:r w:rsidR="00C21459">
        <w:rPr>
          <w:rFonts w:cstheme="minorHAnsi"/>
        </w:rPr>
        <w:t xml:space="preserve">et </w:t>
      </w:r>
      <w:r w:rsidR="00ED2652">
        <w:rPr>
          <w:rFonts w:cstheme="minorHAnsi"/>
        </w:rPr>
        <w:t xml:space="preserve">les </w:t>
      </w:r>
      <w:r w:rsidR="00C21459">
        <w:rPr>
          <w:rFonts w:cstheme="minorHAnsi"/>
        </w:rPr>
        <w:t>promoteurs de projets</w:t>
      </w:r>
      <w:r w:rsidR="00ED2652">
        <w:rPr>
          <w:rFonts w:cstheme="minorHAnsi"/>
        </w:rPr>
        <w:t xml:space="preserve">. Face à cela une autre position s’oppose </w:t>
      </w:r>
      <w:r w:rsidRPr="004D3E50">
        <w:rPr>
          <w:rFonts w:cstheme="minorHAnsi"/>
        </w:rPr>
        <w:t>tent</w:t>
      </w:r>
      <w:r w:rsidR="00ED2652">
        <w:rPr>
          <w:rFonts w:cstheme="minorHAnsi"/>
        </w:rPr>
        <w:t xml:space="preserve">ant </w:t>
      </w:r>
      <w:r w:rsidRPr="004D3E50">
        <w:rPr>
          <w:rFonts w:cstheme="minorHAnsi"/>
        </w:rPr>
        <w:t>d’influencer la mesure afin d’offrir plus de souplesse aux Etats et à leurs administrations locales.</w:t>
      </w:r>
      <w:r w:rsidR="00CA23EC">
        <w:rPr>
          <w:rFonts w:cstheme="minorHAnsi"/>
        </w:rPr>
        <w:t xml:space="preserve"> </w:t>
      </w:r>
      <w:r w:rsidRPr="004D3E50">
        <w:rPr>
          <w:rFonts w:cstheme="minorHAnsi"/>
        </w:rPr>
        <w:t>Dans ce cadre, agissant au nom d</w:t>
      </w:r>
      <w:r w:rsidR="00C21459">
        <w:rPr>
          <w:rFonts w:cstheme="minorHAnsi"/>
        </w:rPr>
        <w:t>e la Société du Canal Seine-Nord Europe</w:t>
      </w:r>
      <w:r w:rsidRPr="004D3E50">
        <w:rPr>
          <w:rFonts w:cstheme="minorHAnsi"/>
        </w:rPr>
        <w:t>,</w:t>
      </w:r>
      <w:r w:rsidR="00ED2652">
        <w:rPr>
          <w:rFonts w:cstheme="minorHAnsi"/>
        </w:rPr>
        <w:t xml:space="preserve"> groupe industriel,</w:t>
      </w:r>
      <w:r w:rsidRPr="004D3E50">
        <w:rPr>
          <w:rFonts w:cstheme="minorHAnsi"/>
        </w:rPr>
        <w:t xml:space="preserve"> il convient d’adopter une approche permettant d’aller plus loin dans la mise en place le RTE-T sans </w:t>
      </w:r>
      <w:r w:rsidR="00ED2652">
        <w:rPr>
          <w:rFonts w:cstheme="minorHAnsi"/>
        </w:rPr>
        <w:t>que cela ne génère des pertes financières ou des complications administratives</w:t>
      </w:r>
      <w:r w:rsidRPr="004D3E50">
        <w:rPr>
          <w:rFonts w:cstheme="minorHAnsi"/>
        </w:rPr>
        <w:t xml:space="preserve">. </w:t>
      </w:r>
      <w:r w:rsidR="00521E35">
        <w:rPr>
          <w:rFonts w:cstheme="minorHAnsi"/>
        </w:rPr>
        <w:t>Au vu de la complexité du projet du Canal Seine-Nord, lequel concerne plusieurs pays européen et donc administrations, demander quelques aménagements en terme de temps, de coordination serait nécessaire pour assurer la bonne réalisation du projet.</w:t>
      </w:r>
    </w:p>
    <w:p w14:paraId="6C4F5C75" w14:textId="47379B6F" w:rsidR="00A947F4" w:rsidRDefault="00A947F4" w:rsidP="008E0382">
      <w:pPr>
        <w:autoSpaceDE w:val="0"/>
        <w:autoSpaceDN w:val="0"/>
        <w:adjustRightInd w:val="0"/>
        <w:spacing w:after="0" w:line="360" w:lineRule="auto"/>
        <w:jc w:val="both"/>
        <w:rPr>
          <w:rStyle w:val="Lienhypertexte"/>
          <w:rFonts w:cstheme="minorHAnsi"/>
          <w:color w:val="auto"/>
          <w:u w:val="none"/>
        </w:rPr>
      </w:pPr>
      <w:r w:rsidRPr="00A947F4">
        <w:rPr>
          <w:rStyle w:val="Lienhypertexte"/>
          <w:rFonts w:cstheme="minorHAnsi"/>
          <w:color w:val="auto"/>
          <w:u w:val="none"/>
        </w:rPr>
        <w:t>Au vu des différentes positions et de l’avancement de la procédure législative, il est</w:t>
      </w:r>
      <w:r>
        <w:rPr>
          <w:rStyle w:val="Lienhypertexte"/>
          <w:rFonts w:cstheme="minorHAnsi"/>
          <w:color w:val="auto"/>
          <w:u w:val="none"/>
        </w:rPr>
        <w:t xml:space="preserve"> </w:t>
      </w:r>
      <w:r w:rsidRPr="00A947F4">
        <w:rPr>
          <w:rStyle w:val="Lienhypertexte"/>
          <w:rFonts w:cstheme="minorHAnsi"/>
          <w:color w:val="auto"/>
          <w:u w:val="none"/>
        </w:rPr>
        <w:t>nécessaire de s’orienter principalement vers les acteurs importants à ce stade, à savoir :</w:t>
      </w:r>
    </w:p>
    <w:p w14:paraId="3B52C326" w14:textId="77777777" w:rsidR="00065609" w:rsidRDefault="00065609" w:rsidP="008E0382">
      <w:pPr>
        <w:autoSpaceDE w:val="0"/>
        <w:autoSpaceDN w:val="0"/>
        <w:adjustRightInd w:val="0"/>
        <w:spacing w:after="0" w:line="360" w:lineRule="auto"/>
        <w:jc w:val="both"/>
        <w:rPr>
          <w:rStyle w:val="Lienhypertexte"/>
          <w:rFonts w:cstheme="minorHAnsi"/>
          <w:color w:val="auto"/>
          <w:u w:val="none"/>
        </w:rPr>
      </w:pPr>
    </w:p>
    <w:p w14:paraId="13ABDAAD" w14:textId="33BCAB98" w:rsidR="00065609" w:rsidRPr="00CA23EC" w:rsidRDefault="00345A15" w:rsidP="00CA23EC">
      <w:pPr>
        <w:pStyle w:val="Paragraphedeliste"/>
        <w:numPr>
          <w:ilvl w:val="0"/>
          <w:numId w:val="1"/>
        </w:numPr>
        <w:autoSpaceDE w:val="0"/>
        <w:autoSpaceDN w:val="0"/>
        <w:adjustRightInd w:val="0"/>
        <w:spacing w:after="0" w:line="360" w:lineRule="auto"/>
        <w:ind w:left="142"/>
        <w:jc w:val="both"/>
        <w:rPr>
          <w:rStyle w:val="Lienhypertexte"/>
          <w:rFonts w:cstheme="minorHAnsi"/>
          <w:color w:val="auto"/>
          <w:u w:val="none"/>
        </w:rPr>
      </w:pPr>
      <w:r>
        <w:rPr>
          <w:rStyle w:val="Lienhypertexte"/>
          <w:rFonts w:cstheme="minorHAnsi"/>
          <w:color w:val="auto"/>
          <w:u w:val="none"/>
        </w:rPr>
        <w:t xml:space="preserve">Se rapprocher des autres </w:t>
      </w:r>
      <w:r w:rsidR="00065609">
        <w:rPr>
          <w:rStyle w:val="Lienhypertexte"/>
          <w:rFonts w:cstheme="minorHAnsi"/>
          <w:color w:val="auto"/>
          <w:u w:val="none"/>
        </w:rPr>
        <w:t xml:space="preserve">promoteurs de projet, groupes industriels et entreprises </w:t>
      </w:r>
      <w:r>
        <w:rPr>
          <w:rStyle w:val="Lienhypertexte"/>
          <w:rFonts w:cstheme="minorHAnsi"/>
          <w:color w:val="auto"/>
          <w:u w:val="none"/>
        </w:rPr>
        <w:t>favorables</w:t>
      </w:r>
      <w:r w:rsidR="00065609">
        <w:rPr>
          <w:rStyle w:val="Lienhypertexte"/>
          <w:rFonts w:cstheme="minorHAnsi"/>
          <w:color w:val="auto"/>
          <w:u w:val="none"/>
        </w:rPr>
        <w:t xml:space="preserve"> </w:t>
      </w:r>
      <w:r>
        <w:rPr>
          <w:rStyle w:val="Lienhypertexte"/>
          <w:rFonts w:cstheme="minorHAnsi"/>
          <w:color w:val="auto"/>
          <w:u w:val="none"/>
        </w:rPr>
        <w:t xml:space="preserve">à </w:t>
      </w:r>
      <w:r w:rsidR="00CA23EC">
        <w:rPr>
          <w:rStyle w:val="Lienhypertexte"/>
          <w:rFonts w:cstheme="minorHAnsi"/>
          <w:color w:val="auto"/>
          <w:u w:val="none"/>
        </w:rPr>
        <w:t>la proposition</w:t>
      </w:r>
      <w:r>
        <w:rPr>
          <w:rStyle w:val="Lienhypertexte"/>
          <w:rFonts w:cstheme="minorHAnsi"/>
          <w:color w:val="auto"/>
          <w:u w:val="none"/>
        </w:rPr>
        <w:t xml:space="preserve"> </w:t>
      </w:r>
      <w:r w:rsidR="00065609">
        <w:rPr>
          <w:rStyle w:val="Lienhypertexte"/>
          <w:rFonts w:cstheme="minorHAnsi"/>
          <w:color w:val="auto"/>
          <w:u w:val="none"/>
        </w:rPr>
        <w:t>tels que OBB Infrastruktur AG et représentant de tous les mode de transports (ferroviaires, maritimes, fluviaux, aériens, routier)</w:t>
      </w:r>
      <w:r w:rsidR="00521E35">
        <w:rPr>
          <w:rStyle w:val="Lienhypertexte"/>
          <w:rFonts w:cstheme="minorHAnsi"/>
          <w:color w:val="auto"/>
          <w:u w:val="none"/>
        </w:rPr>
        <w:t xml:space="preserve"> afin de former une </w:t>
      </w:r>
      <w:r w:rsidR="00CA23EC">
        <w:rPr>
          <w:rStyle w:val="Lienhypertexte"/>
          <w:rFonts w:cstheme="minorHAnsi"/>
          <w:color w:val="auto"/>
          <w:u w:val="none"/>
        </w:rPr>
        <w:t>coalition</w:t>
      </w:r>
      <w:r>
        <w:rPr>
          <w:rStyle w:val="Lienhypertexte"/>
          <w:rFonts w:cstheme="minorHAnsi"/>
          <w:color w:val="auto"/>
          <w:u w:val="none"/>
        </w:rPr>
        <w:t xml:space="preserve">. L’ensemble </w:t>
      </w:r>
      <w:r w:rsidR="00065609">
        <w:rPr>
          <w:rStyle w:val="Lienhypertexte"/>
          <w:rFonts w:cstheme="minorHAnsi"/>
          <w:color w:val="auto"/>
          <w:u w:val="none"/>
        </w:rPr>
        <w:t>de ces industries représentent un grand nombre d’emplois et son des secteurs stratégique au sein des Etat</w:t>
      </w:r>
      <w:r w:rsidR="00521E35">
        <w:rPr>
          <w:rStyle w:val="Lienhypertexte"/>
          <w:rFonts w:cstheme="minorHAnsi"/>
          <w:color w:val="auto"/>
          <w:u w:val="none"/>
        </w:rPr>
        <w:t>s</w:t>
      </w:r>
      <w:r w:rsidR="00CA23EC">
        <w:rPr>
          <w:rStyle w:val="Lienhypertexte"/>
          <w:rFonts w:cstheme="minorHAnsi"/>
          <w:color w:val="auto"/>
          <w:u w:val="none"/>
        </w:rPr>
        <w:t xml:space="preserve">. </w:t>
      </w:r>
      <w:r w:rsidR="00065609">
        <w:rPr>
          <w:rStyle w:val="Lienhypertexte"/>
          <w:rFonts w:cstheme="minorHAnsi"/>
          <w:color w:val="auto"/>
          <w:u w:val="none"/>
        </w:rPr>
        <w:t>Le caractère stratégique est renforcé par le nombre de liaison importants déjà existantes et de projet</w:t>
      </w:r>
      <w:r w:rsidR="00521E35">
        <w:rPr>
          <w:rStyle w:val="Lienhypertexte"/>
          <w:rFonts w:cstheme="minorHAnsi"/>
          <w:color w:val="auto"/>
          <w:u w:val="none"/>
        </w:rPr>
        <w:t>s</w:t>
      </w:r>
      <w:r w:rsidR="00065609">
        <w:rPr>
          <w:rStyle w:val="Lienhypertexte"/>
          <w:rFonts w:cstheme="minorHAnsi"/>
          <w:color w:val="auto"/>
          <w:u w:val="none"/>
        </w:rPr>
        <w:t xml:space="preserve"> transfrontalier</w:t>
      </w:r>
      <w:r w:rsidR="00521E35">
        <w:rPr>
          <w:rStyle w:val="Lienhypertexte"/>
          <w:rFonts w:cstheme="minorHAnsi"/>
          <w:color w:val="auto"/>
          <w:u w:val="none"/>
        </w:rPr>
        <w:t>s</w:t>
      </w:r>
      <w:r w:rsidR="00065609">
        <w:rPr>
          <w:rStyle w:val="Lienhypertexte"/>
          <w:rFonts w:cstheme="minorHAnsi"/>
          <w:color w:val="auto"/>
          <w:u w:val="none"/>
        </w:rPr>
        <w:t xml:space="preserve"> comme le réseaux de canaux que nous construisons pour le Canal Seine Nord. </w:t>
      </w:r>
      <w:r w:rsidR="00867E75">
        <w:rPr>
          <w:rStyle w:val="Lienhypertexte"/>
          <w:rFonts w:cstheme="minorHAnsi"/>
          <w:color w:val="auto"/>
          <w:u w:val="none"/>
        </w:rPr>
        <w:t xml:space="preserve">Cette force permettra de pouvoir négocier avec </w:t>
      </w:r>
      <w:r w:rsidR="00065609">
        <w:rPr>
          <w:rStyle w:val="Lienhypertexte"/>
          <w:rFonts w:cstheme="minorHAnsi"/>
          <w:color w:val="auto"/>
          <w:u w:val="none"/>
        </w:rPr>
        <w:t>le Conseil et localement avec les autorités régionales qui bénéficie</w:t>
      </w:r>
      <w:r w:rsidR="00521E35">
        <w:rPr>
          <w:rStyle w:val="Lienhypertexte"/>
          <w:rFonts w:cstheme="minorHAnsi"/>
          <w:color w:val="auto"/>
          <w:u w:val="none"/>
        </w:rPr>
        <w:t>nt</w:t>
      </w:r>
      <w:r w:rsidR="00065609">
        <w:rPr>
          <w:rStyle w:val="Lienhypertexte"/>
          <w:rFonts w:cstheme="minorHAnsi"/>
          <w:color w:val="auto"/>
          <w:u w:val="none"/>
        </w:rPr>
        <w:t xml:space="preserve"> de la présence d’infrastructures de transport dans une perspective d’attractivité territoriale.</w:t>
      </w:r>
      <w:r w:rsidR="00521E35">
        <w:rPr>
          <w:rStyle w:val="Lienhypertexte"/>
          <w:rFonts w:cstheme="minorHAnsi"/>
          <w:color w:val="auto"/>
          <w:u w:val="none"/>
        </w:rPr>
        <w:t xml:space="preserve"> Former une </w:t>
      </w:r>
      <w:r w:rsidR="00CA23EC">
        <w:rPr>
          <w:rStyle w:val="Lienhypertexte"/>
          <w:rFonts w:cstheme="minorHAnsi"/>
          <w:color w:val="auto"/>
          <w:u w:val="none"/>
        </w:rPr>
        <w:t>coalition</w:t>
      </w:r>
      <w:r w:rsidR="00521E35">
        <w:rPr>
          <w:rStyle w:val="Lienhypertexte"/>
          <w:rFonts w:cstheme="minorHAnsi"/>
          <w:color w:val="auto"/>
          <w:u w:val="none"/>
        </w:rPr>
        <w:t xml:space="preserve"> permettra de n</w:t>
      </w:r>
      <w:r w:rsidR="00521E35" w:rsidRPr="00521E35">
        <w:rPr>
          <w:rStyle w:val="Lienhypertexte"/>
          <w:rFonts w:cstheme="minorHAnsi"/>
          <w:color w:val="auto"/>
          <w:u w:val="none"/>
        </w:rPr>
        <w:t>égocier la question du temps</w:t>
      </w:r>
      <w:r w:rsidR="00CA23EC">
        <w:rPr>
          <w:rStyle w:val="Lienhypertexte"/>
          <w:rFonts w:cstheme="minorHAnsi"/>
          <w:color w:val="auto"/>
          <w:u w:val="none"/>
        </w:rPr>
        <w:t xml:space="preserve"> pour lequel </w:t>
      </w:r>
      <w:r w:rsidR="00521E35" w:rsidRPr="00521E35">
        <w:rPr>
          <w:rStyle w:val="Lienhypertexte"/>
          <w:rFonts w:cstheme="minorHAnsi"/>
          <w:color w:val="auto"/>
          <w:u w:val="none"/>
        </w:rPr>
        <w:t>il faut des aménagements</w:t>
      </w:r>
      <w:r w:rsidR="00CA23EC">
        <w:rPr>
          <w:rStyle w:val="Lienhypertexte"/>
          <w:rFonts w:cstheme="minorHAnsi"/>
          <w:color w:val="auto"/>
          <w:u w:val="none"/>
        </w:rPr>
        <w:t xml:space="preserve"> spécifiques afin de tenir les délais.</w:t>
      </w:r>
    </w:p>
    <w:p w14:paraId="3E0EB0C1" w14:textId="38FFE0C7" w:rsidR="00CA23EC" w:rsidRDefault="00345A15" w:rsidP="00065609">
      <w:pPr>
        <w:pStyle w:val="Paragraphedeliste"/>
        <w:numPr>
          <w:ilvl w:val="0"/>
          <w:numId w:val="1"/>
        </w:numPr>
        <w:autoSpaceDE w:val="0"/>
        <w:autoSpaceDN w:val="0"/>
        <w:adjustRightInd w:val="0"/>
        <w:spacing w:after="0" w:line="360" w:lineRule="auto"/>
        <w:ind w:left="142"/>
        <w:jc w:val="both"/>
        <w:rPr>
          <w:rStyle w:val="Lienhypertexte"/>
          <w:rFonts w:cstheme="minorHAnsi"/>
          <w:color w:val="auto"/>
          <w:u w:val="none"/>
        </w:rPr>
      </w:pPr>
      <w:r>
        <w:rPr>
          <w:rStyle w:val="Lienhypertexte"/>
          <w:rFonts w:cstheme="minorHAnsi"/>
          <w:color w:val="auto"/>
          <w:u w:val="none"/>
        </w:rPr>
        <w:t>Se rapprocher d</w:t>
      </w:r>
      <w:r w:rsidR="00065609">
        <w:rPr>
          <w:rStyle w:val="Lienhypertexte"/>
          <w:rFonts w:cstheme="minorHAnsi"/>
          <w:color w:val="auto"/>
          <w:u w:val="none"/>
        </w:rPr>
        <w:t>e la DG MOVE</w:t>
      </w:r>
      <w:r w:rsidR="00CA23EC">
        <w:rPr>
          <w:rStyle w:val="Lienhypertexte"/>
          <w:rFonts w:cstheme="minorHAnsi"/>
          <w:color w:val="auto"/>
          <w:u w:val="none"/>
        </w:rPr>
        <w:t xml:space="preserve">, en particulier de Siamak JALALI. En raison de sa jeune expérience et de son volontarisme, il sera plus aisé de négocier avec lui pour faire entendre notre position </w:t>
      </w:r>
      <w:r w:rsidR="002327E9">
        <w:rPr>
          <w:rStyle w:val="Lienhypertexte"/>
          <w:rFonts w:cstheme="minorHAnsi"/>
          <w:color w:val="auto"/>
          <w:u w:val="none"/>
        </w:rPr>
        <w:t>auprès de</w:t>
      </w:r>
      <w:r w:rsidR="00CA23EC">
        <w:rPr>
          <w:rStyle w:val="Lienhypertexte"/>
          <w:rFonts w:cstheme="minorHAnsi"/>
          <w:color w:val="auto"/>
          <w:u w:val="none"/>
        </w:rPr>
        <w:t xml:space="preserve"> la Commission.</w:t>
      </w:r>
    </w:p>
    <w:p w14:paraId="4262B7F3" w14:textId="5E32F52E" w:rsidR="00345A15" w:rsidRDefault="00CA23EC" w:rsidP="00065609">
      <w:pPr>
        <w:pStyle w:val="Paragraphedeliste"/>
        <w:numPr>
          <w:ilvl w:val="0"/>
          <w:numId w:val="1"/>
        </w:numPr>
        <w:autoSpaceDE w:val="0"/>
        <w:autoSpaceDN w:val="0"/>
        <w:adjustRightInd w:val="0"/>
        <w:spacing w:after="0" w:line="360" w:lineRule="auto"/>
        <w:ind w:left="142"/>
        <w:jc w:val="both"/>
        <w:rPr>
          <w:rStyle w:val="Lienhypertexte"/>
          <w:rFonts w:cstheme="minorHAnsi"/>
          <w:color w:val="auto"/>
          <w:u w:val="none"/>
        </w:rPr>
      </w:pPr>
      <w:r>
        <w:rPr>
          <w:rStyle w:val="Lienhypertexte"/>
          <w:rFonts w:cstheme="minorHAnsi"/>
          <w:color w:val="auto"/>
          <w:u w:val="none"/>
        </w:rPr>
        <w:t>Se rapprocher</w:t>
      </w:r>
      <w:r w:rsidR="00065609">
        <w:rPr>
          <w:rStyle w:val="Lienhypertexte"/>
          <w:rFonts w:cstheme="minorHAnsi"/>
          <w:color w:val="auto"/>
          <w:u w:val="none"/>
        </w:rPr>
        <w:t xml:space="preserve"> du</w:t>
      </w:r>
      <w:r>
        <w:rPr>
          <w:rStyle w:val="Lienhypertexte"/>
          <w:rFonts w:cstheme="minorHAnsi"/>
          <w:color w:val="auto"/>
          <w:u w:val="none"/>
        </w:rPr>
        <w:t xml:space="preserve"> rapporteur Dominique RIQUET</w:t>
      </w:r>
      <w:r w:rsidR="00345A15">
        <w:rPr>
          <w:rStyle w:val="Lienhypertexte"/>
          <w:rFonts w:cstheme="minorHAnsi"/>
          <w:color w:val="auto"/>
          <w:u w:val="none"/>
        </w:rPr>
        <w:t xml:space="preserve"> : il s’agit là d’un atout pour </w:t>
      </w:r>
      <w:r w:rsidR="00065609">
        <w:rPr>
          <w:rStyle w:val="Lienhypertexte"/>
          <w:rFonts w:cstheme="minorHAnsi"/>
          <w:color w:val="auto"/>
          <w:u w:val="none"/>
        </w:rPr>
        <w:t>nous puisque</w:t>
      </w:r>
      <w:r>
        <w:rPr>
          <w:rStyle w:val="Lienhypertexte"/>
          <w:rFonts w:cstheme="minorHAnsi"/>
          <w:color w:val="auto"/>
          <w:u w:val="none"/>
        </w:rPr>
        <w:t xml:space="preserve"> </w:t>
      </w:r>
      <w:r w:rsidR="00065609">
        <w:rPr>
          <w:rStyle w:val="Lienhypertexte"/>
          <w:rFonts w:cstheme="minorHAnsi"/>
          <w:color w:val="auto"/>
          <w:u w:val="none"/>
        </w:rPr>
        <w:t>le Parlement est colégislateur avec le Conseil permettrait d’envoyer un signal fort au Conseil pour influencer les Etats.</w:t>
      </w:r>
      <w:r>
        <w:rPr>
          <w:rStyle w:val="Lienhypertexte"/>
          <w:rFonts w:cstheme="minorHAnsi"/>
          <w:color w:val="auto"/>
          <w:u w:val="none"/>
        </w:rPr>
        <w:t xml:space="preserve"> L’expérience longue de Dominique RIQUET permettrait de pouvoir négocier des amendements afin d’introduire quelques aménagements de temps.</w:t>
      </w:r>
    </w:p>
    <w:p w14:paraId="63F4C8B0" w14:textId="5280DFDC" w:rsidR="0056169D" w:rsidRDefault="0056169D" w:rsidP="0056169D">
      <w:pPr>
        <w:autoSpaceDE w:val="0"/>
        <w:autoSpaceDN w:val="0"/>
        <w:adjustRightInd w:val="0"/>
        <w:spacing w:after="0" w:line="360" w:lineRule="auto"/>
        <w:jc w:val="both"/>
        <w:rPr>
          <w:rStyle w:val="Lienhypertexte"/>
          <w:rFonts w:cstheme="minorHAnsi"/>
          <w:color w:val="auto"/>
          <w:u w:val="none"/>
        </w:rPr>
      </w:pPr>
    </w:p>
    <w:p w14:paraId="3518CF98" w14:textId="13E0B770" w:rsidR="0056169D" w:rsidRDefault="0056169D" w:rsidP="0056169D">
      <w:pPr>
        <w:autoSpaceDE w:val="0"/>
        <w:autoSpaceDN w:val="0"/>
        <w:adjustRightInd w:val="0"/>
        <w:spacing w:after="0" w:line="360" w:lineRule="auto"/>
        <w:jc w:val="both"/>
        <w:rPr>
          <w:rStyle w:val="Lienhypertexte"/>
          <w:rFonts w:cstheme="minorHAnsi"/>
          <w:color w:val="auto"/>
          <w:u w:val="none"/>
        </w:rPr>
      </w:pPr>
    </w:p>
    <w:p w14:paraId="2EEA0686" w14:textId="63091D6B" w:rsidR="0056169D" w:rsidRDefault="0056169D" w:rsidP="0056169D">
      <w:pPr>
        <w:autoSpaceDE w:val="0"/>
        <w:autoSpaceDN w:val="0"/>
        <w:adjustRightInd w:val="0"/>
        <w:spacing w:after="0" w:line="360" w:lineRule="auto"/>
        <w:jc w:val="both"/>
        <w:rPr>
          <w:rStyle w:val="Lienhypertexte"/>
          <w:rFonts w:cstheme="minorHAnsi"/>
          <w:color w:val="auto"/>
          <w:u w:val="none"/>
        </w:rPr>
      </w:pPr>
    </w:p>
    <w:p w14:paraId="6FBA6A6F" w14:textId="5D9218FC" w:rsidR="0056169D" w:rsidRDefault="0056169D" w:rsidP="0056169D">
      <w:pPr>
        <w:autoSpaceDE w:val="0"/>
        <w:autoSpaceDN w:val="0"/>
        <w:adjustRightInd w:val="0"/>
        <w:spacing w:after="0" w:line="360" w:lineRule="auto"/>
        <w:jc w:val="both"/>
        <w:rPr>
          <w:rStyle w:val="Lienhypertexte"/>
          <w:rFonts w:cstheme="minorHAnsi"/>
          <w:color w:val="auto"/>
          <w:u w:val="none"/>
        </w:rPr>
      </w:pPr>
    </w:p>
    <w:p w14:paraId="48D574B5" w14:textId="3FEB1294" w:rsidR="0056169D" w:rsidRDefault="0056169D" w:rsidP="0056169D">
      <w:pPr>
        <w:autoSpaceDE w:val="0"/>
        <w:autoSpaceDN w:val="0"/>
        <w:adjustRightInd w:val="0"/>
        <w:spacing w:after="0" w:line="360" w:lineRule="auto"/>
        <w:jc w:val="both"/>
        <w:rPr>
          <w:rStyle w:val="Lienhypertexte"/>
          <w:rFonts w:cstheme="minorHAnsi"/>
          <w:color w:val="auto"/>
          <w:u w:val="none"/>
        </w:rPr>
      </w:pPr>
    </w:p>
    <w:p w14:paraId="383494E7" w14:textId="5441334A" w:rsidR="0056169D" w:rsidRDefault="0056169D" w:rsidP="0056169D">
      <w:pPr>
        <w:autoSpaceDE w:val="0"/>
        <w:autoSpaceDN w:val="0"/>
        <w:adjustRightInd w:val="0"/>
        <w:spacing w:after="0" w:line="360" w:lineRule="auto"/>
        <w:jc w:val="both"/>
        <w:rPr>
          <w:rStyle w:val="Lienhypertexte"/>
          <w:rFonts w:cstheme="minorHAnsi"/>
          <w:color w:val="auto"/>
          <w:u w:val="none"/>
        </w:rPr>
      </w:pPr>
    </w:p>
    <w:p w14:paraId="645981C3" w14:textId="58D3F48C" w:rsidR="0056169D" w:rsidRDefault="0056169D" w:rsidP="0056169D">
      <w:pPr>
        <w:autoSpaceDE w:val="0"/>
        <w:autoSpaceDN w:val="0"/>
        <w:adjustRightInd w:val="0"/>
        <w:spacing w:after="0" w:line="360" w:lineRule="auto"/>
        <w:jc w:val="both"/>
        <w:rPr>
          <w:rStyle w:val="Lienhypertexte"/>
          <w:rFonts w:cstheme="minorHAnsi"/>
          <w:color w:val="auto"/>
          <w:u w:val="none"/>
        </w:rPr>
      </w:pPr>
    </w:p>
    <w:p w14:paraId="56598F7A" w14:textId="44E21562" w:rsidR="0056169D" w:rsidRDefault="0056169D" w:rsidP="0056169D">
      <w:pPr>
        <w:autoSpaceDE w:val="0"/>
        <w:autoSpaceDN w:val="0"/>
        <w:adjustRightInd w:val="0"/>
        <w:spacing w:after="0" w:line="360" w:lineRule="auto"/>
        <w:jc w:val="both"/>
        <w:rPr>
          <w:rStyle w:val="Lienhypertexte"/>
          <w:rFonts w:cstheme="minorHAnsi"/>
          <w:color w:val="auto"/>
          <w:u w:val="none"/>
        </w:rPr>
      </w:pPr>
    </w:p>
    <w:p w14:paraId="305B372E" w14:textId="3660ACBD" w:rsidR="0056169D" w:rsidRDefault="0056169D" w:rsidP="0056169D">
      <w:pPr>
        <w:autoSpaceDE w:val="0"/>
        <w:autoSpaceDN w:val="0"/>
        <w:adjustRightInd w:val="0"/>
        <w:spacing w:after="0" w:line="360" w:lineRule="auto"/>
        <w:jc w:val="both"/>
        <w:rPr>
          <w:rStyle w:val="Lienhypertexte"/>
          <w:rFonts w:cstheme="minorHAnsi"/>
          <w:color w:val="auto"/>
          <w:u w:val="none"/>
        </w:rPr>
      </w:pPr>
    </w:p>
    <w:p w14:paraId="35CF9E03" w14:textId="78ED9A46" w:rsidR="0056169D" w:rsidRDefault="0056169D" w:rsidP="0056169D">
      <w:pPr>
        <w:autoSpaceDE w:val="0"/>
        <w:autoSpaceDN w:val="0"/>
        <w:adjustRightInd w:val="0"/>
        <w:spacing w:after="0" w:line="360" w:lineRule="auto"/>
        <w:jc w:val="both"/>
        <w:rPr>
          <w:rStyle w:val="Lienhypertexte"/>
          <w:rFonts w:cstheme="minorHAnsi"/>
          <w:color w:val="auto"/>
          <w:u w:val="none"/>
        </w:rPr>
      </w:pPr>
    </w:p>
    <w:p w14:paraId="4E4470AE" w14:textId="32A3A9CA" w:rsidR="0056169D" w:rsidRDefault="0056169D" w:rsidP="0056169D">
      <w:pPr>
        <w:autoSpaceDE w:val="0"/>
        <w:autoSpaceDN w:val="0"/>
        <w:adjustRightInd w:val="0"/>
        <w:spacing w:after="0" w:line="360" w:lineRule="auto"/>
        <w:jc w:val="both"/>
        <w:rPr>
          <w:rStyle w:val="Lienhypertexte"/>
          <w:rFonts w:cstheme="minorHAnsi"/>
          <w:color w:val="auto"/>
          <w:u w:val="none"/>
        </w:rPr>
      </w:pPr>
    </w:p>
    <w:p w14:paraId="4BB57769" w14:textId="0BB2C67F" w:rsidR="0056169D" w:rsidRDefault="0056169D" w:rsidP="0056169D">
      <w:pPr>
        <w:autoSpaceDE w:val="0"/>
        <w:autoSpaceDN w:val="0"/>
        <w:adjustRightInd w:val="0"/>
        <w:spacing w:after="0" w:line="360" w:lineRule="auto"/>
        <w:jc w:val="both"/>
        <w:rPr>
          <w:rStyle w:val="Lienhypertexte"/>
          <w:rFonts w:cstheme="minorHAnsi"/>
          <w:color w:val="auto"/>
          <w:u w:val="none"/>
        </w:rPr>
      </w:pPr>
    </w:p>
    <w:p w14:paraId="6475B753" w14:textId="1306C60B" w:rsidR="0056169D" w:rsidRDefault="0056169D" w:rsidP="0056169D">
      <w:pPr>
        <w:autoSpaceDE w:val="0"/>
        <w:autoSpaceDN w:val="0"/>
        <w:adjustRightInd w:val="0"/>
        <w:spacing w:after="0" w:line="360" w:lineRule="auto"/>
        <w:jc w:val="both"/>
        <w:rPr>
          <w:rStyle w:val="Lienhypertexte"/>
          <w:rFonts w:cstheme="minorHAnsi"/>
          <w:color w:val="auto"/>
          <w:u w:val="none"/>
        </w:rPr>
      </w:pPr>
    </w:p>
    <w:p w14:paraId="05E85423" w14:textId="3CF088C6" w:rsidR="0056169D" w:rsidRDefault="0056169D" w:rsidP="0056169D">
      <w:pPr>
        <w:autoSpaceDE w:val="0"/>
        <w:autoSpaceDN w:val="0"/>
        <w:adjustRightInd w:val="0"/>
        <w:spacing w:after="0" w:line="360" w:lineRule="auto"/>
        <w:jc w:val="both"/>
        <w:rPr>
          <w:rStyle w:val="Lienhypertexte"/>
          <w:rFonts w:cstheme="minorHAnsi"/>
          <w:color w:val="auto"/>
          <w:u w:val="none"/>
        </w:rPr>
      </w:pPr>
    </w:p>
    <w:p w14:paraId="72BBE766" w14:textId="2DA91B3B" w:rsidR="0056169D" w:rsidRDefault="0056169D" w:rsidP="0056169D">
      <w:pPr>
        <w:autoSpaceDE w:val="0"/>
        <w:autoSpaceDN w:val="0"/>
        <w:adjustRightInd w:val="0"/>
        <w:spacing w:after="0" w:line="360" w:lineRule="auto"/>
        <w:jc w:val="both"/>
        <w:rPr>
          <w:rStyle w:val="Lienhypertexte"/>
          <w:rFonts w:cstheme="minorHAnsi"/>
          <w:color w:val="auto"/>
          <w:u w:val="none"/>
        </w:rPr>
      </w:pPr>
    </w:p>
    <w:p w14:paraId="4B8684EB" w14:textId="02A60716" w:rsidR="0056169D" w:rsidRDefault="0056169D" w:rsidP="0056169D">
      <w:pPr>
        <w:autoSpaceDE w:val="0"/>
        <w:autoSpaceDN w:val="0"/>
        <w:adjustRightInd w:val="0"/>
        <w:spacing w:after="0" w:line="360" w:lineRule="auto"/>
        <w:jc w:val="both"/>
        <w:rPr>
          <w:rStyle w:val="Lienhypertexte"/>
          <w:rFonts w:cstheme="minorHAnsi"/>
          <w:color w:val="auto"/>
          <w:u w:val="none"/>
        </w:rPr>
      </w:pPr>
    </w:p>
    <w:p w14:paraId="366A970F" w14:textId="3231D98B" w:rsidR="0056169D" w:rsidRDefault="0056169D" w:rsidP="0056169D">
      <w:pPr>
        <w:autoSpaceDE w:val="0"/>
        <w:autoSpaceDN w:val="0"/>
        <w:adjustRightInd w:val="0"/>
        <w:spacing w:after="0" w:line="360" w:lineRule="auto"/>
        <w:jc w:val="both"/>
        <w:rPr>
          <w:rStyle w:val="Lienhypertexte"/>
          <w:rFonts w:cstheme="minorHAnsi"/>
          <w:color w:val="auto"/>
          <w:u w:val="none"/>
        </w:rPr>
      </w:pPr>
    </w:p>
    <w:p w14:paraId="3D7371BA" w14:textId="10DECA4F" w:rsidR="0056169D" w:rsidRDefault="0056169D" w:rsidP="0056169D">
      <w:pPr>
        <w:autoSpaceDE w:val="0"/>
        <w:autoSpaceDN w:val="0"/>
        <w:adjustRightInd w:val="0"/>
        <w:spacing w:after="0" w:line="360" w:lineRule="auto"/>
        <w:jc w:val="both"/>
        <w:rPr>
          <w:rStyle w:val="Lienhypertexte"/>
          <w:rFonts w:cstheme="minorHAnsi"/>
          <w:color w:val="auto"/>
          <w:u w:val="none"/>
        </w:rPr>
      </w:pPr>
    </w:p>
    <w:p w14:paraId="4E03F517" w14:textId="08DE5CA2" w:rsidR="0056169D" w:rsidRDefault="0056169D" w:rsidP="0056169D">
      <w:pPr>
        <w:autoSpaceDE w:val="0"/>
        <w:autoSpaceDN w:val="0"/>
        <w:adjustRightInd w:val="0"/>
        <w:spacing w:after="0" w:line="360" w:lineRule="auto"/>
        <w:jc w:val="both"/>
        <w:rPr>
          <w:rStyle w:val="Lienhypertexte"/>
          <w:rFonts w:cstheme="minorHAnsi"/>
          <w:color w:val="auto"/>
          <w:u w:val="none"/>
        </w:rPr>
      </w:pPr>
    </w:p>
    <w:p w14:paraId="55946E32" w14:textId="3A54489C" w:rsidR="0056169D" w:rsidRDefault="0056169D" w:rsidP="0056169D">
      <w:pPr>
        <w:autoSpaceDE w:val="0"/>
        <w:autoSpaceDN w:val="0"/>
        <w:adjustRightInd w:val="0"/>
        <w:spacing w:after="0" w:line="360" w:lineRule="auto"/>
        <w:jc w:val="both"/>
        <w:rPr>
          <w:rStyle w:val="Lienhypertexte"/>
          <w:rFonts w:cstheme="minorHAnsi"/>
          <w:color w:val="auto"/>
          <w:u w:val="none"/>
        </w:rPr>
      </w:pPr>
    </w:p>
    <w:p w14:paraId="4E725759" w14:textId="138DC089" w:rsidR="0056169D" w:rsidRDefault="0056169D" w:rsidP="0056169D">
      <w:pPr>
        <w:autoSpaceDE w:val="0"/>
        <w:autoSpaceDN w:val="0"/>
        <w:adjustRightInd w:val="0"/>
        <w:spacing w:after="0" w:line="360" w:lineRule="auto"/>
        <w:jc w:val="both"/>
        <w:rPr>
          <w:rStyle w:val="Lienhypertexte"/>
          <w:rFonts w:cstheme="minorHAnsi"/>
          <w:color w:val="auto"/>
          <w:u w:val="none"/>
        </w:rPr>
      </w:pPr>
    </w:p>
    <w:p w14:paraId="401FFB05" w14:textId="25EDD1F3" w:rsidR="0056169D" w:rsidRDefault="0056169D" w:rsidP="0056169D">
      <w:pPr>
        <w:autoSpaceDE w:val="0"/>
        <w:autoSpaceDN w:val="0"/>
        <w:adjustRightInd w:val="0"/>
        <w:spacing w:after="0" w:line="360" w:lineRule="auto"/>
        <w:jc w:val="both"/>
        <w:rPr>
          <w:rStyle w:val="Lienhypertexte"/>
          <w:rFonts w:cstheme="minorHAnsi"/>
          <w:color w:val="auto"/>
          <w:u w:val="none"/>
        </w:rPr>
      </w:pPr>
    </w:p>
    <w:p w14:paraId="2F9C16AB" w14:textId="121E6B3A" w:rsidR="0056169D" w:rsidRDefault="0056169D" w:rsidP="0056169D">
      <w:pPr>
        <w:autoSpaceDE w:val="0"/>
        <w:autoSpaceDN w:val="0"/>
        <w:adjustRightInd w:val="0"/>
        <w:spacing w:after="0" w:line="360" w:lineRule="auto"/>
        <w:jc w:val="both"/>
        <w:rPr>
          <w:rStyle w:val="Lienhypertexte"/>
          <w:rFonts w:cstheme="minorHAnsi"/>
          <w:color w:val="auto"/>
          <w:u w:val="none"/>
        </w:rPr>
      </w:pPr>
    </w:p>
    <w:p w14:paraId="34044007" w14:textId="2219099D" w:rsidR="0056169D" w:rsidRDefault="0056169D" w:rsidP="0056169D">
      <w:pPr>
        <w:autoSpaceDE w:val="0"/>
        <w:autoSpaceDN w:val="0"/>
        <w:adjustRightInd w:val="0"/>
        <w:spacing w:after="0" w:line="360" w:lineRule="auto"/>
        <w:jc w:val="both"/>
        <w:rPr>
          <w:rStyle w:val="Lienhypertexte"/>
          <w:rFonts w:cstheme="minorHAnsi"/>
          <w:color w:val="auto"/>
          <w:u w:val="none"/>
        </w:rPr>
      </w:pPr>
    </w:p>
    <w:p w14:paraId="359280EF" w14:textId="506933CE" w:rsidR="0056169D" w:rsidRDefault="0056169D" w:rsidP="0056169D">
      <w:pPr>
        <w:autoSpaceDE w:val="0"/>
        <w:autoSpaceDN w:val="0"/>
        <w:adjustRightInd w:val="0"/>
        <w:spacing w:after="0" w:line="360" w:lineRule="auto"/>
        <w:jc w:val="both"/>
        <w:rPr>
          <w:rStyle w:val="Lienhypertexte"/>
          <w:rFonts w:cstheme="minorHAnsi"/>
          <w:color w:val="auto"/>
          <w:u w:val="none"/>
        </w:rPr>
      </w:pPr>
    </w:p>
    <w:p w14:paraId="6EF53DA6" w14:textId="77777777" w:rsidR="0056169D" w:rsidRPr="0056169D" w:rsidRDefault="0056169D" w:rsidP="0056169D">
      <w:pPr>
        <w:autoSpaceDE w:val="0"/>
        <w:autoSpaceDN w:val="0"/>
        <w:adjustRightInd w:val="0"/>
        <w:spacing w:after="0" w:line="360" w:lineRule="auto"/>
        <w:jc w:val="both"/>
        <w:rPr>
          <w:rStyle w:val="Lienhypertexte"/>
          <w:rFonts w:cstheme="minorHAnsi"/>
          <w:color w:val="auto"/>
          <w:u w:val="none"/>
        </w:rPr>
      </w:pPr>
    </w:p>
    <w:p w14:paraId="51B81A88" w14:textId="77777777" w:rsidR="00065609" w:rsidRPr="00CA23EC" w:rsidRDefault="00065609" w:rsidP="00CA23EC">
      <w:pPr>
        <w:autoSpaceDE w:val="0"/>
        <w:autoSpaceDN w:val="0"/>
        <w:adjustRightInd w:val="0"/>
        <w:spacing w:after="0" w:line="360" w:lineRule="auto"/>
        <w:jc w:val="both"/>
        <w:rPr>
          <w:rStyle w:val="Lienhypertexte"/>
          <w:rFonts w:cstheme="minorHAnsi"/>
          <w:color w:val="auto"/>
          <w:u w:val="none"/>
        </w:rPr>
      </w:pPr>
    </w:p>
    <w:p w14:paraId="2B145AB5" w14:textId="5A498675" w:rsidR="0000546D" w:rsidRPr="00524CF8" w:rsidRDefault="008A0507" w:rsidP="00E12DD3">
      <w:pPr>
        <w:pStyle w:val="Titre2"/>
      </w:pPr>
      <w:r w:rsidRPr="008A0507">
        <w:rPr>
          <w:rStyle w:val="Lienhypertexte"/>
          <w:color w:val="00B050"/>
          <w:u w:val="none"/>
        </w:rPr>
        <w:t>V Sources</w:t>
      </w:r>
    </w:p>
    <w:p w14:paraId="7E4DDF17" w14:textId="77777777" w:rsidR="00011B96" w:rsidRDefault="00011B96" w:rsidP="006E3753">
      <w:pPr>
        <w:jc w:val="both"/>
      </w:pPr>
    </w:p>
    <w:p w14:paraId="7A021842" w14:textId="0A71C5B0" w:rsidR="00B3413D" w:rsidRDefault="00B3413D" w:rsidP="0009273F">
      <w:pPr>
        <w:pStyle w:val="Notedebasdepage"/>
        <w:jc w:val="both"/>
        <w:rPr>
          <w:rFonts w:cstheme="minorHAnsi"/>
          <w:sz w:val="24"/>
          <w:szCs w:val="24"/>
        </w:rPr>
      </w:pPr>
      <w:r w:rsidRPr="0009273F">
        <w:rPr>
          <w:rFonts w:cstheme="minorHAnsi"/>
          <w:sz w:val="24"/>
          <w:szCs w:val="24"/>
        </w:rPr>
        <w:t>Annexes du programme de travail de la Commission pour 2019 du 23/10/2018, p. 12.</w:t>
      </w:r>
    </w:p>
    <w:p w14:paraId="49B996B3" w14:textId="77777777" w:rsidR="0009273F" w:rsidRPr="00DE0205" w:rsidRDefault="0009273F" w:rsidP="0009273F">
      <w:pPr>
        <w:pStyle w:val="Notedebasdepage"/>
        <w:jc w:val="both"/>
        <w:rPr>
          <w:rFonts w:cstheme="minorHAnsi"/>
          <w:sz w:val="24"/>
          <w:szCs w:val="24"/>
        </w:rPr>
      </w:pPr>
    </w:p>
    <w:p w14:paraId="61E788A3" w14:textId="1EA2DE00" w:rsidR="0009273F" w:rsidRPr="00DE0205" w:rsidRDefault="0009273F" w:rsidP="0009273F">
      <w:pPr>
        <w:rPr>
          <w:rStyle w:val="Lienhypertexte"/>
          <w:sz w:val="24"/>
          <w:szCs w:val="24"/>
        </w:rPr>
      </w:pPr>
      <w:r w:rsidRPr="00DE0205">
        <w:rPr>
          <w:sz w:val="24"/>
          <w:szCs w:val="24"/>
        </w:rPr>
        <w:t xml:space="preserve">Commission européenne, DG MOVE, Résultats de la consultation sur la rationalisation du RTE-T [en ligne] (page consultée le 24 novembre 2019) </w:t>
      </w:r>
      <w:hyperlink r:id="rId8" w:history="1">
        <w:r w:rsidRPr="00DE0205">
          <w:rPr>
            <w:rStyle w:val="Lienhypertexte"/>
            <w:sz w:val="24"/>
            <w:szCs w:val="24"/>
          </w:rPr>
          <w:t>https://ec.europa.eu/transport/themes/infrastructure/consultations/2017-ten-t-implementation_en</w:t>
        </w:r>
      </w:hyperlink>
    </w:p>
    <w:p w14:paraId="434D3E5E" w14:textId="77777777" w:rsidR="00DE0205" w:rsidRPr="00E12DD3" w:rsidRDefault="00DE0205" w:rsidP="00DE0205">
      <w:pPr>
        <w:autoSpaceDE w:val="0"/>
        <w:autoSpaceDN w:val="0"/>
        <w:adjustRightInd w:val="0"/>
        <w:spacing w:after="0" w:line="240" w:lineRule="auto"/>
        <w:rPr>
          <w:rFonts w:ascii="EC Square Sans Pro Thin" w:hAnsi="EC Square Sans Pro Thin" w:cs="EC Square Sans Pro Thin"/>
          <w:color w:val="000000"/>
          <w:sz w:val="24"/>
          <w:szCs w:val="24"/>
        </w:rPr>
      </w:pPr>
    </w:p>
    <w:p w14:paraId="055E668E" w14:textId="77777777" w:rsidR="00DE0205" w:rsidRPr="00DE0205" w:rsidRDefault="00DE0205" w:rsidP="00DE0205">
      <w:pPr>
        <w:pStyle w:val="Pa01"/>
        <w:rPr>
          <w:rFonts w:asciiTheme="minorHAnsi" w:hAnsiTheme="minorHAnsi" w:cstheme="minorHAnsi"/>
          <w:color w:val="000000"/>
          <w:lang w:val="en-GB"/>
        </w:rPr>
      </w:pPr>
      <w:r w:rsidRPr="00DE0205">
        <w:rPr>
          <w:rFonts w:asciiTheme="minorHAnsi" w:hAnsiTheme="minorHAnsi" w:cstheme="minorHAnsi"/>
          <w:lang w:val="en-GB"/>
        </w:rPr>
        <w:t xml:space="preserve">Commission européenne, </w:t>
      </w:r>
      <w:r w:rsidRPr="00DE0205">
        <w:rPr>
          <w:rStyle w:val="Lienhypertexte"/>
          <w:rFonts w:asciiTheme="minorHAnsi" w:hAnsiTheme="minorHAnsi" w:cstheme="minorHAnsi"/>
          <w:color w:val="auto"/>
          <w:u w:val="none"/>
          <w:lang w:val="en-GB"/>
        </w:rPr>
        <w:t>Final report, Study Report for an impact assessment on measures for the streamlining of TEN-T, Mobility and Transports, Commission européenne, Septembre 2018, 140 pages</w:t>
      </w:r>
    </w:p>
    <w:p w14:paraId="692B75A6" w14:textId="77777777" w:rsidR="00DE0205" w:rsidRPr="00DE0205" w:rsidRDefault="00DE0205" w:rsidP="0009273F">
      <w:pPr>
        <w:rPr>
          <w:rStyle w:val="Lienhypertexte"/>
          <w:color w:val="auto"/>
          <w:sz w:val="24"/>
          <w:szCs w:val="24"/>
          <w:u w:val="none"/>
          <w:lang w:val="en-GB"/>
        </w:rPr>
      </w:pPr>
    </w:p>
    <w:p w14:paraId="2BB1160F" w14:textId="141728B6" w:rsidR="00DA7C3E" w:rsidRPr="00DE0205" w:rsidRDefault="0009273F" w:rsidP="00D24147">
      <w:pPr>
        <w:jc w:val="both"/>
        <w:rPr>
          <w:rFonts w:ascii="Times New Roman" w:hAnsi="Times New Roman" w:cs="Times New Roman"/>
          <w:sz w:val="24"/>
          <w:szCs w:val="24"/>
          <w:lang w:val="en-GB"/>
        </w:rPr>
      </w:pPr>
      <w:r w:rsidRPr="00DE0205">
        <w:rPr>
          <w:rFonts w:cstheme="minorHAnsi"/>
          <w:sz w:val="24"/>
          <w:szCs w:val="24"/>
          <w:lang w:val="en-GB"/>
        </w:rPr>
        <w:t>COM(2018) 277 final</w:t>
      </w:r>
    </w:p>
    <w:p w14:paraId="262420D5" w14:textId="156E3A9E" w:rsidR="001F0433" w:rsidRPr="00DE0205" w:rsidRDefault="00B3413D" w:rsidP="0009273F">
      <w:pPr>
        <w:jc w:val="both"/>
        <w:rPr>
          <w:sz w:val="24"/>
          <w:szCs w:val="24"/>
          <w:lang w:val="en-GB"/>
        </w:rPr>
      </w:pPr>
      <w:r w:rsidRPr="00DE0205">
        <w:rPr>
          <w:sz w:val="24"/>
          <w:szCs w:val="24"/>
          <w:lang w:val="en-GB"/>
        </w:rPr>
        <w:t xml:space="preserve">H. Christophersen,  K. Bodewig, C. Secchi : </w:t>
      </w:r>
      <w:r w:rsidRPr="00DE0205">
        <w:rPr>
          <w:i/>
          <w:iCs/>
          <w:sz w:val="24"/>
          <w:szCs w:val="24"/>
          <w:lang w:val="en-GB"/>
        </w:rPr>
        <w:t>«Action Plan – Making the best use of new financial schemes for European transport infrastructure projects»</w:t>
      </w:r>
      <w:r w:rsidRPr="00DE0205">
        <w:rPr>
          <w:sz w:val="24"/>
          <w:szCs w:val="24"/>
          <w:lang w:val="en-GB"/>
        </w:rPr>
        <w:t>, juin 2015</w:t>
      </w:r>
    </w:p>
    <w:p w14:paraId="4C69B3FE" w14:textId="7CD821B0" w:rsidR="001F0433" w:rsidRPr="00DE0205" w:rsidRDefault="001F0433" w:rsidP="0009273F">
      <w:pPr>
        <w:pStyle w:val="Notedebasdepage"/>
        <w:jc w:val="both"/>
        <w:rPr>
          <w:sz w:val="24"/>
          <w:szCs w:val="24"/>
        </w:rPr>
      </w:pPr>
      <w:r w:rsidRPr="00DE0205">
        <w:rPr>
          <w:sz w:val="24"/>
          <w:szCs w:val="24"/>
        </w:rPr>
        <w:t xml:space="preserve">Eur-Lex, Procédure 2018/0138/COD [en ligne] (page consultée le 24 novembre 2019) </w:t>
      </w:r>
      <w:hyperlink r:id="rId9" w:history="1">
        <w:r w:rsidRPr="00DE0205">
          <w:rPr>
            <w:rStyle w:val="Lienhypertexte"/>
            <w:sz w:val="24"/>
            <w:szCs w:val="24"/>
          </w:rPr>
          <w:t>https://eur-lex.europa.eu/procedure/EN/2018_138</w:t>
        </w:r>
      </w:hyperlink>
    </w:p>
    <w:p w14:paraId="1BB6BC7C" w14:textId="20E0D22A" w:rsidR="001F0433" w:rsidRPr="00DE0205" w:rsidRDefault="001F0433" w:rsidP="0009273F">
      <w:pPr>
        <w:jc w:val="both"/>
        <w:rPr>
          <w:noProof/>
          <w:sz w:val="24"/>
          <w:szCs w:val="24"/>
        </w:rPr>
      </w:pPr>
    </w:p>
    <w:p w14:paraId="6BEB6760" w14:textId="76EA1056" w:rsidR="001F0433" w:rsidRPr="00DE0205" w:rsidRDefault="001F0433" w:rsidP="0009273F">
      <w:pPr>
        <w:pStyle w:val="Notedebasdepage"/>
        <w:jc w:val="both"/>
        <w:rPr>
          <w:sz w:val="24"/>
          <w:szCs w:val="24"/>
        </w:rPr>
      </w:pPr>
      <w:r w:rsidRPr="00DE0205">
        <w:rPr>
          <w:sz w:val="24"/>
          <w:szCs w:val="24"/>
        </w:rPr>
        <w:t xml:space="preserve">EU Who is who, Réseaux de transport (MOVE.DDG1.B.1) [en ligne] (page consultée le 24 novembre 2019) </w:t>
      </w:r>
      <w:hyperlink r:id="rId10" w:history="1">
        <w:r w:rsidRPr="00DE0205">
          <w:rPr>
            <w:rStyle w:val="Lienhypertexte"/>
            <w:sz w:val="24"/>
            <w:szCs w:val="24"/>
          </w:rPr>
          <w:t>https://op.europa.eu/fr/web/who-is-who/organization/-/organization/MOVE/COM_CRF_2086</w:t>
        </w:r>
      </w:hyperlink>
    </w:p>
    <w:p w14:paraId="0C81A6B6" w14:textId="77777777" w:rsidR="00F054D1" w:rsidRPr="00DE0205" w:rsidRDefault="00F054D1" w:rsidP="0009273F">
      <w:pPr>
        <w:pStyle w:val="Notedebasdepage"/>
        <w:jc w:val="both"/>
        <w:rPr>
          <w:sz w:val="24"/>
          <w:szCs w:val="24"/>
        </w:rPr>
      </w:pPr>
    </w:p>
    <w:p w14:paraId="29950D00" w14:textId="72E79FFD" w:rsidR="001F0433" w:rsidRPr="00DE0205" w:rsidRDefault="001F0433" w:rsidP="0009273F">
      <w:pPr>
        <w:jc w:val="both"/>
        <w:rPr>
          <w:rStyle w:val="Lienhypertexte"/>
          <w:sz w:val="24"/>
          <w:szCs w:val="24"/>
        </w:rPr>
      </w:pPr>
      <w:r w:rsidRPr="00DE0205">
        <w:rPr>
          <w:sz w:val="24"/>
          <w:szCs w:val="24"/>
        </w:rPr>
        <w:t xml:space="preserve">EU, Comité des représentants permanents — 1re partie [en ligne] (page consultée le 24 novembre </w:t>
      </w:r>
      <w:r w:rsidR="0056169D" w:rsidRPr="00DE0205">
        <w:rPr>
          <w:sz w:val="24"/>
          <w:szCs w:val="24"/>
        </w:rPr>
        <w:t>Who is who</w:t>
      </w:r>
      <w:r w:rsidR="0056169D" w:rsidRPr="00DE0205">
        <w:rPr>
          <w:sz w:val="24"/>
          <w:szCs w:val="24"/>
        </w:rPr>
        <w:t xml:space="preserve"> </w:t>
      </w:r>
      <w:r w:rsidRPr="00DE0205">
        <w:rPr>
          <w:sz w:val="24"/>
          <w:szCs w:val="24"/>
        </w:rPr>
        <w:t xml:space="preserve">2019) </w:t>
      </w:r>
      <w:hyperlink r:id="rId11" w:history="1">
        <w:r w:rsidRPr="00DE0205">
          <w:rPr>
            <w:rStyle w:val="Lienhypertexte"/>
            <w:sz w:val="24"/>
            <w:szCs w:val="24"/>
          </w:rPr>
          <w:t>https://op.europa.eu/fr/web/who-is-who/organization/-/organization/COREPER_I/COREPER_I</w:t>
        </w:r>
      </w:hyperlink>
    </w:p>
    <w:p w14:paraId="24A6D27A" w14:textId="77777777" w:rsidR="0009273F" w:rsidRPr="00DE0205" w:rsidRDefault="0009273F" w:rsidP="0009273F">
      <w:pPr>
        <w:pStyle w:val="Notedebasdepage"/>
        <w:jc w:val="both"/>
        <w:rPr>
          <w:sz w:val="24"/>
          <w:szCs w:val="24"/>
        </w:rPr>
      </w:pPr>
      <w:bookmarkStart w:id="2" w:name="_Hlk28975466"/>
      <w:r w:rsidRPr="00DE0205">
        <w:rPr>
          <w:sz w:val="24"/>
          <w:szCs w:val="24"/>
        </w:rPr>
        <w:t>LinkedIn, Siamak Jalali [en ligne] (page consultée le 2 décembre 2019)</w:t>
      </w:r>
    </w:p>
    <w:bookmarkEnd w:id="2"/>
    <w:p w14:paraId="2EE55981" w14:textId="77777777" w:rsidR="0009273F" w:rsidRPr="00DE0205" w:rsidRDefault="00F3236F" w:rsidP="0009273F">
      <w:pPr>
        <w:pStyle w:val="Notedebasdepage"/>
        <w:jc w:val="both"/>
        <w:rPr>
          <w:sz w:val="24"/>
          <w:szCs w:val="24"/>
        </w:rPr>
      </w:pPr>
      <w:r>
        <w:fldChar w:fldCharType="begin"/>
      </w:r>
      <w:r>
        <w:instrText xml:space="preserve"> HYPERLINK "https://www.linkedin.com/in/siamak-jalali-1ba</w:instrText>
      </w:r>
      <w:r>
        <w:instrText xml:space="preserve">84a28/?originalSubdomain=be" </w:instrText>
      </w:r>
      <w:r>
        <w:fldChar w:fldCharType="separate"/>
      </w:r>
      <w:r w:rsidR="0009273F" w:rsidRPr="00DE0205">
        <w:rPr>
          <w:rStyle w:val="Lienhypertexte"/>
          <w:sz w:val="24"/>
          <w:szCs w:val="24"/>
        </w:rPr>
        <w:t>https://www.linkedin.com/in/siamak-jalali-1ba84a28/?originalSubdomain=be</w:t>
      </w:r>
      <w:r>
        <w:rPr>
          <w:rStyle w:val="Lienhypertexte"/>
          <w:sz w:val="24"/>
          <w:szCs w:val="24"/>
        </w:rPr>
        <w:fldChar w:fldCharType="end"/>
      </w:r>
    </w:p>
    <w:p w14:paraId="22324968" w14:textId="77777777" w:rsidR="00D24147" w:rsidRPr="00DE0205" w:rsidRDefault="00D24147" w:rsidP="0009273F">
      <w:pPr>
        <w:jc w:val="both"/>
        <w:rPr>
          <w:sz w:val="24"/>
          <w:szCs w:val="24"/>
        </w:rPr>
      </w:pPr>
    </w:p>
    <w:p w14:paraId="79669F9D" w14:textId="57819B5E" w:rsidR="00867E75" w:rsidRPr="00DE0205" w:rsidRDefault="00DA7C3E" w:rsidP="0009273F">
      <w:pPr>
        <w:jc w:val="both"/>
        <w:rPr>
          <w:sz w:val="24"/>
          <w:szCs w:val="24"/>
        </w:rPr>
      </w:pPr>
      <w:r w:rsidRPr="00DE0205">
        <w:rPr>
          <w:sz w:val="24"/>
          <w:szCs w:val="24"/>
        </w:rPr>
        <w:t xml:space="preserve">Parlement européen, Observatoire législatif [en ligne] (page consultée le 24 novembre 2019) </w:t>
      </w:r>
      <w:r w:rsidR="00867E75" w:rsidRPr="00DE0205">
        <w:rPr>
          <w:sz w:val="24"/>
          <w:szCs w:val="24"/>
        </w:rPr>
        <w:t xml:space="preserve"> </w:t>
      </w:r>
      <w:hyperlink r:id="rId12" w:history="1">
        <w:r w:rsidR="00867E75" w:rsidRPr="00DE0205">
          <w:rPr>
            <w:rStyle w:val="Lienhypertexte"/>
            <w:sz w:val="24"/>
            <w:szCs w:val="24"/>
          </w:rPr>
          <w:t>https://oeil.secure.europarl.europa.eu/oeil/popups/ficheprocedure.do?lang=fr&amp;reference=2018/0138(COD)</w:t>
        </w:r>
      </w:hyperlink>
    </w:p>
    <w:p w14:paraId="659D8D51" w14:textId="42B09108" w:rsidR="00F054D1" w:rsidRPr="00DE0205" w:rsidRDefault="00F054D1" w:rsidP="0009273F">
      <w:pPr>
        <w:pStyle w:val="Notedebasdepage"/>
        <w:jc w:val="both"/>
        <w:rPr>
          <w:sz w:val="24"/>
          <w:szCs w:val="24"/>
        </w:rPr>
      </w:pPr>
      <w:r w:rsidRPr="00DE0205">
        <w:rPr>
          <w:sz w:val="24"/>
          <w:szCs w:val="24"/>
        </w:rPr>
        <w:t xml:space="preserve">Parlement européen, </w:t>
      </w:r>
      <w:r w:rsidR="00DA7C3E" w:rsidRPr="00DE0205">
        <w:rPr>
          <w:sz w:val="24"/>
          <w:szCs w:val="24"/>
        </w:rPr>
        <w:t>R</w:t>
      </w:r>
      <w:r w:rsidRPr="00DE0205">
        <w:rPr>
          <w:sz w:val="24"/>
          <w:szCs w:val="24"/>
        </w:rPr>
        <w:t xml:space="preserve">èglement intérieur, 8 ème législature, janvier 2015, « Titre II : procédure législatives, budgétaires et autres » [en ligne] (page consultée le 24 novembre 2019) </w:t>
      </w:r>
      <w:hyperlink r:id="rId13" w:history="1">
        <w:r w:rsidRPr="00DE0205">
          <w:rPr>
            <w:rStyle w:val="Lienhypertexte"/>
            <w:sz w:val="24"/>
            <w:szCs w:val="24"/>
          </w:rPr>
          <w:t>http://www.europarl.europa.eu/sides/getDoc.do?pubRef=-//EP//TEXT+RULES-EP+20150101+RULE-053+DOC+XML+V0//FR&amp;navigationBar=YES</w:t>
        </w:r>
      </w:hyperlink>
    </w:p>
    <w:p w14:paraId="14D25F45" w14:textId="27EE1A90" w:rsidR="00F054D1" w:rsidRPr="00DE0205" w:rsidRDefault="00F054D1" w:rsidP="0009273F">
      <w:pPr>
        <w:jc w:val="both"/>
        <w:rPr>
          <w:noProof/>
          <w:sz w:val="24"/>
          <w:szCs w:val="24"/>
        </w:rPr>
      </w:pPr>
    </w:p>
    <w:p w14:paraId="2BCC7AB1" w14:textId="35A815BF" w:rsidR="001B28C1" w:rsidRPr="00DE0205" w:rsidRDefault="0042004C" w:rsidP="0009273F">
      <w:pPr>
        <w:jc w:val="both"/>
        <w:rPr>
          <w:sz w:val="24"/>
          <w:szCs w:val="24"/>
        </w:rPr>
      </w:pPr>
      <w:r w:rsidRPr="00DE0205">
        <w:rPr>
          <w:noProof/>
          <w:sz w:val="24"/>
          <w:szCs w:val="24"/>
        </w:rPr>
        <w:t xml:space="preserve">The Parliament magazine, </w:t>
      </w:r>
      <w:r w:rsidR="001B28C1" w:rsidRPr="00DE0205">
        <w:rPr>
          <w:noProof/>
          <w:sz w:val="24"/>
          <w:szCs w:val="24"/>
        </w:rPr>
        <w:t>« </w:t>
      </w:r>
      <w:r w:rsidRPr="00DE0205">
        <w:rPr>
          <w:noProof/>
          <w:sz w:val="24"/>
          <w:szCs w:val="24"/>
        </w:rPr>
        <w:t>Shakers and Movers</w:t>
      </w:r>
      <w:r w:rsidR="001B28C1" w:rsidRPr="00DE0205">
        <w:rPr>
          <w:noProof/>
          <w:sz w:val="24"/>
          <w:szCs w:val="24"/>
        </w:rPr>
        <w:t> »</w:t>
      </w:r>
      <w:r w:rsidRPr="00DE0205">
        <w:rPr>
          <w:noProof/>
          <w:sz w:val="24"/>
          <w:szCs w:val="24"/>
        </w:rPr>
        <w:t>, 31 octobre 2016 [en ligne]</w:t>
      </w:r>
      <w:r w:rsidR="001B28C1" w:rsidRPr="00DE0205">
        <w:rPr>
          <w:noProof/>
          <w:sz w:val="24"/>
          <w:szCs w:val="24"/>
        </w:rPr>
        <w:t xml:space="preserve"> (page consultée le 24 novembre 2019) </w:t>
      </w:r>
      <w:r w:rsidR="00011B96" w:rsidRPr="00DE0205">
        <w:rPr>
          <w:sz w:val="24"/>
          <w:szCs w:val="24"/>
          <w:u w:val="single"/>
        </w:rPr>
        <w:t>theparliamentmagazine.eu/articles/news/movers-and-shakers-31-october-2016</w:t>
      </w:r>
    </w:p>
    <w:p w14:paraId="206D3D77" w14:textId="680B8844" w:rsidR="00011B96" w:rsidRPr="00DE0205" w:rsidRDefault="001B28C1" w:rsidP="0009273F">
      <w:pPr>
        <w:pStyle w:val="Notedebasdepage"/>
        <w:jc w:val="both"/>
        <w:rPr>
          <w:sz w:val="24"/>
          <w:szCs w:val="24"/>
        </w:rPr>
      </w:pPr>
      <w:r w:rsidRPr="00DE0205">
        <w:rPr>
          <w:sz w:val="24"/>
          <w:szCs w:val="24"/>
        </w:rPr>
        <w:t>Parlement européen, Fiche sur Dominique Riquet, 8</w:t>
      </w:r>
      <w:r w:rsidRPr="00DE0205">
        <w:rPr>
          <w:sz w:val="24"/>
          <w:szCs w:val="24"/>
          <w:vertAlign w:val="superscript"/>
        </w:rPr>
        <w:t>ème</w:t>
      </w:r>
      <w:r w:rsidRPr="00DE0205">
        <w:rPr>
          <w:sz w:val="24"/>
          <w:szCs w:val="24"/>
        </w:rPr>
        <w:t xml:space="preserve"> législature [en ligne] (page consultée le 24 novembre 2019)</w:t>
      </w:r>
    </w:p>
    <w:p w14:paraId="00F8AFED" w14:textId="226381EB" w:rsidR="00011B96" w:rsidRPr="00DE0205" w:rsidRDefault="00F3236F" w:rsidP="0009273F">
      <w:pPr>
        <w:jc w:val="both"/>
        <w:rPr>
          <w:rStyle w:val="Lienhypertexte"/>
          <w:sz w:val="24"/>
          <w:szCs w:val="24"/>
        </w:rPr>
      </w:pPr>
      <w:hyperlink r:id="rId14" w:anchor="mep-card-content" w:history="1">
        <w:r w:rsidR="00011B96" w:rsidRPr="00DE0205">
          <w:rPr>
            <w:rStyle w:val="Lienhypertexte"/>
            <w:sz w:val="24"/>
            <w:szCs w:val="24"/>
          </w:rPr>
          <w:t>https://www.europarl.europa.eu/meps/fr/96885/DOMINIQUE_RIQUET/history/8#mep-card-content</w:t>
        </w:r>
      </w:hyperlink>
    </w:p>
    <w:p w14:paraId="51159A51" w14:textId="77777777" w:rsidR="0009273F" w:rsidRPr="00DE0205" w:rsidRDefault="0009273F" w:rsidP="0009273F">
      <w:pPr>
        <w:pStyle w:val="Notedebasdepage"/>
        <w:jc w:val="both"/>
        <w:rPr>
          <w:sz w:val="24"/>
          <w:szCs w:val="24"/>
        </w:rPr>
      </w:pPr>
      <w:r w:rsidRPr="00DE0205">
        <w:rPr>
          <w:sz w:val="24"/>
          <w:szCs w:val="24"/>
        </w:rPr>
        <w:t>Parlement européen, Rapport sur la proposition de règlement du Parlement européen et du Conseil concernant des mesures de rationalisation en vue de progresser dans la réalisation du réseau transeuropéen de transport (COM(2018)0277 – C8-0192/2018 – 2018/0138(COD)) du 14 janvier 2019 [en ligne] (page consultée le 2 décembre 2019)</w:t>
      </w:r>
    </w:p>
    <w:p w14:paraId="44CE0020" w14:textId="77777777" w:rsidR="0009273F" w:rsidRPr="00DE0205" w:rsidRDefault="00F3236F" w:rsidP="0009273F">
      <w:pPr>
        <w:pStyle w:val="Notedebasdepage"/>
        <w:jc w:val="both"/>
        <w:rPr>
          <w:sz w:val="24"/>
          <w:szCs w:val="24"/>
        </w:rPr>
      </w:pPr>
      <w:hyperlink r:id="rId15" w:anchor="title1" w:history="1">
        <w:r w:rsidR="0009273F" w:rsidRPr="00DE0205">
          <w:rPr>
            <w:rStyle w:val="Lienhypertexte"/>
            <w:sz w:val="24"/>
            <w:szCs w:val="24"/>
          </w:rPr>
          <w:t>https://www.europarl.europa.eu/doceo/document/A-8-2019-0015_FR.html#title1</w:t>
        </w:r>
      </w:hyperlink>
    </w:p>
    <w:p w14:paraId="5E7BDE8C" w14:textId="3151A7C6" w:rsidR="0009273F" w:rsidRPr="00DE0205" w:rsidRDefault="0009273F" w:rsidP="0009273F">
      <w:pPr>
        <w:jc w:val="both"/>
        <w:rPr>
          <w:sz w:val="24"/>
          <w:szCs w:val="24"/>
        </w:rPr>
      </w:pPr>
    </w:p>
    <w:p w14:paraId="61212580" w14:textId="77777777" w:rsidR="00DE0205" w:rsidRPr="00DE0205" w:rsidRDefault="00DE0205" w:rsidP="00DE0205">
      <w:pPr>
        <w:rPr>
          <w:sz w:val="24"/>
          <w:szCs w:val="24"/>
        </w:rPr>
      </w:pPr>
      <w:r w:rsidRPr="00DE0205">
        <w:rPr>
          <w:sz w:val="24"/>
          <w:szCs w:val="24"/>
        </w:rPr>
        <w:t xml:space="preserve">Parlement européen, Cheminement du train législatif : rationalisation des mesure en vue de progresser dans la réalisation du réseau transeuropéen de transport [en ligne] (page consultée le 24 novembre 2019) </w:t>
      </w:r>
      <w:hyperlink r:id="rId16" w:history="1">
        <w:r w:rsidRPr="00DE0205">
          <w:rPr>
            <w:rStyle w:val="Lienhypertexte"/>
            <w:sz w:val="24"/>
            <w:szCs w:val="24"/>
          </w:rPr>
          <w:t>https://www.europarl.europa.eu/legislative-train/theme-resilient-energy-union-with-a-climate-change-policy/file-trans-european-transport-network-streamlining-measures</w:t>
        </w:r>
      </w:hyperlink>
    </w:p>
    <w:p w14:paraId="249E1F3D" w14:textId="77777777" w:rsidR="00DE0205" w:rsidRPr="00DE0205" w:rsidRDefault="00DE0205" w:rsidP="0009273F">
      <w:pPr>
        <w:jc w:val="both"/>
        <w:rPr>
          <w:sz w:val="24"/>
          <w:szCs w:val="24"/>
        </w:rPr>
      </w:pPr>
    </w:p>
    <w:p w14:paraId="49E6135D" w14:textId="1D778786" w:rsidR="00867E75" w:rsidRPr="00DE0205" w:rsidRDefault="001B28C1" w:rsidP="0009273F">
      <w:pPr>
        <w:jc w:val="both"/>
        <w:rPr>
          <w:sz w:val="24"/>
          <w:szCs w:val="24"/>
        </w:rPr>
      </w:pPr>
      <w:r w:rsidRPr="00DE0205">
        <w:rPr>
          <w:sz w:val="24"/>
          <w:szCs w:val="24"/>
        </w:rPr>
        <w:t xml:space="preserve">Observatoire législatif, Parlement européen, Fiche de procédure  2018/0138(COD) [en ligne] (page consultée le 24 novembre 2019) </w:t>
      </w:r>
      <w:hyperlink r:id="rId17" w:history="1">
        <w:r w:rsidRPr="00DE0205">
          <w:rPr>
            <w:rStyle w:val="Lienhypertexte"/>
            <w:sz w:val="24"/>
            <w:szCs w:val="24"/>
          </w:rPr>
          <w:t>https://oeil.secure.europarl.europa.eu/oeil/popups/ficheprocedure.do?lang=fr&amp;reference=2018/0138(COD)</w:t>
        </w:r>
      </w:hyperlink>
    </w:p>
    <w:p w14:paraId="1AE8344E" w14:textId="0F673FFD" w:rsidR="00867E75" w:rsidRPr="00DE0205" w:rsidRDefault="001B28C1" w:rsidP="0009273F">
      <w:pPr>
        <w:jc w:val="both"/>
        <w:rPr>
          <w:sz w:val="24"/>
          <w:szCs w:val="24"/>
        </w:rPr>
      </w:pPr>
      <w:r w:rsidRPr="00DE0205">
        <w:rPr>
          <w:sz w:val="24"/>
          <w:szCs w:val="24"/>
          <w:lang w:val="en-GB"/>
        </w:rPr>
        <w:t xml:space="preserve">Slide player, Presentation du thème: "Transport The new TEN-T guidelines Results of the legislative procedure Philippe Chantraine (MOVE B1), 24 Juin 2013."— </w:t>
      </w:r>
      <w:r w:rsidRPr="00DE0205">
        <w:rPr>
          <w:sz w:val="24"/>
          <w:szCs w:val="24"/>
        </w:rPr>
        <w:t xml:space="preserve">Transcription de la présentation. [en ligne] (page consultée le 2 décembre 2019) </w:t>
      </w:r>
      <w:hyperlink r:id="rId18" w:history="1">
        <w:r w:rsidRPr="00DE0205">
          <w:rPr>
            <w:rStyle w:val="Lienhypertexte"/>
            <w:sz w:val="24"/>
            <w:szCs w:val="24"/>
          </w:rPr>
          <w:t>https://slideplayer.com/slide/8491905/</w:t>
        </w:r>
      </w:hyperlink>
    </w:p>
    <w:p w14:paraId="088652FB" w14:textId="77777777" w:rsidR="00867E75" w:rsidRPr="00DE0205" w:rsidRDefault="00867E75" w:rsidP="0009273F">
      <w:pPr>
        <w:pStyle w:val="Notedebasdepage"/>
        <w:jc w:val="both"/>
        <w:rPr>
          <w:sz w:val="24"/>
          <w:szCs w:val="24"/>
        </w:rPr>
      </w:pPr>
    </w:p>
    <w:p w14:paraId="3DD5F172" w14:textId="04AF6C30" w:rsidR="0009273F" w:rsidRPr="00DE0205" w:rsidRDefault="0009273F" w:rsidP="0009273F">
      <w:pPr>
        <w:pStyle w:val="Notedebasdepage"/>
        <w:jc w:val="both"/>
        <w:rPr>
          <w:sz w:val="24"/>
          <w:szCs w:val="24"/>
        </w:rPr>
      </w:pPr>
      <w:r w:rsidRPr="00DE0205">
        <w:rPr>
          <w:sz w:val="24"/>
          <w:szCs w:val="24"/>
        </w:rPr>
        <w:t>Règlement (UE) n° 1315/2013 du 11 décembre 2013 concernant les orientations de l'Union pour le développement du réseau transeuropéen de transport</w:t>
      </w:r>
    </w:p>
    <w:p w14:paraId="539C6D44" w14:textId="77777777" w:rsidR="0009273F" w:rsidRPr="00DE0205" w:rsidRDefault="0009273F" w:rsidP="0009273F">
      <w:pPr>
        <w:pStyle w:val="Notedebasdepage"/>
        <w:jc w:val="both"/>
        <w:rPr>
          <w:rFonts w:cstheme="minorHAnsi"/>
          <w:sz w:val="24"/>
          <w:szCs w:val="24"/>
        </w:rPr>
      </w:pPr>
    </w:p>
    <w:p w14:paraId="3318B527" w14:textId="28E56DBB" w:rsidR="0009273F" w:rsidRPr="00DE0205" w:rsidRDefault="0009273F" w:rsidP="0009273F">
      <w:pPr>
        <w:pStyle w:val="Notedebasdepage"/>
        <w:jc w:val="both"/>
        <w:rPr>
          <w:sz w:val="24"/>
          <w:szCs w:val="24"/>
        </w:rPr>
      </w:pPr>
      <w:r w:rsidRPr="00DE0205">
        <w:rPr>
          <w:sz w:val="24"/>
          <w:szCs w:val="24"/>
        </w:rPr>
        <w:t xml:space="preserve">Toute l’Europe : le RTE-T [en ligne] (page consultée le 24 novembre 2019)  </w:t>
      </w:r>
      <w:r w:rsidRPr="00DE0205">
        <w:rPr>
          <w:sz w:val="24"/>
          <w:szCs w:val="24"/>
          <w:u w:val="single"/>
        </w:rPr>
        <w:t>https://www.touteleurope.eu/actualite/le-reseau-trans-europeen-de-transport.html</w:t>
      </w:r>
    </w:p>
    <w:p w14:paraId="6426C163" w14:textId="77777777" w:rsidR="0009273F" w:rsidRPr="0009273F" w:rsidRDefault="0009273F" w:rsidP="0009273F">
      <w:pPr>
        <w:pStyle w:val="Notedebasdepage"/>
        <w:jc w:val="both"/>
        <w:rPr>
          <w:sz w:val="24"/>
          <w:szCs w:val="24"/>
        </w:rPr>
      </w:pPr>
    </w:p>
    <w:p w14:paraId="158DFC59" w14:textId="77777777" w:rsidR="00B17ADE" w:rsidRPr="0009273F" w:rsidRDefault="00B17ADE" w:rsidP="0009273F">
      <w:pPr>
        <w:pStyle w:val="Notedebasdepage"/>
        <w:jc w:val="both"/>
        <w:rPr>
          <w:rStyle w:val="Lienhypertexte"/>
          <w:sz w:val="24"/>
          <w:szCs w:val="24"/>
        </w:rPr>
      </w:pPr>
    </w:p>
    <w:p w14:paraId="5516EE42" w14:textId="77777777" w:rsidR="00867E75" w:rsidRPr="00B17ADE" w:rsidRDefault="00867E75" w:rsidP="00867E75">
      <w:pPr>
        <w:pStyle w:val="Notedebasdepage"/>
      </w:pPr>
    </w:p>
    <w:sectPr w:rsidR="00867E75" w:rsidRPr="00B17A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F9107" w14:textId="77777777" w:rsidR="00F3236F" w:rsidRDefault="00F3236F" w:rsidP="00BF4679">
      <w:pPr>
        <w:spacing w:after="0" w:line="240" w:lineRule="auto"/>
      </w:pPr>
      <w:r>
        <w:separator/>
      </w:r>
    </w:p>
  </w:endnote>
  <w:endnote w:type="continuationSeparator" w:id="0">
    <w:p w14:paraId="08EBB876" w14:textId="77777777" w:rsidR="00F3236F" w:rsidRDefault="00F3236F" w:rsidP="00BF4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EC Square Sans Pro Thin">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D403B" w14:textId="77777777" w:rsidR="00F3236F" w:rsidRDefault="00F3236F" w:rsidP="00BF4679">
      <w:pPr>
        <w:spacing w:after="0" w:line="240" w:lineRule="auto"/>
      </w:pPr>
      <w:r>
        <w:separator/>
      </w:r>
    </w:p>
  </w:footnote>
  <w:footnote w:type="continuationSeparator" w:id="0">
    <w:p w14:paraId="75738756" w14:textId="77777777" w:rsidR="00F3236F" w:rsidRDefault="00F3236F" w:rsidP="00BF4679">
      <w:pPr>
        <w:spacing w:after="0" w:line="240" w:lineRule="auto"/>
      </w:pPr>
      <w:r>
        <w:continuationSeparator/>
      </w:r>
    </w:p>
  </w:footnote>
  <w:footnote w:id="1">
    <w:p w14:paraId="5EE65D00" w14:textId="664DE5F8" w:rsidR="00BF4679" w:rsidRPr="001E2A76" w:rsidRDefault="00BF4679" w:rsidP="00BF4679">
      <w:pPr>
        <w:pStyle w:val="Default"/>
        <w:rPr>
          <w:rFonts w:asciiTheme="minorHAnsi" w:hAnsiTheme="minorHAnsi" w:cstheme="minorHAnsi"/>
          <w:sz w:val="20"/>
          <w:szCs w:val="20"/>
        </w:rPr>
      </w:pPr>
      <w:r w:rsidRPr="001E2A76">
        <w:rPr>
          <w:rStyle w:val="Appelnotedebasdep"/>
          <w:rFonts w:asciiTheme="minorHAnsi" w:hAnsiTheme="minorHAnsi" w:cstheme="minorHAnsi"/>
          <w:sz w:val="20"/>
          <w:szCs w:val="20"/>
        </w:rPr>
        <w:footnoteRef/>
      </w:r>
      <w:r w:rsidRPr="001E2A76">
        <w:rPr>
          <w:rFonts w:asciiTheme="minorHAnsi" w:hAnsiTheme="minorHAnsi" w:cstheme="minorHAnsi"/>
          <w:sz w:val="20"/>
          <w:szCs w:val="20"/>
        </w:rPr>
        <w:t>COM(2018) 277 final</w:t>
      </w:r>
    </w:p>
  </w:footnote>
  <w:footnote w:id="2">
    <w:p w14:paraId="0577C49B" w14:textId="4BD44C3F" w:rsidR="00BF4679" w:rsidRPr="00B3413D" w:rsidRDefault="00BF4679">
      <w:pPr>
        <w:pStyle w:val="Notedebasdepage"/>
        <w:rPr>
          <w:rFonts w:cstheme="minorHAnsi"/>
        </w:rPr>
      </w:pPr>
      <w:r>
        <w:rPr>
          <w:rStyle w:val="Appelnotedebasdep"/>
        </w:rPr>
        <w:footnoteRef/>
      </w:r>
      <w:r>
        <w:t xml:space="preserve"> </w:t>
      </w:r>
      <w:r w:rsidR="001E7C73" w:rsidRPr="00B3413D">
        <w:rPr>
          <w:rFonts w:cstheme="minorHAnsi"/>
        </w:rPr>
        <w:t>Annexes du p</w:t>
      </w:r>
      <w:r w:rsidRPr="00B3413D">
        <w:rPr>
          <w:rFonts w:cstheme="minorHAnsi"/>
        </w:rPr>
        <w:t>rogramme de travail de la Commission pour 2019</w:t>
      </w:r>
      <w:r w:rsidR="001E7C73" w:rsidRPr="00B3413D">
        <w:rPr>
          <w:rFonts w:cstheme="minorHAnsi"/>
        </w:rPr>
        <w:t xml:space="preserve"> du 23/10/2018</w:t>
      </w:r>
      <w:r w:rsidRPr="00B3413D">
        <w:rPr>
          <w:rFonts w:cstheme="minorHAnsi"/>
        </w:rPr>
        <w:t xml:space="preserve">, p. </w:t>
      </w:r>
      <w:r w:rsidR="001E7C73" w:rsidRPr="00B3413D">
        <w:rPr>
          <w:rFonts w:cstheme="minorHAnsi"/>
        </w:rPr>
        <w:t>12</w:t>
      </w:r>
      <w:r w:rsidRPr="00B3413D">
        <w:rPr>
          <w:rFonts w:cstheme="minorHAnsi"/>
        </w:rPr>
        <w:t>.</w:t>
      </w:r>
    </w:p>
  </w:footnote>
  <w:footnote w:id="3">
    <w:p w14:paraId="1D227C0A" w14:textId="53096B7D" w:rsidR="00DD1955" w:rsidRPr="00B3413D" w:rsidRDefault="00DD1955" w:rsidP="001E2A76">
      <w:pPr>
        <w:pStyle w:val="Default"/>
        <w:rPr>
          <w:color w:val="auto"/>
        </w:rPr>
      </w:pPr>
      <w:r w:rsidRPr="00B3413D">
        <w:rPr>
          <w:rStyle w:val="Appelnotedebasdep"/>
          <w:rFonts w:asciiTheme="minorHAnsi" w:hAnsiTheme="minorHAnsi" w:cstheme="minorHAnsi"/>
          <w:color w:val="auto"/>
          <w:sz w:val="20"/>
          <w:szCs w:val="20"/>
        </w:rPr>
        <w:footnoteRef/>
      </w:r>
      <w:r w:rsidRPr="00B3413D">
        <w:rPr>
          <w:rFonts w:asciiTheme="minorHAnsi" w:hAnsiTheme="minorHAnsi" w:cstheme="minorHAnsi"/>
          <w:color w:val="auto"/>
          <w:sz w:val="20"/>
          <w:szCs w:val="20"/>
        </w:rPr>
        <w:t xml:space="preserve"> </w:t>
      </w:r>
      <w:r w:rsidR="001E2A76" w:rsidRPr="00B3413D">
        <w:rPr>
          <w:rFonts w:asciiTheme="minorHAnsi" w:hAnsiTheme="minorHAnsi" w:cstheme="minorHAnsi"/>
          <w:color w:val="auto"/>
          <w:sz w:val="20"/>
          <w:szCs w:val="20"/>
        </w:rPr>
        <w:t>COM(2018) 277 final, p.3.</w:t>
      </w:r>
    </w:p>
  </w:footnote>
  <w:footnote w:id="4">
    <w:p w14:paraId="4822CB65" w14:textId="5DA1292B" w:rsidR="00D117D8" w:rsidRPr="00B3413D" w:rsidRDefault="00D117D8">
      <w:pPr>
        <w:pStyle w:val="Notedebasdepage"/>
      </w:pPr>
      <w:r w:rsidRPr="00B3413D">
        <w:rPr>
          <w:rStyle w:val="Appelnotedebasdep"/>
        </w:rPr>
        <w:footnoteRef/>
      </w:r>
      <w:r w:rsidRPr="00B3413D">
        <w:t xml:space="preserve"> Toute l’Europe : le RTE-T https://www.touteleurope.eu/actualite/le-reseau-trans-europeen-de-transport.html</w:t>
      </w:r>
    </w:p>
  </w:footnote>
  <w:footnote w:id="5">
    <w:p w14:paraId="4C9F9D3B" w14:textId="7282C780" w:rsidR="00496A8A" w:rsidRPr="00B3413D" w:rsidRDefault="00496A8A">
      <w:pPr>
        <w:pStyle w:val="Notedebasdepage"/>
      </w:pPr>
      <w:r w:rsidRPr="00B3413D">
        <w:rPr>
          <w:rStyle w:val="Appelnotedebasdep"/>
        </w:rPr>
        <w:footnoteRef/>
      </w:r>
      <w:r w:rsidRPr="00B3413D">
        <w:t xml:space="preserve"> </w:t>
      </w:r>
      <w:r w:rsidR="002F4B8C" w:rsidRPr="00B3413D">
        <w:t>Règlement (UE) n° 1315/2013 du 11 décembre 2013 concernant les orientations de l'Union pour le développement du réseau transeuropéen de transport</w:t>
      </w:r>
    </w:p>
  </w:footnote>
  <w:footnote w:id="6">
    <w:p w14:paraId="4ED952A2" w14:textId="283C54AD" w:rsidR="002F4B8C" w:rsidRPr="00B3413D" w:rsidRDefault="002F4B8C">
      <w:pPr>
        <w:pStyle w:val="Notedebasdepage"/>
        <w:rPr>
          <w:lang w:val="en-GB"/>
        </w:rPr>
      </w:pPr>
      <w:r w:rsidRPr="00B3413D">
        <w:rPr>
          <w:rStyle w:val="Appelnotedebasdep"/>
        </w:rPr>
        <w:footnoteRef/>
      </w:r>
      <w:r w:rsidRPr="00B3413D">
        <w:rPr>
          <w:lang w:val="en-GB"/>
        </w:rPr>
        <w:t xml:space="preserve"> </w:t>
      </w:r>
      <w:r w:rsidR="00B3413D" w:rsidRPr="00B3413D">
        <w:rPr>
          <w:lang w:val="en-GB"/>
        </w:rPr>
        <w:t xml:space="preserve">H. Christophersen,  K. Bodewig, C. Secchi : </w:t>
      </w:r>
      <w:r w:rsidR="00B3413D" w:rsidRPr="00B3413D">
        <w:rPr>
          <w:i/>
          <w:iCs/>
          <w:lang w:val="en-GB"/>
        </w:rPr>
        <w:t>«Action Plan – Making the best use of new financial schemes for European transport infrastructure projects»</w:t>
      </w:r>
      <w:r w:rsidR="00B3413D" w:rsidRPr="00B3413D">
        <w:rPr>
          <w:lang w:val="en-GB"/>
        </w:rPr>
        <w:t>, juin 2015</w:t>
      </w:r>
    </w:p>
  </w:footnote>
  <w:footnote w:id="7">
    <w:p w14:paraId="2CC16A19" w14:textId="77777777" w:rsidR="002F4B8C" w:rsidRPr="00B3413D" w:rsidRDefault="002F4B8C" w:rsidP="002F4B8C">
      <w:pPr>
        <w:pStyle w:val="Notedebasdepage"/>
        <w:rPr>
          <w:lang w:val="en-GB"/>
        </w:rPr>
      </w:pPr>
      <w:r w:rsidRPr="00B3413D">
        <w:rPr>
          <w:rStyle w:val="Appelnotedebasdep"/>
        </w:rPr>
        <w:footnoteRef/>
      </w:r>
      <w:r w:rsidRPr="00B3413D">
        <w:rPr>
          <w:lang w:val="en-GB"/>
        </w:rPr>
        <w:t xml:space="preserve"> </w:t>
      </w:r>
      <w:r w:rsidRPr="00B3413D">
        <w:rPr>
          <w:rFonts w:cstheme="minorHAnsi"/>
          <w:lang w:val="en-GB"/>
        </w:rPr>
        <w:t>COM(2018) 277 final, p.1.</w:t>
      </w:r>
    </w:p>
  </w:footnote>
  <w:footnote w:id="8">
    <w:p w14:paraId="7F4038B9" w14:textId="4BE7A242" w:rsidR="00E1566D" w:rsidRPr="00B3413D" w:rsidRDefault="00E1566D">
      <w:pPr>
        <w:pStyle w:val="Notedebasdepage"/>
        <w:rPr>
          <w:lang w:val="en-GB"/>
        </w:rPr>
      </w:pPr>
      <w:r w:rsidRPr="00B3413D">
        <w:rPr>
          <w:rStyle w:val="Appelnotedebasdep"/>
        </w:rPr>
        <w:footnoteRef/>
      </w:r>
      <w:r w:rsidRPr="00B3413D">
        <w:rPr>
          <w:lang w:val="en-GB"/>
        </w:rPr>
        <w:t xml:space="preserve"> Idem.</w:t>
      </w:r>
    </w:p>
  </w:footnote>
  <w:footnote w:id="9">
    <w:p w14:paraId="1F70CD4D" w14:textId="71BD5D60" w:rsidR="00E1566D" w:rsidRPr="00E1566D" w:rsidRDefault="00E1566D">
      <w:pPr>
        <w:pStyle w:val="Notedebasdepage"/>
        <w:rPr>
          <w:lang w:val="en-GB"/>
        </w:rPr>
      </w:pPr>
      <w:r w:rsidRPr="00B3413D">
        <w:rPr>
          <w:rStyle w:val="Appelnotedebasdep"/>
        </w:rPr>
        <w:footnoteRef/>
      </w:r>
      <w:r w:rsidRPr="00B3413D">
        <w:rPr>
          <w:lang w:val="en-GB"/>
        </w:rPr>
        <w:t xml:space="preserve"> </w:t>
      </w:r>
      <w:r w:rsidRPr="00B3413D">
        <w:rPr>
          <w:rFonts w:cstheme="minorHAnsi"/>
          <w:lang w:val="en-GB"/>
        </w:rPr>
        <w:t>COM(2018) 277 final, p.6.</w:t>
      </w:r>
    </w:p>
  </w:footnote>
  <w:footnote w:id="10">
    <w:p w14:paraId="3761A904" w14:textId="73512318" w:rsidR="003C5BFD" w:rsidRPr="0056169D" w:rsidRDefault="003C5BFD">
      <w:pPr>
        <w:pStyle w:val="Notedebasdepage"/>
      </w:pPr>
      <w:r>
        <w:rPr>
          <w:rStyle w:val="Appelnotedebasdep"/>
        </w:rPr>
        <w:footnoteRef/>
      </w:r>
      <w:r w:rsidRPr="0056169D">
        <w:t xml:space="preserve"> </w:t>
      </w:r>
      <w:r w:rsidR="0056169D" w:rsidRPr="0056169D">
        <w:t xml:space="preserve">Eur-Lex, Procédure 2018/0138/COD [en ligne] (page consultée le 24 novembre 2019) </w:t>
      </w:r>
      <w:hyperlink r:id="rId1" w:history="1">
        <w:r w:rsidRPr="0056169D">
          <w:rPr>
            <w:rStyle w:val="Lienhypertexte"/>
          </w:rPr>
          <w:t>https://eur-lex.europa.eu/procedure/EN/2018_138</w:t>
        </w:r>
      </w:hyperlink>
    </w:p>
  </w:footnote>
  <w:footnote w:id="11">
    <w:p w14:paraId="7375B1C1" w14:textId="46518243" w:rsidR="00F47F74" w:rsidRPr="0056169D" w:rsidRDefault="00F47F74">
      <w:pPr>
        <w:pStyle w:val="Notedebasdepage"/>
      </w:pPr>
      <w:r>
        <w:rPr>
          <w:rStyle w:val="Appelnotedebasdep"/>
        </w:rPr>
        <w:footnoteRef/>
      </w:r>
      <w:r w:rsidR="0056169D" w:rsidRPr="0056169D">
        <w:t xml:space="preserve">EU Who is who, Réseaux de transport (MOVE.DDG1.B.1) [en ligne] (page consultée le 24 novembre 2019) </w:t>
      </w:r>
      <w:r w:rsidRPr="0056169D">
        <w:t xml:space="preserve"> </w:t>
      </w:r>
      <w:hyperlink r:id="rId2" w:history="1">
        <w:r w:rsidRPr="0056169D">
          <w:rPr>
            <w:rStyle w:val="Lienhypertexte"/>
          </w:rPr>
          <w:t>https://op.europa.eu/fr/web/who-is-who/organization/-/organization/MOVE/COM_CRF_2086</w:t>
        </w:r>
      </w:hyperlink>
    </w:p>
  </w:footnote>
  <w:footnote w:id="12">
    <w:p w14:paraId="3791E2DB" w14:textId="6362161A" w:rsidR="00C45377" w:rsidRPr="0056169D" w:rsidRDefault="00C45377">
      <w:pPr>
        <w:pStyle w:val="Notedebasdepage"/>
      </w:pPr>
      <w:r>
        <w:rPr>
          <w:rStyle w:val="Appelnotedebasdep"/>
        </w:rPr>
        <w:footnoteRef/>
      </w:r>
      <w:r w:rsidR="0056169D">
        <w:t xml:space="preserve"> </w:t>
      </w:r>
      <w:r w:rsidR="0056169D" w:rsidRPr="0056169D">
        <w:t xml:space="preserve">Parlement européen, Règlement intérieur, 8 ème législature, janvier 2015, « Titre II : procédure législatives, budgétaires et autres » [en ligne] (page consultée le 24 novembre 2019) </w:t>
      </w:r>
      <w:r w:rsidRPr="0056169D">
        <w:t xml:space="preserve"> </w:t>
      </w:r>
      <w:hyperlink r:id="rId3" w:history="1">
        <w:r w:rsidRPr="0056169D">
          <w:rPr>
            <w:rStyle w:val="Lienhypertexte"/>
          </w:rPr>
          <w:t>http://www.europarl.europa.eu/sides/getDoc.do?pubRef=-//EP//TEXT+RULES-EP+20150101+RULE-053+DOC+XML+V0//FR&amp;navigationBar=YES</w:t>
        </w:r>
      </w:hyperlink>
    </w:p>
  </w:footnote>
  <w:footnote w:id="13">
    <w:p w14:paraId="1F8466BC" w14:textId="070D9B7A" w:rsidR="00DA7C3E" w:rsidRPr="00DA7C3E" w:rsidRDefault="00DA7C3E">
      <w:pPr>
        <w:pStyle w:val="Notedebasdepage"/>
      </w:pPr>
      <w:r>
        <w:rPr>
          <w:rStyle w:val="Appelnotedebasdep"/>
        </w:rPr>
        <w:footnoteRef/>
      </w:r>
      <w:r w:rsidRPr="00DA7C3E">
        <w:t xml:space="preserve"> </w:t>
      </w:r>
      <w:r w:rsidR="0056169D" w:rsidRPr="0056169D">
        <w:t>Observatoire législatif, Parlement européen, Fiche de procédure  2018/0138(COD) [en ligne] (page consultée le 24 novembre 2019)</w:t>
      </w:r>
      <w:r w:rsidR="0056169D">
        <w:t xml:space="preserve"> </w:t>
      </w:r>
      <w:hyperlink r:id="rId4" w:history="1">
        <w:r w:rsidR="0056169D" w:rsidRPr="007F0445">
          <w:rPr>
            <w:rStyle w:val="Lienhypertexte"/>
          </w:rPr>
          <w:t>https://oeil.secure.europarl.europa.eu/oeil/popups/ficheprocedure.do?reference=2018/0138(COD)&amp;l=en</w:t>
        </w:r>
      </w:hyperlink>
    </w:p>
  </w:footnote>
  <w:footnote w:id="14">
    <w:p w14:paraId="25E4AF6A" w14:textId="37589668" w:rsidR="00041C43" w:rsidRPr="00DA7C3E" w:rsidRDefault="00041C43">
      <w:pPr>
        <w:pStyle w:val="Notedebasdepage"/>
      </w:pPr>
      <w:r>
        <w:rPr>
          <w:rStyle w:val="Appelnotedebasdep"/>
        </w:rPr>
        <w:footnoteRef/>
      </w:r>
      <w:r w:rsidRPr="00DA7C3E">
        <w:t xml:space="preserve"> </w:t>
      </w:r>
      <w:r w:rsidR="0056169D" w:rsidRPr="0056169D">
        <w:t xml:space="preserve">EU, Comité des représentants permanents — 1re partie [en ligne] (page consultée le 24 novembre Who is who 2019) </w:t>
      </w:r>
      <w:hyperlink r:id="rId5" w:history="1">
        <w:r w:rsidR="0056169D" w:rsidRPr="007F0445">
          <w:rPr>
            <w:rStyle w:val="Lienhypertexte"/>
          </w:rPr>
          <w:t>https://op.europa.eu/fr/web/who-is-who/organization/-/organization/COREPER_I/COREPER_I</w:t>
        </w:r>
      </w:hyperlink>
    </w:p>
  </w:footnote>
  <w:footnote w:id="15">
    <w:p w14:paraId="04DFFF5B" w14:textId="40E5B4EE" w:rsidR="00814B77" w:rsidRDefault="00814B77">
      <w:pPr>
        <w:pStyle w:val="Notedebasdepage"/>
      </w:pPr>
      <w:r>
        <w:rPr>
          <w:rStyle w:val="Appelnotedebasdep"/>
        </w:rPr>
        <w:footnoteRef/>
      </w:r>
      <w:r>
        <w:t xml:space="preserve"> </w:t>
      </w:r>
      <w:r w:rsidR="0056169D" w:rsidRPr="0056169D">
        <w:t xml:space="preserve">Commission européenne, DG MOVE, Résultats de la consultation sur la rationalisation du RTE-T [en ligne] (page consultée le 24 novembre 2019) </w:t>
      </w:r>
      <w:hyperlink r:id="rId6" w:history="1">
        <w:r>
          <w:rPr>
            <w:rStyle w:val="Lienhypertexte"/>
          </w:rPr>
          <w:t>https://ec.europa.eu/transport/themes/infrastructure/consultations/2017-ten-t-implementation_en</w:t>
        </w:r>
      </w:hyperlink>
    </w:p>
  </w:footnote>
  <w:footnote w:id="16">
    <w:p w14:paraId="073B8A0B" w14:textId="73B18C5D" w:rsidR="00604566" w:rsidRPr="0056169D" w:rsidRDefault="00604566">
      <w:pPr>
        <w:pStyle w:val="Notedebasdepage"/>
      </w:pPr>
      <w:r>
        <w:rPr>
          <w:rStyle w:val="Appelnotedebasdep"/>
        </w:rPr>
        <w:footnoteRef/>
      </w:r>
      <w:r w:rsidR="0056169D" w:rsidRPr="0056169D">
        <w:t xml:space="preserve"> Observatoir</w:t>
      </w:r>
      <w:r w:rsidR="0056169D">
        <w:t>e législatif, op.cit.</w:t>
      </w:r>
      <w:r w:rsidRPr="0056169D">
        <w:t xml:space="preserve"> </w:t>
      </w:r>
      <w:hyperlink r:id="rId7" w:history="1">
        <w:r w:rsidRPr="0056169D">
          <w:rPr>
            <w:rStyle w:val="Lienhypertexte"/>
          </w:rPr>
          <w:t>https://oeil.secure.europarl.europa.eu/oeil/popups/ficheprocedure.do?lang=fr&amp;reference=2018/0138(COD)</w:t>
        </w:r>
      </w:hyperlink>
    </w:p>
  </w:footnote>
  <w:footnote w:id="17">
    <w:p w14:paraId="50ABF10C" w14:textId="7FF7A146" w:rsidR="00D27EF4" w:rsidRPr="0056169D" w:rsidRDefault="00D27EF4">
      <w:pPr>
        <w:pStyle w:val="Notedebasdepage"/>
        <w:rPr>
          <w:u w:val="single"/>
        </w:rPr>
      </w:pPr>
      <w:r>
        <w:rPr>
          <w:rStyle w:val="Appelnotedebasdep"/>
        </w:rPr>
        <w:footnoteRef/>
      </w:r>
      <w:r w:rsidRPr="0056169D">
        <w:t xml:space="preserve"> </w:t>
      </w:r>
      <w:r w:rsidR="0056169D" w:rsidRPr="0056169D">
        <w:t xml:space="preserve">The Parliament magazine, « Shakers and Movers », 31 octobre 2016 [en ligne] (page consultée le 24 novembre 2019) </w:t>
      </w:r>
      <w:r w:rsidRPr="0056169D">
        <w:rPr>
          <w:u w:val="single"/>
        </w:rPr>
        <w:t>theparliamentmagazine.eu/articles/news/movers-and-shakers-31-october-2016</w:t>
      </w:r>
    </w:p>
  </w:footnote>
  <w:footnote w:id="18">
    <w:p w14:paraId="1F964B4E" w14:textId="0DCE7345" w:rsidR="00F432EE" w:rsidRPr="0056169D" w:rsidRDefault="00F432EE">
      <w:pPr>
        <w:pStyle w:val="Notedebasdepage"/>
      </w:pPr>
      <w:r>
        <w:rPr>
          <w:rStyle w:val="Appelnotedebasdep"/>
        </w:rPr>
        <w:footnoteRef/>
      </w:r>
      <w:r w:rsidR="0056169D">
        <w:rPr>
          <w:lang w:val="en-GB"/>
        </w:rPr>
        <w:t xml:space="preserve"> </w:t>
      </w:r>
      <w:r w:rsidR="0056169D" w:rsidRPr="0056169D">
        <w:rPr>
          <w:lang w:val="en-GB"/>
        </w:rPr>
        <w:t xml:space="preserve">Slide player, Presentation du thème: "Transport The new TEN-T guidelines Results of the legislative procedure Philippe Chantraine (MOVE B1), 24 Juin 2013."— </w:t>
      </w:r>
      <w:r w:rsidR="0056169D" w:rsidRPr="0056169D">
        <w:t xml:space="preserve">Transcription de la présentation. [en ligne] (page consultée le 2 décembre 2019) </w:t>
      </w:r>
      <w:r w:rsidRPr="0056169D">
        <w:t xml:space="preserve"> </w:t>
      </w:r>
      <w:hyperlink r:id="rId8" w:history="1">
        <w:r w:rsidRPr="0056169D">
          <w:rPr>
            <w:rStyle w:val="Lienhypertexte"/>
          </w:rPr>
          <w:t>https://slideplayer.com/slide/8491905/</w:t>
        </w:r>
      </w:hyperlink>
    </w:p>
  </w:footnote>
  <w:footnote w:id="19">
    <w:p w14:paraId="22E9E3DB" w14:textId="587AA686" w:rsidR="00523F48" w:rsidRPr="0056169D" w:rsidRDefault="00523F48">
      <w:pPr>
        <w:pStyle w:val="Notedebasdepage"/>
      </w:pPr>
      <w:r>
        <w:rPr>
          <w:rStyle w:val="Appelnotedebasdep"/>
        </w:rPr>
        <w:footnoteRef/>
      </w:r>
      <w:r w:rsidRPr="0056169D">
        <w:t xml:space="preserve"> </w:t>
      </w:r>
      <w:r w:rsidR="0056169D" w:rsidRPr="0056169D">
        <w:t>LinkedIn, Siamak Jalali [en ligne] (page consultée le 2 décembre 2019)</w:t>
      </w:r>
      <w:r w:rsidR="0056169D" w:rsidRPr="0056169D">
        <w:t xml:space="preserve"> </w:t>
      </w:r>
      <w:hyperlink r:id="rId9" w:history="1">
        <w:r w:rsidRPr="0056169D">
          <w:rPr>
            <w:rStyle w:val="Lienhypertexte"/>
          </w:rPr>
          <w:t>https://www.linkedin.com/in/siamak-jalali-1ba84a28/?originalSubdomain=be</w:t>
        </w:r>
      </w:hyperlink>
    </w:p>
  </w:footnote>
  <w:footnote w:id="20">
    <w:p w14:paraId="4D4314AC" w14:textId="02F4E878" w:rsidR="001D269A" w:rsidRPr="0056169D" w:rsidRDefault="001D269A">
      <w:pPr>
        <w:pStyle w:val="Notedebasdepage"/>
      </w:pPr>
      <w:r>
        <w:rPr>
          <w:rStyle w:val="Appelnotedebasdep"/>
        </w:rPr>
        <w:footnoteRef/>
      </w:r>
      <w:r w:rsidR="0056169D" w:rsidRPr="0056169D">
        <w:t xml:space="preserve"> </w:t>
      </w:r>
      <w:r w:rsidR="0056169D" w:rsidRPr="0056169D">
        <w:t>Parlement européen, Fiche sur Dominique Riquet, 8ème législature [en ligne] (page consultée le 24 novembre 2019)</w:t>
      </w:r>
      <w:r w:rsidRPr="0056169D">
        <w:t xml:space="preserve"> </w:t>
      </w:r>
      <w:hyperlink r:id="rId10" w:anchor="mep-card-content" w:history="1">
        <w:r w:rsidRPr="0056169D">
          <w:rPr>
            <w:rStyle w:val="Lienhypertexte"/>
          </w:rPr>
          <w:t>https://www.europarl.europa.eu/meps/fr/96885/DOMINIQUE_RIQUET/history/8#mep-card-content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01C"/>
    <w:multiLevelType w:val="hybridMultilevel"/>
    <w:tmpl w:val="08948D60"/>
    <w:lvl w:ilvl="0" w:tplc="7C28753C">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612D35"/>
    <w:multiLevelType w:val="hybridMultilevel"/>
    <w:tmpl w:val="5DDEAA5A"/>
    <w:lvl w:ilvl="0" w:tplc="611E2DD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FF15FE"/>
    <w:multiLevelType w:val="hybridMultilevel"/>
    <w:tmpl w:val="F3549C46"/>
    <w:lvl w:ilvl="0" w:tplc="BEB0FDB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B1E"/>
    <w:rsid w:val="0000546D"/>
    <w:rsid w:val="00011B96"/>
    <w:rsid w:val="00023EFB"/>
    <w:rsid w:val="00037188"/>
    <w:rsid w:val="00041C43"/>
    <w:rsid w:val="00065609"/>
    <w:rsid w:val="000844E3"/>
    <w:rsid w:val="000863A3"/>
    <w:rsid w:val="0009273F"/>
    <w:rsid w:val="000933D4"/>
    <w:rsid w:val="000A1BD0"/>
    <w:rsid w:val="000C03A1"/>
    <w:rsid w:val="000C551E"/>
    <w:rsid w:val="000C580D"/>
    <w:rsid w:val="000D5A80"/>
    <w:rsid w:val="000F34CE"/>
    <w:rsid w:val="00101F51"/>
    <w:rsid w:val="001312D4"/>
    <w:rsid w:val="001341ED"/>
    <w:rsid w:val="00151A48"/>
    <w:rsid w:val="00165143"/>
    <w:rsid w:val="001679A8"/>
    <w:rsid w:val="001A20DC"/>
    <w:rsid w:val="001B28C1"/>
    <w:rsid w:val="001D269A"/>
    <w:rsid w:val="001E2A76"/>
    <w:rsid w:val="001E3C6F"/>
    <w:rsid w:val="001E4A02"/>
    <w:rsid w:val="001E7C73"/>
    <w:rsid w:val="001F0209"/>
    <w:rsid w:val="001F0433"/>
    <w:rsid w:val="001F687F"/>
    <w:rsid w:val="00207C98"/>
    <w:rsid w:val="00214D84"/>
    <w:rsid w:val="002218A8"/>
    <w:rsid w:val="002327E9"/>
    <w:rsid w:val="002818D9"/>
    <w:rsid w:val="00290703"/>
    <w:rsid w:val="002B32AA"/>
    <w:rsid w:val="002C0EFF"/>
    <w:rsid w:val="002E3AC2"/>
    <w:rsid w:val="002F4B8C"/>
    <w:rsid w:val="003112D3"/>
    <w:rsid w:val="00311EFF"/>
    <w:rsid w:val="00330925"/>
    <w:rsid w:val="00336C00"/>
    <w:rsid w:val="00345A15"/>
    <w:rsid w:val="003528C1"/>
    <w:rsid w:val="0036113A"/>
    <w:rsid w:val="00376C1B"/>
    <w:rsid w:val="003936C9"/>
    <w:rsid w:val="003A38A4"/>
    <w:rsid w:val="003B13B7"/>
    <w:rsid w:val="003C5BFD"/>
    <w:rsid w:val="003E403A"/>
    <w:rsid w:val="003E56C4"/>
    <w:rsid w:val="003F34D7"/>
    <w:rsid w:val="003F43DB"/>
    <w:rsid w:val="00412B2C"/>
    <w:rsid w:val="0042004C"/>
    <w:rsid w:val="00422EA8"/>
    <w:rsid w:val="00445667"/>
    <w:rsid w:val="00450C46"/>
    <w:rsid w:val="00460C55"/>
    <w:rsid w:val="0046673D"/>
    <w:rsid w:val="00476B2B"/>
    <w:rsid w:val="00493BE9"/>
    <w:rsid w:val="00496A8A"/>
    <w:rsid w:val="004A1C9C"/>
    <w:rsid w:val="004B7C89"/>
    <w:rsid w:val="004C0898"/>
    <w:rsid w:val="004C554B"/>
    <w:rsid w:val="004D3E50"/>
    <w:rsid w:val="00521E35"/>
    <w:rsid w:val="00523F48"/>
    <w:rsid w:val="00524CF8"/>
    <w:rsid w:val="005414D1"/>
    <w:rsid w:val="00552F5F"/>
    <w:rsid w:val="00553AB6"/>
    <w:rsid w:val="0056169D"/>
    <w:rsid w:val="005727A2"/>
    <w:rsid w:val="00576676"/>
    <w:rsid w:val="00576E7A"/>
    <w:rsid w:val="0059605C"/>
    <w:rsid w:val="005A50BC"/>
    <w:rsid w:val="005C57FC"/>
    <w:rsid w:val="005C5BD4"/>
    <w:rsid w:val="005E3195"/>
    <w:rsid w:val="005F6D71"/>
    <w:rsid w:val="00604566"/>
    <w:rsid w:val="00612D30"/>
    <w:rsid w:val="00633483"/>
    <w:rsid w:val="00640A80"/>
    <w:rsid w:val="00657FC7"/>
    <w:rsid w:val="006A0955"/>
    <w:rsid w:val="006D788A"/>
    <w:rsid w:val="006E3753"/>
    <w:rsid w:val="006F13FC"/>
    <w:rsid w:val="00701490"/>
    <w:rsid w:val="0071274D"/>
    <w:rsid w:val="00716294"/>
    <w:rsid w:val="00723F9E"/>
    <w:rsid w:val="007425B3"/>
    <w:rsid w:val="00745586"/>
    <w:rsid w:val="00762DC9"/>
    <w:rsid w:val="0076509E"/>
    <w:rsid w:val="00766FDB"/>
    <w:rsid w:val="00780DCF"/>
    <w:rsid w:val="007A21FD"/>
    <w:rsid w:val="007B4020"/>
    <w:rsid w:val="007D693A"/>
    <w:rsid w:val="007E585D"/>
    <w:rsid w:val="007F3770"/>
    <w:rsid w:val="0080757D"/>
    <w:rsid w:val="00814B77"/>
    <w:rsid w:val="008407CE"/>
    <w:rsid w:val="00847A03"/>
    <w:rsid w:val="00854285"/>
    <w:rsid w:val="008574D1"/>
    <w:rsid w:val="00867E75"/>
    <w:rsid w:val="00870917"/>
    <w:rsid w:val="00877502"/>
    <w:rsid w:val="00882E4D"/>
    <w:rsid w:val="008A0507"/>
    <w:rsid w:val="008E0382"/>
    <w:rsid w:val="00913F81"/>
    <w:rsid w:val="009541EA"/>
    <w:rsid w:val="00985238"/>
    <w:rsid w:val="009D7F9D"/>
    <w:rsid w:val="009F1D77"/>
    <w:rsid w:val="009F314B"/>
    <w:rsid w:val="00A16773"/>
    <w:rsid w:val="00A22B9A"/>
    <w:rsid w:val="00A31AA9"/>
    <w:rsid w:val="00A7693A"/>
    <w:rsid w:val="00A84359"/>
    <w:rsid w:val="00A947F4"/>
    <w:rsid w:val="00AD030C"/>
    <w:rsid w:val="00AD3E87"/>
    <w:rsid w:val="00AE6D21"/>
    <w:rsid w:val="00B17ADE"/>
    <w:rsid w:val="00B3413D"/>
    <w:rsid w:val="00B51EC5"/>
    <w:rsid w:val="00B66239"/>
    <w:rsid w:val="00B84A34"/>
    <w:rsid w:val="00B9171A"/>
    <w:rsid w:val="00BA677F"/>
    <w:rsid w:val="00BB5A8E"/>
    <w:rsid w:val="00BD69C1"/>
    <w:rsid w:val="00BF4679"/>
    <w:rsid w:val="00BF593B"/>
    <w:rsid w:val="00C03AAA"/>
    <w:rsid w:val="00C21459"/>
    <w:rsid w:val="00C30F27"/>
    <w:rsid w:val="00C44568"/>
    <w:rsid w:val="00C44CA9"/>
    <w:rsid w:val="00C45377"/>
    <w:rsid w:val="00C95100"/>
    <w:rsid w:val="00CA23EC"/>
    <w:rsid w:val="00D02244"/>
    <w:rsid w:val="00D05B2F"/>
    <w:rsid w:val="00D117D8"/>
    <w:rsid w:val="00D14412"/>
    <w:rsid w:val="00D24147"/>
    <w:rsid w:val="00D27EF4"/>
    <w:rsid w:val="00D34500"/>
    <w:rsid w:val="00D40A95"/>
    <w:rsid w:val="00D62232"/>
    <w:rsid w:val="00D843E4"/>
    <w:rsid w:val="00D862B7"/>
    <w:rsid w:val="00D96DE7"/>
    <w:rsid w:val="00DA5CEC"/>
    <w:rsid w:val="00DA7C3E"/>
    <w:rsid w:val="00DB6D25"/>
    <w:rsid w:val="00DD070C"/>
    <w:rsid w:val="00DD124B"/>
    <w:rsid w:val="00DD1955"/>
    <w:rsid w:val="00DE0205"/>
    <w:rsid w:val="00DE7F56"/>
    <w:rsid w:val="00E067AC"/>
    <w:rsid w:val="00E12DD3"/>
    <w:rsid w:val="00E1566D"/>
    <w:rsid w:val="00E17F3D"/>
    <w:rsid w:val="00E22BD5"/>
    <w:rsid w:val="00E74C9C"/>
    <w:rsid w:val="00E75162"/>
    <w:rsid w:val="00E800F9"/>
    <w:rsid w:val="00E900B9"/>
    <w:rsid w:val="00ED2652"/>
    <w:rsid w:val="00ED558F"/>
    <w:rsid w:val="00EE4B1E"/>
    <w:rsid w:val="00F054D1"/>
    <w:rsid w:val="00F11FB2"/>
    <w:rsid w:val="00F3236F"/>
    <w:rsid w:val="00F432EE"/>
    <w:rsid w:val="00F4735A"/>
    <w:rsid w:val="00F47F74"/>
    <w:rsid w:val="00F56969"/>
    <w:rsid w:val="00F72F4C"/>
    <w:rsid w:val="00F755B8"/>
    <w:rsid w:val="00F90320"/>
    <w:rsid w:val="00F91212"/>
    <w:rsid w:val="00F93747"/>
    <w:rsid w:val="00FA4A76"/>
    <w:rsid w:val="00FC336D"/>
    <w:rsid w:val="00FE30C6"/>
    <w:rsid w:val="00FE670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3ACD3"/>
  <w15:chartTrackingRefBased/>
  <w15:docId w15:val="{A955DB02-672E-4E10-AE80-58D964CC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A84359"/>
    <w:pPr>
      <w:keepNext/>
      <w:keepLines/>
      <w:spacing w:before="240" w:after="0"/>
      <w:jc w:val="center"/>
      <w:outlineLvl w:val="0"/>
    </w:pPr>
    <w:rPr>
      <w:rFonts w:eastAsiaTheme="majorEastAsia" w:cstheme="minorHAnsi"/>
      <w:b/>
      <w:sz w:val="44"/>
      <w:szCs w:val="48"/>
    </w:rPr>
  </w:style>
  <w:style w:type="paragraph" w:styleId="Titre2">
    <w:name w:val="heading 2"/>
    <w:basedOn w:val="Normal"/>
    <w:next w:val="Normal"/>
    <w:link w:val="Titre2Car"/>
    <w:autoRedefine/>
    <w:uiPriority w:val="9"/>
    <w:unhideWhenUsed/>
    <w:qFormat/>
    <w:rsid w:val="005A50BC"/>
    <w:pPr>
      <w:keepNext/>
      <w:keepLines/>
      <w:spacing w:before="40" w:after="0"/>
      <w:outlineLvl w:val="1"/>
    </w:pPr>
    <w:rPr>
      <w:rFonts w:asciiTheme="majorHAnsi" w:eastAsiaTheme="majorEastAsia" w:hAnsiTheme="majorHAnsi" w:cstheme="majorBidi"/>
      <w:b/>
      <w:color w:val="00B050"/>
      <w:sz w:val="26"/>
      <w:szCs w:val="26"/>
    </w:rPr>
  </w:style>
  <w:style w:type="paragraph" w:styleId="Titre3">
    <w:name w:val="heading 3"/>
    <w:basedOn w:val="Normal"/>
    <w:next w:val="Normal"/>
    <w:link w:val="Titre3Car"/>
    <w:uiPriority w:val="9"/>
    <w:unhideWhenUsed/>
    <w:qFormat/>
    <w:rsid w:val="00913F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84359"/>
    <w:rPr>
      <w:rFonts w:eastAsiaTheme="majorEastAsia" w:cstheme="minorHAnsi"/>
      <w:b/>
      <w:sz w:val="44"/>
      <w:szCs w:val="48"/>
    </w:rPr>
  </w:style>
  <w:style w:type="character" w:customStyle="1" w:styleId="Titre2Car">
    <w:name w:val="Titre 2 Car"/>
    <w:basedOn w:val="Policepardfaut"/>
    <w:link w:val="Titre2"/>
    <w:uiPriority w:val="9"/>
    <w:rsid w:val="005A50BC"/>
    <w:rPr>
      <w:rFonts w:asciiTheme="majorHAnsi" w:eastAsiaTheme="majorEastAsia" w:hAnsiTheme="majorHAnsi" w:cstheme="majorBidi"/>
      <w:b/>
      <w:color w:val="00B050"/>
      <w:sz w:val="26"/>
      <w:szCs w:val="26"/>
    </w:rPr>
  </w:style>
  <w:style w:type="paragraph" w:styleId="NormalWeb">
    <w:name w:val="Normal (Web)"/>
    <w:basedOn w:val="Normal"/>
    <w:uiPriority w:val="99"/>
    <w:semiHidden/>
    <w:unhideWhenUsed/>
    <w:rsid w:val="00553AB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553AB6"/>
    <w:rPr>
      <w:color w:val="0000FF"/>
      <w:u w:val="single"/>
    </w:rPr>
  </w:style>
  <w:style w:type="paragraph" w:styleId="Paragraphedeliste">
    <w:name w:val="List Paragraph"/>
    <w:basedOn w:val="Normal"/>
    <w:uiPriority w:val="34"/>
    <w:qFormat/>
    <w:rsid w:val="001F687F"/>
    <w:pPr>
      <w:ind w:left="720"/>
      <w:contextualSpacing/>
    </w:pPr>
  </w:style>
  <w:style w:type="paragraph" w:customStyle="1" w:styleId="Default">
    <w:name w:val="Default"/>
    <w:rsid w:val="001F687F"/>
    <w:pPr>
      <w:autoSpaceDE w:val="0"/>
      <w:autoSpaceDN w:val="0"/>
      <w:adjustRightInd w:val="0"/>
      <w:spacing w:after="0" w:line="240" w:lineRule="auto"/>
    </w:pPr>
    <w:rPr>
      <w:rFonts w:ascii="Times New Roman" w:hAnsi="Times New Roman" w:cs="Times New Roman"/>
      <w:color w:val="000000"/>
      <w:sz w:val="24"/>
      <w:szCs w:val="24"/>
    </w:rPr>
  </w:style>
  <w:style w:type="character" w:styleId="lev">
    <w:name w:val="Strong"/>
    <w:basedOn w:val="Policepardfaut"/>
    <w:uiPriority w:val="22"/>
    <w:qFormat/>
    <w:rsid w:val="00DB6D25"/>
    <w:rPr>
      <w:b/>
      <w:bCs/>
    </w:rPr>
  </w:style>
  <w:style w:type="paragraph" w:styleId="Notedebasdepage">
    <w:name w:val="footnote text"/>
    <w:basedOn w:val="Normal"/>
    <w:link w:val="NotedebasdepageCar"/>
    <w:uiPriority w:val="99"/>
    <w:unhideWhenUsed/>
    <w:rsid w:val="00BF4679"/>
    <w:pPr>
      <w:spacing w:after="0" w:line="240" w:lineRule="auto"/>
    </w:pPr>
    <w:rPr>
      <w:sz w:val="20"/>
      <w:szCs w:val="20"/>
    </w:rPr>
  </w:style>
  <w:style w:type="character" w:customStyle="1" w:styleId="NotedebasdepageCar">
    <w:name w:val="Note de bas de page Car"/>
    <w:basedOn w:val="Policepardfaut"/>
    <w:link w:val="Notedebasdepage"/>
    <w:uiPriority w:val="99"/>
    <w:rsid w:val="00BF4679"/>
    <w:rPr>
      <w:sz w:val="20"/>
      <w:szCs w:val="20"/>
    </w:rPr>
  </w:style>
  <w:style w:type="character" w:styleId="Appelnotedebasdep">
    <w:name w:val="footnote reference"/>
    <w:basedOn w:val="Policepardfaut"/>
    <w:uiPriority w:val="99"/>
    <w:semiHidden/>
    <w:unhideWhenUsed/>
    <w:rsid w:val="00BF4679"/>
    <w:rPr>
      <w:vertAlign w:val="superscript"/>
    </w:rPr>
  </w:style>
  <w:style w:type="character" w:styleId="Lienhypertextesuivivisit">
    <w:name w:val="FollowedHyperlink"/>
    <w:basedOn w:val="Policepardfaut"/>
    <w:uiPriority w:val="99"/>
    <w:semiHidden/>
    <w:unhideWhenUsed/>
    <w:rsid w:val="00BF4679"/>
    <w:rPr>
      <w:color w:val="954F72" w:themeColor="followedHyperlink"/>
      <w:u w:val="single"/>
    </w:rPr>
  </w:style>
  <w:style w:type="character" w:styleId="Mentionnonrsolue">
    <w:name w:val="Unresolved Mention"/>
    <w:basedOn w:val="Policepardfaut"/>
    <w:uiPriority w:val="99"/>
    <w:semiHidden/>
    <w:unhideWhenUsed/>
    <w:rsid w:val="00B3413D"/>
    <w:rPr>
      <w:color w:val="605E5C"/>
      <w:shd w:val="clear" w:color="auto" w:fill="E1DFDD"/>
    </w:rPr>
  </w:style>
  <w:style w:type="paragraph" w:styleId="Sansinterligne">
    <w:name w:val="No Spacing"/>
    <w:uiPriority w:val="1"/>
    <w:qFormat/>
    <w:rsid w:val="00913F81"/>
    <w:pPr>
      <w:spacing w:after="0" w:line="240" w:lineRule="auto"/>
    </w:pPr>
  </w:style>
  <w:style w:type="character" w:customStyle="1" w:styleId="Titre3Car">
    <w:name w:val="Titre 3 Car"/>
    <w:basedOn w:val="Policepardfaut"/>
    <w:link w:val="Titre3"/>
    <w:uiPriority w:val="9"/>
    <w:rsid w:val="00913F81"/>
    <w:rPr>
      <w:rFonts w:asciiTheme="majorHAnsi" w:eastAsiaTheme="majorEastAsia" w:hAnsiTheme="majorHAnsi" w:cstheme="majorBidi"/>
      <w:color w:val="1F3763" w:themeColor="accent1" w:themeShade="7F"/>
      <w:sz w:val="24"/>
      <w:szCs w:val="24"/>
    </w:rPr>
  </w:style>
  <w:style w:type="paragraph" w:customStyle="1" w:styleId="Pa01">
    <w:name w:val="Pa0+1"/>
    <w:basedOn w:val="Default"/>
    <w:next w:val="Default"/>
    <w:uiPriority w:val="99"/>
    <w:rsid w:val="00E12DD3"/>
    <w:pPr>
      <w:spacing w:line="241" w:lineRule="atLeast"/>
    </w:pPr>
    <w:rPr>
      <w:rFonts w:ascii="Verdana" w:hAnsi="Verdana" w:cstheme="minorBidi"/>
      <w:color w:val="auto"/>
    </w:rPr>
  </w:style>
  <w:style w:type="character" w:customStyle="1" w:styleId="A21">
    <w:name w:val="A2+1"/>
    <w:uiPriority w:val="99"/>
    <w:rsid w:val="00E12DD3"/>
    <w:rPr>
      <w:rFonts w:cs="Verdana"/>
      <w:i/>
      <w:i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80022">
      <w:bodyDiv w:val="1"/>
      <w:marLeft w:val="0"/>
      <w:marRight w:val="0"/>
      <w:marTop w:val="0"/>
      <w:marBottom w:val="0"/>
      <w:divBdr>
        <w:top w:val="none" w:sz="0" w:space="0" w:color="auto"/>
        <w:left w:val="none" w:sz="0" w:space="0" w:color="auto"/>
        <w:bottom w:val="none" w:sz="0" w:space="0" w:color="auto"/>
        <w:right w:val="none" w:sz="0" w:space="0" w:color="auto"/>
      </w:divBdr>
    </w:div>
    <w:div w:id="479469871">
      <w:bodyDiv w:val="1"/>
      <w:marLeft w:val="0"/>
      <w:marRight w:val="0"/>
      <w:marTop w:val="0"/>
      <w:marBottom w:val="0"/>
      <w:divBdr>
        <w:top w:val="none" w:sz="0" w:space="0" w:color="auto"/>
        <w:left w:val="none" w:sz="0" w:space="0" w:color="auto"/>
        <w:bottom w:val="none" w:sz="0" w:space="0" w:color="auto"/>
        <w:right w:val="none" w:sz="0" w:space="0" w:color="auto"/>
      </w:divBdr>
    </w:div>
    <w:div w:id="626163708">
      <w:bodyDiv w:val="1"/>
      <w:marLeft w:val="0"/>
      <w:marRight w:val="0"/>
      <w:marTop w:val="0"/>
      <w:marBottom w:val="0"/>
      <w:divBdr>
        <w:top w:val="none" w:sz="0" w:space="0" w:color="auto"/>
        <w:left w:val="none" w:sz="0" w:space="0" w:color="auto"/>
        <w:bottom w:val="none" w:sz="0" w:space="0" w:color="auto"/>
        <w:right w:val="none" w:sz="0" w:space="0" w:color="auto"/>
      </w:divBdr>
    </w:div>
    <w:div w:id="662394354">
      <w:bodyDiv w:val="1"/>
      <w:marLeft w:val="0"/>
      <w:marRight w:val="0"/>
      <w:marTop w:val="0"/>
      <w:marBottom w:val="0"/>
      <w:divBdr>
        <w:top w:val="none" w:sz="0" w:space="0" w:color="auto"/>
        <w:left w:val="none" w:sz="0" w:space="0" w:color="auto"/>
        <w:bottom w:val="none" w:sz="0" w:space="0" w:color="auto"/>
        <w:right w:val="none" w:sz="0" w:space="0" w:color="auto"/>
      </w:divBdr>
    </w:div>
    <w:div w:id="1097557224">
      <w:bodyDiv w:val="1"/>
      <w:marLeft w:val="0"/>
      <w:marRight w:val="0"/>
      <w:marTop w:val="0"/>
      <w:marBottom w:val="0"/>
      <w:divBdr>
        <w:top w:val="none" w:sz="0" w:space="0" w:color="auto"/>
        <w:left w:val="none" w:sz="0" w:space="0" w:color="auto"/>
        <w:bottom w:val="none" w:sz="0" w:space="0" w:color="auto"/>
        <w:right w:val="none" w:sz="0" w:space="0" w:color="auto"/>
      </w:divBdr>
    </w:div>
    <w:div w:id="1350378658">
      <w:bodyDiv w:val="1"/>
      <w:marLeft w:val="0"/>
      <w:marRight w:val="0"/>
      <w:marTop w:val="0"/>
      <w:marBottom w:val="0"/>
      <w:divBdr>
        <w:top w:val="none" w:sz="0" w:space="0" w:color="auto"/>
        <w:left w:val="none" w:sz="0" w:space="0" w:color="auto"/>
        <w:bottom w:val="none" w:sz="0" w:space="0" w:color="auto"/>
        <w:right w:val="none" w:sz="0" w:space="0" w:color="auto"/>
      </w:divBdr>
    </w:div>
    <w:div w:id="1733428689">
      <w:bodyDiv w:val="1"/>
      <w:marLeft w:val="0"/>
      <w:marRight w:val="0"/>
      <w:marTop w:val="0"/>
      <w:marBottom w:val="0"/>
      <w:divBdr>
        <w:top w:val="none" w:sz="0" w:space="0" w:color="auto"/>
        <w:left w:val="none" w:sz="0" w:space="0" w:color="auto"/>
        <w:bottom w:val="none" w:sz="0" w:space="0" w:color="auto"/>
        <w:right w:val="none" w:sz="0" w:space="0" w:color="auto"/>
      </w:divBdr>
    </w:div>
    <w:div w:id="2068920123">
      <w:bodyDiv w:val="1"/>
      <w:marLeft w:val="0"/>
      <w:marRight w:val="0"/>
      <w:marTop w:val="0"/>
      <w:marBottom w:val="0"/>
      <w:divBdr>
        <w:top w:val="none" w:sz="0" w:space="0" w:color="auto"/>
        <w:left w:val="none" w:sz="0" w:space="0" w:color="auto"/>
        <w:bottom w:val="none" w:sz="0" w:space="0" w:color="auto"/>
        <w:right w:val="none" w:sz="0" w:space="0" w:color="auto"/>
      </w:divBdr>
    </w:div>
    <w:div w:id="2112580504">
      <w:bodyDiv w:val="1"/>
      <w:marLeft w:val="0"/>
      <w:marRight w:val="0"/>
      <w:marTop w:val="0"/>
      <w:marBottom w:val="0"/>
      <w:divBdr>
        <w:top w:val="none" w:sz="0" w:space="0" w:color="auto"/>
        <w:left w:val="none" w:sz="0" w:space="0" w:color="auto"/>
        <w:bottom w:val="none" w:sz="0" w:space="0" w:color="auto"/>
        <w:right w:val="none" w:sz="0" w:space="0" w:color="auto"/>
      </w:divBdr>
      <w:divsChild>
        <w:div w:id="1961494146">
          <w:marLeft w:val="0"/>
          <w:marRight w:val="0"/>
          <w:marTop w:val="0"/>
          <w:marBottom w:val="0"/>
          <w:divBdr>
            <w:top w:val="none" w:sz="0" w:space="0" w:color="auto"/>
            <w:left w:val="none" w:sz="0" w:space="0" w:color="auto"/>
            <w:bottom w:val="none" w:sz="0" w:space="0" w:color="auto"/>
            <w:right w:val="none" w:sz="0" w:space="0" w:color="auto"/>
          </w:divBdr>
        </w:div>
        <w:div w:id="1064110747">
          <w:marLeft w:val="0"/>
          <w:marRight w:val="0"/>
          <w:marTop w:val="0"/>
          <w:marBottom w:val="0"/>
          <w:divBdr>
            <w:top w:val="none" w:sz="0" w:space="0" w:color="auto"/>
            <w:left w:val="none" w:sz="0" w:space="0" w:color="auto"/>
            <w:bottom w:val="none" w:sz="0" w:space="0" w:color="auto"/>
            <w:right w:val="none" w:sz="0" w:space="0" w:color="auto"/>
          </w:divBdr>
        </w:div>
        <w:div w:id="1729919252">
          <w:marLeft w:val="0"/>
          <w:marRight w:val="0"/>
          <w:marTop w:val="0"/>
          <w:marBottom w:val="0"/>
          <w:divBdr>
            <w:top w:val="none" w:sz="0" w:space="0" w:color="auto"/>
            <w:left w:val="none" w:sz="0" w:space="0" w:color="auto"/>
            <w:bottom w:val="none" w:sz="0" w:space="0" w:color="auto"/>
            <w:right w:val="none" w:sz="0" w:space="0" w:color="auto"/>
          </w:divBdr>
        </w:div>
        <w:div w:id="472867768">
          <w:marLeft w:val="0"/>
          <w:marRight w:val="0"/>
          <w:marTop w:val="0"/>
          <w:marBottom w:val="0"/>
          <w:divBdr>
            <w:top w:val="none" w:sz="0" w:space="0" w:color="auto"/>
            <w:left w:val="none" w:sz="0" w:space="0" w:color="auto"/>
            <w:bottom w:val="none" w:sz="0" w:space="0" w:color="auto"/>
            <w:right w:val="none" w:sz="0" w:space="0" w:color="auto"/>
          </w:divBdr>
        </w:div>
        <w:div w:id="1032732724">
          <w:marLeft w:val="0"/>
          <w:marRight w:val="0"/>
          <w:marTop w:val="0"/>
          <w:marBottom w:val="0"/>
          <w:divBdr>
            <w:top w:val="none" w:sz="0" w:space="0" w:color="auto"/>
            <w:left w:val="none" w:sz="0" w:space="0" w:color="auto"/>
            <w:bottom w:val="none" w:sz="0" w:space="0" w:color="auto"/>
            <w:right w:val="none" w:sz="0" w:space="0" w:color="auto"/>
          </w:divBdr>
        </w:div>
        <w:div w:id="903219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ransport/themes/infrastructure/consultations/2017-ten-t-implementation_en" TargetMode="External"/><Relationship Id="rId13" Type="http://schemas.openxmlformats.org/officeDocument/2006/relationships/hyperlink" Target="http://www.europarl.europa.eu/sides/getDoc.do?pubRef=-//EP//TEXT+RULES-EP+20150101+RULE-053+DOC+XML+V0//FR&amp;navigationBar=YES" TargetMode="External"/><Relationship Id="rId18" Type="http://schemas.openxmlformats.org/officeDocument/2006/relationships/hyperlink" Target="https://slideplayer.com/slide/84919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eil.secure.europarl.europa.eu/oeil/popups/ficheprocedure.do?lang=fr&amp;reference=2018/0138(COD)" TargetMode="External"/><Relationship Id="rId17" Type="http://schemas.openxmlformats.org/officeDocument/2006/relationships/hyperlink" Target="https://oeil.secure.europarl.europa.eu/oeil/popups/ficheprocedure.do?lang=fr&amp;reference=2018/0138(COD)" TargetMode="External"/><Relationship Id="rId2" Type="http://schemas.openxmlformats.org/officeDocument/2006/relationships/numbering" Target="numbering.xml"/><Relationship Id="rId16" Type="http://schemas.openxmlformats.org/officeDocument/2006/relationships/hyperlink" Target="https://www.europarl.europa.eu/legislative-train/theme-resilient-energy-union-with-a-climate-change-policy/file-trans-european-transport-network-streamlining-measur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uropa.eu/fr/web/who-is-who/organization/-/organization/COREPER_I/COREPER_I" TargetMode="External"/><Relationship Id="rId5" Type="http://schemas.openxmlformats.org/officeDocument/2006/relationships/webSettings" Target="webSettings.xml"/><Relationship Id="rId15" Type="http://schemas.openxmlformats.org/officeDocument/2006/relationships/hyperlink" Target="https://www.europarl.europa.eu/doceo/document/A-8-2019-0015_FR.html" TargetMode="External"/><Relationship Id="rId10" Type="http://schemas.openxmlformats.org/officeDocument/2006/relationships/hyperlink" Target="https://op.europa.eu/fr/web/who-is-who/organization/-/organization/MOVE/COM_CRF_208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lex.europa.eu/procedure/EN/2018_138" TargetMode="External"/><Relationship Id="rId14" Type="http://schemas.openxmlformats.org/officeDocument/2006/relationships/hyperlink" Target="https://www.europarl.europa.eu/meps/fr/96885/DOMINIQUE_RIQUET/history/8"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slideplayer.com/slide/8491905/" TargetMode="External"/><Relationship Id="rId3" Type="http://schemas.openxmlformats.org/officeDocument/2006/relationships/hyperlink" Target="http://www.europarl.europa.eu/sides/getDoc.do?pubRef=-//EP//TEXT+RULES-EP+20150101+RULE-053+DOC+XML+V0//FR&amp;navigationBar=YES" TargetMode="External"/><Relationship Id="rId7" Type="http://schemas.openxmlformats.org/officeDocument/2006/relationships/hyperlink" Target="https://oeil.secure.europarl.europa.eu/oeil/popups/ficheprocedure.do?lang=fr&amp;reference=2018/0138(COD)" TargetMode="External"/><Relationship Id="rId2" Type="http://schemas.openxmlformats.org/officeDocument/2006/relationships/hyperlink" Target="https://op.europa.eu/fr/web/who-is-who/organization/-/organization/MOVE/COM_CRF_2086" TargetMode="External"/><Relationship Id="rId1" Type="http://schemas.openxmlformats.org/officeDocument/2006/relationships/hyperlink" Target="https://eur-lex.europa.eu/procedure/EN/2018_138" TargetMode="External"/><Relationship Id="rId6" Type="http://schemas.openxmlformats.org/officeDocument/2006/relationships/hyperlink" Target="https://ec.europa.eu/transport/themes/infrastructure/consultations/2017-ten-t-implementation_en" TargetMode="External"/><Relationship Id="rId5" Type="http://schemas.openxmlformats.org/officeDocument/2006/relationships/hyperlink" Target="https://op.europa.eu/fr/web/who-is-who/organization/-/organization/COREPER_I/COREPER_I" TargetMode="External"/><Relationship Id="rId10" Type="http://schemas.openxmlformats.org/officeDocument/2006/relationships/hyperlink" Target="https://www.europarl.europa.eu/meps/fr/96885/DOMINIQUE_RIQUET/history/8" TargetMode="External"/><Relationship Id="rId4" Type="http://schemas.openxmlformats.org/officeDocument/2006/relationships/hyperlink" Target="https://oeil.secure.europarl.europa.eu/oeil/popups/ficheprocedure.do?reference=2018/0138(COD)&amp;l=en" TargetMode="External"/><Relationship Id="rId9" Type="http://schemas.openxmlformats.org/officeDocument/2006/relationships/hyperlink" Target="https://www.linkedin.com/in/siamak-jalali-1ba84a28/?originalSubdomain=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36528-078C-44CC-B9D1-DFCE97380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4642</Words>
  <Characters>25531</Characters>
  <Application>Microsoft Office Word</Application>
  <DocSecurity>0</DocSecurity>
  <Lines>212</Lines>
  <Paragraphs>60</Paragraphs>
  <ScaleCrop>false</ScaleCrop>
  <HeadingPairs>
    <vt:vector size="4" baseType="variant">
      <vt:variant>
        <vt:lpstr>Titre</vt:lpstr>
      </vt:variant>
      <vt:variant>
        <vt:i4>1</vt:i4>
      </vt:variant>
      <vt:variant>
        <vt:lpstr>Titres</vt:lpstr>
      </vt:variant>
      <vt:variant>
        <vt:i4>7</vt:i4>
      </vt:variant>
    </vt:vector>
  </HeadingPairs>
  <TitlesOfParts>
    <vt:vector size="8" baseType="lpstr">
      <vt:lpstr/>
      <vt:lpstr>Diagnostic politique</vt:lpstr>
      <vt:lpstr>à l’attention de M. Didier GEORGAGAKIS</vt:lpstr>
      <vt:lpstr>    I Historique</vt:lpstr>
      <vt:lpstr>    II Les acteurs</vt:lpstr>
      <vt:lpstr>    III Rapports de force et stratégie</vt:lpstr>
      <vt:lpstr>    IV Recommandations </vt:lpstr>
      <vt:lpstr>    V Sources</vt:lpstr>
    </vt:vector>
  </TitlesOfParts>
  <Company/>
  <LinksUpToDate>false</LinksUpToDate>
  <CharactersWithSpaces>30113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Séphora Nowicki</dc:creator>
  <cp:keywords/>
  <dc:description/>
  <cp:lastModifiedBy>Séphora Nowicki</cp:lastModifiedBy>
  <cp:revision>101</cp:revision>
  <dcterms:created xsi:type="dcterms:W3CDTF">2019-10-29T20:07:00Z</dcterms:created>
  <dcterms:modified xsi:type="dcterms:W3CDTF">2020-01-03T19:26:00Z</dcterms:modified>
</cp:coreProperties>
</file>