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8C264" w14:textId="7F782516" w:rsidR="00C64F21" w:rsidRDefault="00C64F21" w:rsidP="00C64F21">
      <w:pPr>
        <w:jc w:val="center"/>
      </w:pPr>
      <w:r>
        <w:t>Mayotte : les migrations au cœur de "l'ingénierie démographique"</w:t>
      </w:r>
      <w:r w:rsidR="00FC58C6">
        <w:br/>
        <w:t>Philémon Mallet</w:t>
      </w:r>
    </w:p>
    <w:p w14:paraId="01411515" w14:textId="77777777" w:rsidR="00DD6679" w:rsidRDefault="00DD6679" w:rsidP="00C64F21">
      <w:pPr>
        <w:jc w:val="center"/>
      </w:pPr>
    </w:p>
    <w:p w14:paraId="52319046" w14:textId="4D9105E9" w:rsidR="005E671D" w:rsidRDefault="005E671D" w:rsidP="00EB3751">
      <w:pPr>
        <w:spacing w:after="0"/>
        <w:ind w:firstLine="708"/>
        <w:jc w:val="both"/>
      </w:pPr>
      <w:r>
        <w:t xml:space="preserve">Les enjeux démographiques ont acquis une place renouvelée au cours des dernières années </w:t>
      </w:r>
      <w:r w:rsidR="00A121E9">
        <w:t>dans</w:t>
      </w:r>
      <w:r>
        <w:t xml:space="preserve"> les </w:t>
      </w:r>
      <w:r w:rsidR="00A121E9">
        <w:t>discussions</w:t>
      </w:r>
      <w:r>
        <w:t xml:space="preserve"> médiatico-politiques françaises</w:t>
      </w:r>
      <w:r w:rsidR="00151F37">
        <w:t xml:space="preserve">, notamment par l'action de groupes conservateurs ou réactionnaires. Ceux-ci sont parvenu à normaliser des </w:t>
      </w:r>
      <w:r w:rsidR="00D96F66">
        <w:t xml:space="preserve">théories telles que "le grand remplacement" ou des projets tels que la "remigration". </w:t>
      </w:r>
      <w:r w:rsidR="00A121E9">
        <w:t>S'opposer à</w:t>
      </w:r>
      <w:r w:rsidR="00D96F66">
        <w:t xml:space="preserve"> la généralisation de ces thèmes ne doit pas mener à les exceptionnaliser</w:t>
      </w:r>
      <w:r w:rsidR="004E5C76">
        <w:t xml:space="preserve">. Au contraire, </w:t>
      </w:r>
      <w:r w:rsidR="00D96F66">
        <w:t>des logiques d'ingénierie démographique similaires sont au cœur des politiques publiques</w:t>
      </w:r>
      <w:r w:rsidR="00BC55EC">
        <w:t>.</w:t>
      </w:r>
    </w:p>
    <w:p w14:paraId="5B8193C3" w14:textId="127A24E8" w:rsidR="00D96F66" w:rsidRDefault="00D96F66" w:rsidP="00EB3751">
      <w:pPr>
        <w:spacing w:after="0"/>
        <w:ind w:firstLine="708"/>
        <w:jc w:val="both"/>
      </w:pPr>
      <w:r>
        <w:t>Le concept d'ingénierie démographique fut développé dans les années 1990 aux Etats-Unis dans les champs des études minoritaires et des études sur les génocides (Sigalas &amp; Toumarkine, 2008). Il fût réutilisé dans d'autres champs de recherche, notamment les études ottomanes. L</w:t>
      </w:r>
      <w:r w:rsidR="00A364B0">
        <w:t>e terme</w:t>
      </w:r>
      <w:r>
        <w:t xml:space="preserve"> sera ici utilisé</w:t>
      </w:r>
      <w:r w:rsidR="00A364B0">
        <w:t xml:space="preserve"> </w:t>
      </w:r>
      <w:r>
        <w:t xml:space="preserve">pour désigner un ensemble de politiques publiques, qui peuvent s'accompagner d'actions non-étatiques, qui </w:t>
      </w:r>
      <w:r w:rsidR="00A121E9">
        <w:t>f</w:t>
      </w:r>
      <w:r>
        <w:t xml:space="preserve">ont système dans </w:t>
      </w:r>
      <w:r w:rsidR="00A121E9">
        <w:t>le projet</w:t>
      </w:r>
      <w:r>
        <w:t xml:space="preserve"> d'instaurer un certain rapport démographique entre plusieurs groupes, réels ou imaginés, que ce soit par l'imposition d'une population à un territoire ou au contraire son expulsion (au sens large, non strictement territorial). Ces mesures à la fois résultent et renforcent des processus d'établissement de frontières sociales (</w:t>
      </w:r>
      <w:r w:rsidRPr="00D96F66">
        <w:rPr>
          <w:i/>
          <w:iCs/>
        </w:rPr>
        <w:t>boundaries</w:t>
      </w:r>
      <w:r>
        <w:t>) entre groupes</w:t>
      </w:r>
      <w:r w:rsidR="001E535F">
        <w:t xml:space="preserve"> et d'altérisation. Parmi ces mesures, on peut citer l'expulsion, l'extermination, le contrôle des naissances, de la sexualité, la réimplantation de populations, etc. </w:t>
      </w:r>
      <w:r w:rsidR="001E535F" w:rsidRPr="001E535F">
        <w:rPr>
          <w:lang w:val="en-US"/>
        </w:rPr>
        <w:t>McGarry note que l'ingénierie démographique recouvre des "</w:t>
      </w:r>
      <w:r w:rsidR="001E535F" w:rsidRPr="00281D11">
        <w:rPr>
          <w:i/>
          <w:iCs/>
          <w:lang w:val="en-US"/>
        </w:rPr>
        <w:t>measures which are both indirect and direct, and which involve both inducements and blunt force</w:t>
      </w:r>
      <w:r w:rsidR="001E535F">
        <w:rPr>
          <w:lang w:val="en-US"/>
        </w:rPr>
        <w:t xml:space="preserve">" (1998). </w:t>
      </w:r>
      <w:r w:rsidR="001E535F" w:rsidRPr="001E535F">
        <w:t>Ainsi, p</w:t>
      </w:r>
      <w:r w:rsidR="001E535F">
        <w:t>lutôt que d'exceptionnaliser de telles pratiques, notamment leurs formes les plus violentes et étendues, il me semble plus</w:t>
      </w:r>
      <w:r w:rsidR="00BC55EC">
        <w:t xml:space="preserve"> </w:t>
      </w:r>
      <w:r w:rsidR="001E535F">
        <w:t>intéressant de considérer que l'ingénierie démographique recouvre un continuum de discours et de pratiques, dont font certes partie l'apartheid ou l'extermination, mais aussi des mesures plus acceptées, comme l'enfermement et l'"expulsion" d'étrangers privés de titre de séjour. L'objectif serait alors de montrer que des logiques d'ingénierie démographique sont à l'œuvre dans les sociétés occidentales dites "démocratiques" et ne sont pas l'apanage de régimes qualifiés d'"autoritaires" ou "totalitaires".</w:t>
      </w:r>
    </w:p>
    <w:p w14:paraId="252CF561" w14:textId="1CF0C8F2" w:rsidR="00281D11" w:rsidRDefault="00281D11" w:rsidP="00EB3751">
      <w:pPr>
        <w:spacing w:after="0"/>
        <w:ind w:firstLine="708"/>
        <w:jc w:val="both"/>
      </w:pPr>
      <w:r>
        <w:t>Au risque d'assimiler ce concept à toute politique ayant des enjeux démographiques, il faut préciser que les mesures d'ingénierie démographique impliquent des rapports de pouvoir entre groupes sociaux, notamment ethniques ou raciaux. Ainsi, Emmanuel Blanchard (2019) précise qu'elles sont censées apporter une solution à des "problèmes" ou conflits labellisés comme ethniques. A la différence de politiques affectant chaque individu ou groupe également, l'ingénierie démographique "</w:t>
      </w:r>
      <w:r w:rsidRPr="003E5FB8">
        <w:rPr>
          <w:i/>
          <w:iCs/>
        </w:rPr>
        <w:t>increases the economic and political power of an ethnic group relative to others</w:t>
      </w:r>
      <w:r>
        <w:t>" (</w:t>
      </w:r>
      <w:r w:rsidRPr="00281D11">
        <w:t>Bookman, 1997</w:t>
      </w:r>
      <w:r>
        <w:t>, cité dans Sigalas &amp; Toumarkine, 2008). Elles visent des individus catégorisés en "groupe"</w:t>
      </w:r>
      <w:r w:rsidR="00C37FEF">
        <w:t>,</w:t>
      </w:r>
      <w:r>
        <w:t xml:space="preserve"> construit comme étranger et dangereux au groupe dominant (Noiriel, 2008).</w:t>
      </w:r>
    </w:p>
    <w:p w14:paraId="6DF1258F" w14:textId="7E05B0D1" w:rsidR="00281D11" w:rsidRPr="00F14839" w:rsidRDefault="00281D11" w:rsidP="00EB3751">
      <w:pPr>
        <w:spacing w:after="0"/>
        <w:ind w:firstLine="708"/>
        <w:jc w:val="both"/>
        <w:rPr>
          <w:strike/>
        </w:rPr>
      </w:pPr>
      <w:r>
        <w:t>La question migratoire, notamment par la définition</w:t>
      </w:r>
      <w:r w:rsidR="00703D9D">
        <w:t xml:space="preserve"> d'individus comme étant étrangers, et les mesures discriminatoires et d'exclusion qui en découlent,</w:t>
      </w:r>
      <w:r>
        <w:t xml:space="preserve"> est donc centrale pour comprendre l'ingénierie démographique.</w:t>
      </w:r>
      <w:r w:rsidR="00F83878">
        <w:t xml:space="preserve"> Si l'on peut argumenter que parler de question "migratoire" est déjà une ratification de catégories imposées par les Etats (notamment frontières, citoyen, étranger), je continuerai ici à utiliser ce terme, non en tant que donnée, mais comme construit, résultant d'actions </w:t>
      </w:r>
      <w:r w:rsidR="00975E42">
        <w:t xml:space="preserve">- notamment étatiques - </w:t>
      </w:r>
      <w:r w:rsidR="00F83878">
        <w:t xml:space="preserve">d'altérisation. Ce point de vigilance, s'il est également valable en hexagone, est particulièrement important à Mayotte, où la séparation entre "mahorais" et "comoriens" est à </w:t>
      </w:r>
      <w:r w:rsidR="003E5FB8">
        <w:t xml:space="preserve">replacer dans des </w:t>
      </w:r>
      <w:r w:rsidR="00A121E9">
        <w:t xml:space="preserve">processus coloniaux, décoloniaux et post-coloniaux </w:t>
      </w:r>
      <w:r w:rsidR="00975E42">
        <w:t xml:space="preserve">qui éclairent le caractère construit </w:t>
      </w:r>
      <w:r w:rsidR="003E5FB8">
        <w:t>de cette séparation</w:t>
      </w:r>
      <w:r w:rsidR="00F83878">
        <w:t>, au risque de relever d'une "pensée d'Etat" (Blanchard, 2019).</w:t>
      </w:r>
      <w:r w:rsidR="003E5FB8">
        <w:t xml:space="preserve"> En effet, au moins depuis la séparation </w:t>
      </w:r>
      <w:r w:rsidR="00C37FEF">
        <w:t xml:space="preserve">juridique </w:t>
      </w:r>
      <w:r w:rsidR="003E5FB8">
        <w:t xml:space="preserve">de Mayotte d'avec les Comores, </w:t>
      </w:r>
      <w:r w:rsidR="00975E42">
        <w:t xml:space="preserve">des </w:t>
      </w:r>
      <w:r w:rsidR="003E5FB8">
        <w:t xml:space="preserve">personnes </w:t>
      </w:r>
      <w:r w:rsidR="00975E42">
        <w:t xml:space="preserve">ont été </w:t>
      </w:r>
      <w:r w:rsidR="003E5FB8">
        <w:t>construites comme comoriennes</w:t>
      </w:r>
      <w:r w:rsidR="00975E42">
        <w:t xml:space="preserve"> et comme étrangères à Mayotte. Cela ne relève pas uniquement de constructions sociales, mais également de rapports de pouvoir matériels (expulsion, accès différencié </w:t>
      </w:r>
      <w:r w:rsidR="00975E42">
        <w:lastRenderedPageBreak/>
        <w:t xml:space="preserve">aux droits fondamentaux, </w:t>
      </w:r>
      <w:r w:rsidR="00BC55EC">
        <w:t>etc.</w:t>
      </w:r>
      <w:r w:rsidR="00975E42">
        <w:t>). L'enjeu des réflexions présentées ici est dès lors de tenter de déterminer dans quelles mesures le concept d'ingénierie démographique est pertinent pour comprendre la situation migratoire, notamment comorienne, à Mayotte. Plus précisément :</w:t>
      </w:r>
      <w:r w:rsidR="00C37FEF">
        <w:t xml:space="preserve"> en quoi les conditions d'entrée, de résidence et d'expulsion des Comoriens à Mayotte, façonnées par les politiques publiques et par la société civile mahoraise</w:t>
      </w:r>
      <w:r w:rsidR="00F14839">
        <w:t>,</w:t>
      </w:r>
      <w:r w:rsidR="0024476F">
        <w:t xml:space="preserve"> visent-elles à instaurer un rapport démographique fortement inégal</w:t>
      </w:r>
      <w:r w:rsidR="00F14839">
        <w:t xml:space="preserve"> </w:t>
      </w:r>
      <w:r w:rsidR="0024476F">
        <w:t>entre Français et Comoriens ?</w:t>
      </w:r>
    </w:p>
    <w:p w14:paraId="561BAF20" w14:textId="65099CE9" w:rsidR="008B35FF" w:rsidRDefault="00975E42" w:rsidP="00EB3751">
      <w:pPr>
        <w:ind w:firstLine="708"/>
        <w:jc w:val="both"/>
      </w:pPr>
      <w:r>
        <w:t xml:space="preserve">Dans un premier temps, je tenterai de présenter d'un point de vue historique l'altérisation des populations comoriennes, processus à la fois civil et étatique, et résultant dans </w:t>
      </w:r>
      <w:r w:rsidR="008B35FF">
        <w:t>l'attribution d'un problème à</w:t>
      </w:r>
      <w:r>
        <w:t xml:space="preserve"> des enjeux ethniques</w:t>
      </w:r>
      <w:r w:rsidR="008B35FF">
        <w:t xml:space="preserve">, préalable nécessaire à la mise en place de mesures d'ingénierie démographique. Les deux parties suivantes seront consacrées à l'application concrète de celle-ci, c’est-à-dire en deuxième partie la détermination de </w:t>
      </w:r>
      <w:r w:rsidR="008B35FF" w:rsidRPr="00F14839">
        <w:t>qui</w:t>
      </w:r>
      <w:r w:rsidR="008B35FF">
        <w:t xml:space="preserve"> </w:t>
      </w:r>
      <w:r w:rsidR="00F14839">
        <w:t xml:space="preserve">peut naitre </w:t>
      </w:r>
      <w:r w:rsidR="008B35FF">
        <w:t>sur le territoire de Mayotte et avec quels droits, et en troisième partie un</w:t>
      </w:r>
      <w:r w:rsidR="00F14839">
        <w:t xml:space="preserve">e présentation de </w:t>
      </w:r>
      <w:r w:rsidR="008B35FF">
        <w:t xml:space="preserve">la politique d'expulsion massive et sans garantie juridique </w:t>
      </w:r>
      <w:r w:rsidR="00A121E9">
        <w:t xml:space="preserve">réelle </w:t>
      </w:r>
      <w:r w:rsidR="008B35FF">
        <w:t xml:space="preserve">vers les Comores. </w:t>
      </w:r>
    </w:p>
    <w:p w14:paraId="3B8F5BE3" w14:textId="2E2CB6E6" w:rsidR="00975E42" w:rsidRDefault="00975E42" w:rsidP="00151F37">
      <w:pPr>
        <w:jc w:val="both"/>
      </w:pPr>
    </w:p>
    <w:p w14:paraId="0A9837BC" w14:textId="77777777" w:rsidR="009F70FF" w:rsidRPr="00F83878" w:rsidRDefault="009F70FF" w:rsidP="00151F37">
      <w:pPr>
        <w:jc w:val="both"/>
      </w:pPr>
    </w:p>
    <w:p w14:paraId="7F0A5DB9" w14:textId="34E9866A" w:rsidR="00EB3751" w:rsidRDefault="0012716E" w:rsidP="00EB3751">
      <w:pPr>
        <w:spacing w:after="0"/>
        <w:ind w:firstLine="708"/>
        <w:jc w:val="both"/>
      </w:pPr>
      <w:r>
        <w:t xml:space="preserve">Premièrement, l'histoire contemporaine de Mayotte est </w:t>
      </w:r>
      <w:r w:rsidR="00886A3E">
        <w:t>marquée</w:t>
      </w:r>
      <w:r>
        <w:t xml:space="preserve"> par </w:t>
      </w:r>
      <w:r w:rsidR="004A3009">
        <w:t>la relégation</w:t>
      </w:r>
      <w:r>
        <w:t xml:space="preserve"> progressive </w:t>
      </w:r>
      <w:r w:rsidR="009D310C">
        <w:t xml:space="preserve">des populations comoriennes dans une extranéité, </w:t>
      </w:r>
      <w:r w:rsidR="004A3009">
        <w:t xml:space="preserve">par l'Etat français et des groupes sociaux mahorais. </w:t>
      </w:r>
      <w:r w:rsidR="00BC55EC">
        <w:t xml:space="preserve">Cette relégation n'est pas d'emblée évidente. En effet, les appartenances dans l'archipel étaient avant les années 1950 "avant tout inscrites dans des sphères locales et le statut personnel musulman" (Blanchard, 2019). </w:t>
      </w:r>
      <w:r w:rsidR="003B4E2B">
        <w:t>S</w:t>
      </w:r>
      <w:r w:rsidR="00886A3E">
        <w:t xml:space="preserve">i le </w:t>
      </w:r>
      <w:r w:rsidR="003B4E2B">
        <w:t xml:space="preserve">référentiel comorien commun </w:t>
      </w:r>
      <w:r w:rsidR="00886A3E">
        <w:t>était entravé par des</w:t>
      </w:r>
      <w:r w:rsidR="003B4E2B">
        <w:t xml:space="preserve"> concurrences entre les îles, les circulations humaines entre les îles, par ailleurs encouragées par la France sous la colonisation, étaient denses. </w:t>
      </w:r>
      <w:r w:rsidR="00F14839">
        <w:t>Les habitants de Mayotte craignent</w:t>
      </w:r>
      <w:r w:rsidR="00886A3E">
        <w:t xml:space="preserve"> de manière croissante</w:t>
      </w:r>
      <w:r w:rsidR="003B4E2B">
        <w:t xml:space="preserve"> la domination des élites des Comores, notamment d'Anjouan. </w:t>
      </w:r>
      <w:r w:rsidR="00886A3E">
        <w:t xml:space="preserve">Le transfert de la capitale des Comores de Mayotte à Grande-Comore </w:t>
      </w:r>
      <w:r w:rsidR="00F14839">
        <w:t xml:space="preserve">décidé en 1958 </w:t>
      </w:r>
      <w:r w:rsidR="00886A3E">
        <w:t xml:space="preserve">consacre ces tensions. </w:t>
      </w:r>
      <w:r w:rsidR="003B4E2B">
        <w:t xml:space="preserve">La France joue un rôle important dans </w:t>
      </w:r>
      <w:r w:rsidR="00886A3E">
        <w:t>celles-ci</w:t>
      </w:r>
      <w:r w:rsidR="003B4E2B">
        <w:t xml:space="preserve">, qu'elle </w:t>
      </w:r>
      <w:r w:rsidR="00F14839">
        <w:t>nourrit</w:t>
      </w:r>
      <w:r w:rsidR="003B4E2B">
        <w:t xml:space="preserve"> comme moyen de gouverner les colonies et de neutraliser les projets indépendantistes. C'est donc le refus de ce qui est perçu comme un risque de "seconde occupation coloniale" par les Comores qui provoque le refus de l'indépendance en 1974 et le rattachement définitif à la France. </w:t>
      </w:r>
      <w:r w:rsidR="00F06842">
        <w:t xml:space="preserve">Le slogan "rester français pour rester libres" illustre </w:t>
      </w:r>
      <w:r w:rsidR="00F14839">
        <w:t xml:space="preserve">cette prime de </w:t>
      </w:r>
      <w:r w:rsidR="00A630AE">
        <w:t>la séparation d'avec les autres iles sur le rattachement à la France</w:t>
      </w:r>
      <w:r w:rsidR="00F06842">
        <w:t>.</w:t>
      </w:r>
    </w:p>
    <w:p w14:paraId="1B320316" w14:textId="491FD5CC" w:rsidR="00EB3751" w:rsidRDefault="00A630AE" w:rsidP="00EB3751">
      <w:pPr>
        <w:spacing w:after="0"/>
        <w:ind w:firstLine="708"/>
        <w:jc w:val="both"/>
      </w:pPr>
      <w:r>
        <w:t xml:space="preserve">Ce rapport conflictuel avec Comores et les Comoriens reste prévalent aujourd'hui. Nombreux sont les </w:t>
      </w:r>
      <w:r w:rsidR="00F14839">
        <w:t>M</w:t>
      </w:r>
      <w:r>
        <w:t>ahorais qui réduisent l'insécurité civile, et plus largement toutes les difficultés de Mayotte, à la question migratoire comorienne. Les problèmes</w:t>
      </w:r>
      <w:r w:rsidR="00886A3E">
        <w:t xml:space="preserve"> de l'île sont pensés comme trouvant</w:t>
      </w:r>
      <w:r>
        <w:t xml:space="preserve"> leur source dans un problème ethnique, appelant à des solutions d'ordre démographique.</w:t>
      </w:r>
    </w:p>
    <w:p w14:paraId="6F3CC669" w14:textId="50735503" w:rsidR="00BC55EC" w:rsidRDefault="00886A3E" w:rsidP="00EB3751">
      <w:pPr>
        <w:ind w:firstLine="708"/>
        <w:jc w:val="both"/>
      </w:pPr>
      <w:r>
        <w:t xml:space="preserve">La mise en place du "visa Balladur" en 1995 joue un rôle central pour consacrer la séparation de Mayotte d'avec les Comores, et par là les Mahorais d'avec les Comoriens. </w:t>
      </w:r>
      <w:r w:rsidR="00EB3751">
        <w:t>Alors que les circulations humaines étaient restées inchangées depuis l'indépendance</w:t>
      </w:r>
      <w:r w:rsidR="00F14839">
        <w:t xml:space="preserve">, les Comoriens </w:t>
      </w:r>
      <w:r w:rsidR="00F14337">
        <w:t>bénéficia</w:t>
      </w:r>
      <w:r w:rsidR="00F14839">
        <w:t>nt</w:t>
      </w:r>
      <w:r w:rsidR="00F14337">
        <w:t xml:space="preserve"> d'un visa automatique de 3 mois (Marie, breton &amp; Crouzet, 2018</w:t>
      </w:r>
      <w:r w:rsidR="00F14839">
        <w:t>)</w:t>
      </w:r>
      <w:r w:rsidR="00EB3751">
        <w:t>, l'immigration comorienne est croissement stigmatisée au début des années 1990. Ce visa, qui conditionne la légalité du séjour des Comoriens à Mayotte (et non sur le reste du territoire français), quasiment impossible à obtenir pour la plupart des Comoriens (Cottereau, 2021), consacre leur altérisation, mais également leur "illégalisation"</w:t>
      </w:r>
      <w:r w:rsidR="00F14839">
        <w:t xml:space="preserve"> (Bauder, 2014)</w:t>
      </w:r>
      <w:r w:rsidR="00EB3751">
        <w:t xml:space="preserve">. Par-là, il institue dans la loi la précarité de leur présence et </w:t>
      </w:r>
      <w:r w:rsidR="00F14839">
        <w:t xml:space="preserve">la matérialisation de </w:t>
      </w:r>
      <w:r w:rsidR="00EB3751">
        <w:t>leur caractère d'indésirables.</w:t>
      </w:r>
    </w:p>
    <w:p w14:paraId="2EFAA88E" w14:textId="5717E5AC" w:rsidR="00330F93" w:rsidRDefault="00330F93" w:rsidP="00EB3751">
      <w:pPr>
        <w:spacing w:after="0"/>
        <w:ind w:firstLine="708"/>
        <w:jc w:val="both"/>
      </w:pPr>
      <w:r>
        <w:t>Cependant, il serait mensonger de présenter ce processus comme externe à la société mahoraise</w:t>
      </w:r>
      <w:r w:rsidR="00954B9C">
        <w:t xml:space="preserve"> et uniquement imposé par l'Etat français</w:t>
      </w:r>
      <w:r>
        <w:t>. De nombreuses associations et collectifs participent, parfois de manière violente, à cette altérisation.</w:t>
      </w:r>
      <w:r w:rsidR="00500F2C">
        <w:t xml:space="preserve"> Des collectifs locaux organisent régulièrement </w:t>
      </w:r>
      <w:r w:rsidR="00FB0574">
        <w:t xml:space="preserve">(en particulier depuis 2016) </w:t>
      </w:r>
      <w:r w:rsidR="00500F2C">
        <w:t xml:space="preserve">des "décasages", opérations violentes visant à expulser les </w:t>
      </w:r>
      <w:r w:rsidR="00500F2C">
        <w:lastRenderedPageBreak/>
        <w:t>Comoriens avec ou sans papiers de leur lieu d'habitation (</w:t>
      </w:r>
      <w:r w:rsidR="00FB0574">
        <w:t>Hachimi Alaoui, Lemercier &amp; Palomares, 2019)</w:t>
      </w:r>
      <w:r w:rsidR="00500F2C">
        <w:t>.</w:t>
      </w:r>
      <w:r w:rsidR="00FB0574">
        <w:t xml:space="preserve"> Ces opérations résultent d'une méfiance de long terme des Mahorais vis-à-vis des Comoriens. Ceux-ci sont renvoyés au choix indépendantiste des Comores en 1976</w:t>
      </w:r>
      <w:r w:rsidR="00BC55EC">
        <w:t xml:space="preserve"> </w:t>
      </w:r>
      <w:r w:rsidR="00FB0574">
        <w:t xml:space="preserve">: ils ont voulu se séparer de la France, alors pourquoi y </w:t>
      </w:r>
      <w:r w:rsidR="00BC55EC">
        <w:t>revenir ?</w:t>
      </w:r>
      <w:r w:rsidR="00FB0574">
        <w:t xml:space="preserve"> La crainte avancée est celle d'une recolonisation</w:t>
      </w:r>
      <w:r w:rsidR="00954B9C">
        <w:t xml:space="preserve">, dans une logique alliant paradoxalement peur du grand remplacement et lutte </w:t>
      </w:r>
      <w:r w:rsidR="00FE2021">
        <w:t>anti-</w:t>
      </w:r>
      <w:r w:rsidR="00954B9C">
        <w:t>coloniale</w:t>
      </w:r>
      <w:r w:rsidR="00FB0574">
        <w:t xml:space="preserve">. Ainsi, Mansour Kamardine, député UMP de Mayotte, affirmait en 2008 qu'il existait "une action concertée par les Comores pour recoloniser" Mayotte (Hachimi Alaoui, 2016). </w:t>
      </w:r>
      <w:r w:rsidR="00954B9C">
        <w:t xml:space="preserve">Les expulsions seraient donc une réaction à une </w:t>
      </w:r>
      <w:r w:rsidR="00954B9C" w:rsidRPr="00FE2021">
        <w:t>ingénierie démographique</w:t>
      </w:r>
      <w:r w:rsidR="00954B9C">
        <w:t xml:space="preserve"> organisée par les Comores pour reprendre le contrôle de Mayotte. </w:t>
      </w:r>
      <w:r w:rsidR="00EB3751">
        <w:t xml:space="preserve">Les rapports ethniques se consolident autours de la théorie d'un "complot comorien" contre "Mayotte français" (Cottereau, 2021). </w:t>
      </w:r>
      <w:r w:rsidR="00954B9C">
        <w:t xml:space="preserve">La présence comorienne est </w:t>
      </w:r>
      <w:r w:rsidR="00CB7B9C">
        <w:t xml:space="preserve">également </w:t>
      </w:r>
      <w:r w:rsidR="00954B9C">
        <w:t>accusée d'être responsable de tous les maux de la société. Si xénophobe soit-il, cet argumentaire confirme que le conflit est cadré selon des logiques ethniques, une des caractéristiques de l'ingénierie démographique selon Blanchard (2019).</w:t>
      </w:r>
    </w:p>
    <w:p w14:paraId="1A420FD5" w14:textId="3DFB72EF" w:rsidR="00BC55EC" w:rsidRDefault="00032902" w:rsidP="009F70FF">
      <w:pPr>
        <w:ind w:firstLine="708"/>
        <w:jc w:val="both"/>
      </w:pPr>
      <w:r>
        <w:t>Les actions de l'Etat et de groupes mahorais sont donc à comprendre conjointement, comme tous deux moteurs et fruits de "production politique de l'extranéité" des Comoriens</w:t>
      </w:r>
      <w:r w:rsidR="00CB7B9C">
        <w:t xml:space="preserve"> (Roinsard, 2023). Cela est particulièrement visible lors des opérations civiles de décasage</w:t>
      </w:r>
      <w:r w:rsidR="00BC55EC">
        <w:t>, résultat de la constitution de ces "proches voisins" en "corps étrangers" (Blanchard, 2019)</w:t>
      </w:r>
      <w:r w:rsidR="00CB7B9C">
        <w:t>. Dans de nombreux cas, les forces de l'ordre</w:t>
      </w:r>
      <w:r w:rsidR="00152364">
        <w:t xml:space="preserve"> ont "délibérément laissé faire", "sont là et regardent" (Slama, 2016). Ainsi, le juge administratif a statué que le maire et le préfet n'avaient pas pris de mesures suffisantes pour empêcher les violences lors de ces opérations (Défenseur des droits, 2018). L'Etat n'est pas seulement inactif, il intervient à la suite des décasages pour expulser les personnes vers les Comores. Les forces de l'ordre arrêtent et placent régulièrement en </w:t>
      </w:r>
      <w:r w:rsidR="00FE2021">
        <w:t>Centre de Rétention Administrative (</w:t>
      </w:r>
      <w:r w:rsidR="00152364">
        <w:t>CRA</w:t>
      </w:r>
      <w:r w:rsidR="00FE2021">
        <w:t>)</w:t>
      </w:r>
      <w:r w:rsidR="00152364">
        <w:t xml:space="preserve"> des personnes ayant été victimes de décasages civils (Hachimi Alaoui, </w:t>
      </w:r>
      <w:r w:rsidR="00BC55EC">
        <w:t>Lemercier</w:t>
      </w:r>
      <w:r w:rsidR="00152364">
        <w:t xml:space="preserve"> &amp; Palomares, 2019).</w:t>
      </w:r>
      <w:r w:rsidR="0014768C">
        <w:t xml:space="preserve"> </w:t>
      </w:r>
      <w:r w:rsidR="00FE2021">
        <w:t>L'Etat</w:t>
      </w:r>
      <w:r w:rsidR="00152364">
        <w:t xml:space="preserve"> s'appuie donc sur la violence civile pour mener à bien sa politique d'expulsion.</w:t>
      </w:r>
    </w:p>
    <w:p w14:paraId="19DB60B1" w14:textId="77777777" w:rsidR="009F70FF" w:rsidRDefault="009F70FF" w:rsidP="009F70FF">
      <w:pPr>
        <w:ind w:firstLine="708"/>
        <w:jc w:val="both"/>
      </w:pPr>
    </w:p>
    <w:p w14:paraId="462D24BD" w14:textId="77777777" w:rsidR="009F70FF" w:rsidRDefault="009F70FF" w:rsidP="009F70FF">
      <w:pPr>
        <w:ind w:firstLine="708"/>
        <w:jc w:val="both"/>
      </w:pPr>
    </w:p>
    <w:p w14:paraId="739921C6" w14:textId="7689A9C0" w:rsidR="001B0BC4" w:rsidRDefault="004B21C8" w:rsidP="00EB3751">
      <w:pPr>
        <w:spacing w:after="0"/>
        <w:ind w:firstLine="708"/>
        <w:jc w:val="both"/>
      </w:pPr>
      <w:r>
        <w:t>Cette ingénierie démographique passe tout d'abord par la gestion des naissances sur le territoire français. Il faut dans un premier temps noter qu'est communément admise l'idée selon laquelle "l'accouchement sur le sol mahorais s'inscrit clairement dans une stratégie délibérée d'acquisition de la nationalité française au bénéfice des enfants des étrangers en situation irrégulière</w:t>
      </w:r>
      <w:r w:rsidR="00F16BC9">
        <w:t>"</w:t>
      </w:r>
      <w:r>
        <w:t xml:space="preserve"> (exposé des motifs d'un amendement au projet de loi immigration asile de 2018, cité dans Math &amp; Duflo, 2019). Restreindre les conditions d'accès à la naissance sur le territoire français fait dès lors partie des "solutions" pour limiter les arrivées. L'idée émise par le gouvernement français de considérer la seule maternité de Mayotte comme hors du territoire français</w:t>
      </w:r>
      <w:r w:rsidR="00F16BC9">
        <w:t xml:space="preserve"> pour limiter toute perspective de naturalisation par le droit du sol</w:t>
      </w:r>
      <w:r>
        <w:rPr>
          <w:rStyle w:val="Appelnotedebasdep"/>
        </w:rPr>
        <w:footnoteReference w:id="1"/>
      </w:r>
      <w:r>
        <w:t xml:space="preserve"> s'inscrit dans cette logique.</w:t>
      </w:r>
    </w:p>
    <w:p w14:paraId="793A88E2" w14:textId="769EE0E0" w:rsidR="009D310C" w:rsidRDefault="00F16BC9" w:rsidP="009F70FF">
      <w:pPr>
        <w:spacing w:after="0"/>
        <w:ind w:firstLine="708"/>
        <w:jc w:val="both"/>
      </w:pPr>
      <w:r>
        <w:t>Si ce projet est jusqu'ici purement rhétorique, d'autres mesures ont déjà été mises en place, notamment des campagnes de promotion de la contraception. Plusieurs campagnes ont été organisées par la préfecture depuis les années 1980 : "1 2 3 Bass", "ma contraception, mon choix", sensibilisations à la contraception dès le collège, massification de la distribution de préservatifs</w:t>
      </w:r>
      <w:r>
        <w:rPr>
          <w:rStyle w:val="Appelnotedebasdep"/>
        </w:rPr>
        <w:footnoteReference w:id="2"/>
      </w:r>
      <w:r w:rsidR="00330F93">
        <w:t xml:space="preserve">, promotion de la </w:t>
      </w:r>
      <w:r w:rsidR="00330F93">
        <w:lastRenderedPageBreak/>
        <w:t>stérilisation définitive</w:t>
      </w:r>
      <w:r w:rsidR="00330F93">
        <w:rPr>
          <w:rStyle w:val="Appelnotedebasdep"/>
        </w:rPr>
        <w:footnoteReference w:id="3"/>
      </w:r>
      <w:r>
        <w:t>)</w:t>
      </w:r>
      <w:r w:rsidR="00C2229F">
        <w:t xml:space="preserve">. Elles visent </w:t>
      </w:r>
      <w:r w:rsidR="00F46125">
        <w:t xml:space="preserve">à </w:t>
      </w:r>
      <w:r w:rsidR="00C2229F">
        <w:t xml:space="preserve">modifier la </w:t>
      </w:r>
      <w:r w:rsidR="00C2229F">
        <w:rPr>
          <w:i/>
          <w:iCs/>
        </w:rPr>
        <w:t xml:space="preserve">relation de </w:t>
      </w:r>
      <w:r w:rsidR="00C2229F" w:rsidRPr="00C2229F">
        <w:rPr>
          <w:i/>
          <w:iCs/>
        </w:rPr>
        <w:t>pouvoir</w:t>
      </w:r>
      <w:r w:rsidR="00C2229F">
        <w:t xml:space="preserve"> (Foucault, 2001) sur la procréation</w:t>
      </w:r>
      <w:r w:rsidR="00F46125">
        <w:t>, c’est-à-dire le champ de possibilité des comportements, en changeant les normes de fécondité.</w:t>
      </w:r>
      <w:r w:rsidR="00C2229F">
        <w:t xml:space="preserve"> </w:t>
      </w:r>
      <w:r w:rsidR="00C2229F" w:rsidRPr="00C2229F">
        <w:t>Ces</w:t>
      </w:r>
      <w:r w:rsidR="00C2229F">
        <w:t xml:space="preserve"> politiques ne sont pas démographiquement égalitaires. En effet, en 2021, 70% des naissances à Mayotte sont issus de femmes comoriennes</w:t>
      </w:r>
      <w:r w:rsidR="00C2229F">
        <w:rPr>
          <w:rStyle w:val="Appelnotedebasdep"/>
        </w:rPr>
        <w:footnoteReference w:id="4"/>
      </w:r>
      <w:r w:rsidR="00F46125">
        <w:t>, alors que les Comoriens ne représentent que 45% de la population</w:t>
      </w:r>
      <w:r w:rsidR="00F46125">
        <w:rPr>
          <w:rStyle w:val="Appelnotedebasdep"/>
        </w:rPr>
        <w:footnoteReference w:id="5"/>
      </w:r>
      <w:r w:rsidR="00F46125">
        <w:t xml:space="preserve"> </w:t>
      </w:r>
      <w:r w:rsidR="00C2229F">
        <w:t xml:space="preserve">- la réduction des naissances affecte donc spécifiquement les Comoriens. </w:t>
      </w:r>
      <w:r w:rsidR="00474317">
        <w:t>Outre la conception coloniale des sexualités des populations perçues comme noires à laquelle ces campagnes renvoient, ces dernières posent des risques importants de défaut de consentement, car elles prennent place dans le cadre de relations très inégalitaires entre soignants souvent blancs, détenteurs de la nationalité française, et personnes comoriennes noires, sans papiers ou avec des statuts légaux précaires. Une précédente opération similaire pris place à la Réunion dans les années 1960 et mena à des milliers d'avortements et de stérilisations forcées</w:t>
      </w:r>
      <w:r w:rsidR="00B24A57">
        <w:t>, réduisant de facto le nombre de naissances.</w:t>
      </w:r>
    </w:p>
    <w:p w14:paraId="294567C6" w14:textId="163E93FE" w:rsidR="001133CE" w:rsidRDefault="001133CE" w:rsidP="00EB3751">
      <w:pPr>
        <w:ind w:firstLine="708"/>
        <w:jc w:val="both"/>
      </w:pPr>
      <w:r>
        <w:t xml:space="preserve">Ce cadrage du problème permet aussi de dépolitiser le problème d'accès au soin et de santé </w:t>
      </w:r>
      <w:r w:rsidR="00BC55EC">
        <w:t>publique :</w:t>
      </w:r>
      <w:r>
        <w:t xml:space="preserve"> ce n'est pas le résultat de politiques post-coloniales de déficit de long terme d'investissement dans les services publics à Mayotte, mais le résultat de facteurs démographiques ; ce n'est pas la responsabilité de l'Etat, mais la faute de populations irresponsables. In fine, ce cadrage légitime la mise en cause des immigré</w:t>
      </w:r>
      <w:r w:rsidR="00FE2021">
        <w:t>e</w:t>
      </w:r>
      <w:r>
        <w:t>s comorien</w:t>
      </w:r>
      <w:r w:rsidR="00FE2021">
        <w:t>ne</w:t>
      </w:r>
      <w:r>
        <w:t>s, qui donnent naissance à 70% des enfants à Mayotte, comme responsables des déficits structurels de Mayotte</w:t>
      </w:r>
      <w:r w:rsidR="00056456">
        <w:rPr>
          <w:rStyle w:val="Appelnotedebasdep"/>
        </w:rPr>
        <w:footnoteReference w:id="6"/>
      </w:r>
      <w:r>
        <w:t xml:space="preserve">. </w:t>
      </w:r>
    </w:p>
    <w:p w14:paraId="12236F32" w14:textId="7A643393" w:rsidR="0076188C" w:rsidRPr="00B52632" w:rsidRDefault="000A58E9" w:rsidP="008E61AF">
      <w:pPr>
        <w:ind w:firstLine="708"/>
        <w:jc w:val="both"/>
        <w:rPr>
          <w:i/>
          <w:iCs/>
        </w:rPr>
      </w:pPr>
      <w:r>
        <w:t xml:space="preserve">Mayotte a progressivement été constituée comme une exception au cadre légal national. Cela est particulièrement frappant sur le droit migratoire, que ce soit les admissions, les droits des personnes une fois présentes, et les expulsions. Comme déjà expliqué, cela est justifié par l'exceptionnalisation et la dramatisation de la situation migratoire à Mayotte : elle engendre des problèmes exceptionnels, donc l'Etat devrait y faire face de façon exceptionnelle. S'il n'est pas possible de détailler le régime dérogatoire qui s'applique aux "étrangers" à Mayotte, j'utiliserai le droit du sol comme exemple de </w:t>
      </w:r>
      <w:r w:rsidR="00B70C26">
        <w:t>dérogations au droit créées par l'Etat pour empêcher l'installation permanente de Comoriens à Mayotte. La loi dite "Asile et immigration" de septembre 2018 instaure un droit du sol dérogatoire, plus restrictif que celui appliqué en hexagone.</w:t>
      </w:r>
      <w:r w:rsidR="00C90FFF">
        <w:t xml:space="preserve"> Dans le cadre légal général, une personne née en France de parents étrangers peut demander à partir de 13 ans la nationalité française si elle peut prouver sa résidence en France pendant une période d'au moins 5 ans. Néanmoins, un enfant né à Mayotte de parents étrangers ne pourra recevoir la nationalité que si l'un de ses parents peut prouver la régularité de son séjour sur les 3 mois précédant la naissance de l'enfant</w:t>
      </w:r>
      <w:r w:rsidR="00AC0AA9">
        <w:t xml:space="preserve"> (Cottereau, 2021)</w:t>
      </w:r>
      <w:r w:rsidR="00C90FFF">
        <w:t xml:space="preserve">. </w:t>
      </w:r>
      <w:r w:rsidR="008E61AF">
        <w:t xml:space="preserve">Cette condition fût encore durcie par la loi dite immigration votée le 19 décembre 2023 : il faut désormais que les </w:t>
      </w:r>
      <w:r w:rsidR="008E61AF">
        <w:rPr>
          <w:i/>
          <w:iCs/>
        </w:rPr>
        <w:t xml:space="preserve">deux </w:t>
      </w:r>
      <w:r w:rsidR="008E61AF" w:rsidRPr="008E61AF">
        <w:rPr>
          <w:i/>
          <w:iCs/>
        </w:rPr>
        <w:t>parents</w:t>
      </w:r>
      <w:r w:rsidR="008E61AF">
        <w:t xml:space="preserve"> puissent prouver une résidence légale depuis </w:t>
      </w:r>
      <w:r w:rsidR="008E61AF">
        <w:rPr>
          <w:i/>
          <w:iCs/>
        </w:rPr>
        <w:t>un an</w:t>
      </w:r>
      <w:r w:rsidR="008E61AF">
        <w:t xml:space="preserve"> avant la naissance. Ce régime dérogatoire</w:t>
      </w:r>
      <w:r w:rsidR="00AC0AA9">
        <w:t xml:space="preserve"> est à mettre en perspective avec les difficultés susmentionnées à obtenir un droit au séjour </w:t>
      </w:r>
      <w:r w:rsidR="00AC0AA9">
        <w:lastRenderedPageBreak/>
        <w:t>régulier, notamment par le visa Balladur, difficultés encore accrues par les fermetures répétées du service "étrangers" de la préfecture de Mayotte imposées par des collectifs mahorais anti-comoriens</w:t>
      </w:r>
      <w:r w:rsidR="00AC0AA9">
        <w:rPr>
          <w:rStyle w:val="Appelnotedebasdep"/>
        </w:rPr>
        <w:footnoteReference w:id="7"/>
      </w:r>
      <w:r w:rsidR="008E61AF">
        <w:t>. En clair, les perspectives de naturalisation pour les enfants, nés en France, de Comoriens sont très faibles, consacrant leur relégation dans l'illégalité et la précarité de séjour</w:t>
      </w:r>
      <w:r w:rsidR="00B52632">
        <w:t xml:space="preserve"> pour faciliter </w:t>
      </w:r>
      <w:r w:rsidR="00B52632">
        <w:rPr>
          <w:i/>
          <w:iCs/>
        </w:rPr>
        <w:t xml:space="preserve">in fine </w:t>
      </w:r>
      <w:r w:rsidR="00B52632" w:rsidRPr="00B52632">
        <w:t>leur expulsion</w:t>
      </w:r>
      <w:r w:rsidR="00B52632">
        <w:t>.</w:t>
      </w:r>
    </w:p>
    <w:p w14:paraId="2DFB8DE7" w14:textId="77777777" w:rsidR="00BC55EC" w:rsidRDefault="00BC55EC" w:rsidP="00AE0445">
      <w:pPr>
        <w:jc w:val="both"/>
      </w:pPr>
    </w:p>
    <w:p w14:paraId="49EE5D9D" w14:textId="77777777" w:rsidR="009F70FF" w:rsidRDefault="009F70FF" w:rsidP="00AE0445">
      <w:pPr>
        <w:jc w:val="both"/>
      </w:pPr>
    </w:p>
    <w:p w14:paraId="5DF41640" w14:textId="7EA0546B" w:rsidR="00EB3751" w:rsidRDefault="00B52632" w:rsidP="00EB3751">
      <w:pPr>
        <w:spacing w:after="0"/>
        <w:ind w:firstLine="708"/>
        <w:jc w:val="both"/>
      </w:pPr>
      <w:r>
        <w:t>En effet</w:t>
      </w:r>
      <w:r w:rsidR="000E4797">
        <w:t xml:space="preserve">, </w:t>
      </w:r>
      <w:r w:rsidR="00AE0445">
        <w:t xml:space="preserve">un enjeu des politiques migratoires à Mayotte est d'expulser les Comoriens en masse. Cet objectif a pris une large ampleur lorsque Nicolas Sarkozy, alors ministre de l'Intérieur, fixe l'objectif de 12 000 reconduites à la frontière pour 2006. Ce chiffre a depuis considérablement augmenté, pour atteindre 19 763 en 2022. Ce chiffre est à comparer à </w:t>
      </w:r>
      <w:r w:rsidR="00500F2C">
        <w:t>3</w:t>
      </w:r>
      <w:r w:rsidR="00AE0445">
        <w:t xml:space="preserve"> autres : le nombre d'expulsions du territoire hexagonal (6 507 en 2022, soit 3 fois moins),</w:t>
      </w:r>
      <w:r w:rsidR="00FB0574">
        <w:t xml:space="preserve"> et</w:t>
      </w:r>
      <w:r w:rsidR="00AE0445">
        <w:t xml:space="preserve"> la taille de la population de Mayotte, soit 300 000 habitants. Ce "déplacement induit par la frontière" (</w:t>
      </w:r>
      <w:r w:rsidR="00AE0445">
        <w:rPr>
          <w:i/>
          <w:iCs/>
        </w:rPr>
        <w:t>border induced displacement</w:t>
      </w:r>
      <w:r w:rsidR="00F46125">
        <w:t xml:space="preserve">, </w:t>
      </w:r>
      <w:r w:rsidR="00F46125" w:rsidRPr="00F46125">
        <w:rPr>
          <w:rFonts w:cstheme="minorHAnsi"/>
          <w:color w:val="222222"/>
          <w:shd w:val="clear" w:color="auto" w:fill="FFFFFF"/>
        </w:rPr>
        <w:t>Lemberg-Pedersen,</w:t>
      </w:r>
      <w:r w:rsidR="00F46125">
        <w:rPr>
          <w:rFonts w:cstheme="minorHAnsi"/>
          <w:color w:val="222222"/>
          <w:shd w:val="clear" w:color="auto" w:fill="FFFFFF"/>
        </w:rPr>
        <w:t xml:space="preserve"> 2016</w:t>
      </w:r>
      <w:r w:rsidR="00AE0445">
        <w:t>) expulse donc 7% de la population de Mayotte</w:t>
      </w:r>
      <w:r w:rsidR="00AE0445" w:rsidRPr="00AE0445">
        <w:t xml:space="preserve"> </w:t>
      </w:r>
      <w:r w:rsidR="00AE0445">
        <w:t>chaque année.</w:t>
      </w:r>
      <w:r w:rsidR="00926D82">
        <w:t xml:space="preserve"> L'aspect massif </w:t>
      </w:r>
      <w:r w:rsidR="007757B6">
        <w:t>de ces déportations</w:t>
      </w:r>
      <w:r w:rsidR="00926D82">
        <w:t xml:space="preserve"> amène Emmanuel Blanchard à parler de "transferts forcés de population"</w:t>
      </w:r>
      <w:r w:rsidR="007757B6">
        <w:t>.</w:t>
      </w:r>
      <w:r w:rsidR="001B0BC4">
        <w:t xml:space="preserve"> Concrètement, les expulsions renvoient à une logique routinisée : un bateau part tous les matins de Mayotte pour expulser vers Anjouan les détenus du CRA de Pamandzi.</w:t>
      </w:r>
    </w:p>
    <w:p w14:paraId="6389641F" w14:textId="0F9C6A22" w:rsidR="009F70FF" w:rsidRDefault="007757B6" w:rsidP="009F70FF">
      <w:pPr>
        <w:ind w:firstLine="708"/>
        <w:jc w:val="both"/>
      </w:pPr>
      <w:r>
        <w:t xml:space="preserve">Ces expulsions </w:t>
      </w:r>
      <w:r w:rsidR="001B0BC4">
        <w:t xml:space="preserve">ne visent pas qu'à exclure des personnes, mais </w:t>
      </w:r>
      <w:r>
        <w:t>produisent également des effets sociaux. Nombre de Mahorais estiment "que la frontière entre nationaux et non nationaux (notamment les Comoriens) était fragile" (Hachimi Alaoui, 2016). La massivité des expulsions viserait également à rassurer ce "rapport inquiet à la nationalité" en concrétisant par l'expulsion</w:t>
      </w:r>
      <w:r w:rsidR="001B0BC4">
        <w:t xml:space="preserve">, </w:t>
      </w:r>
      <w:r>
        <w:t>et par la crainte de l'expulsion</w:t>
      </w:r>
      <w:r w:rsidR="001B0BC4">
        <w:t>, (</w:t>
      </w:r>
      <w:r>
        <w:t>Le Courant, 2018) la séparation des Mahorais d'avec les Comoriens</w:t>
      </w:r>
      <w:r w:rsidR="001B0BC4">
        <w:t xml:space="preserve"> et la réaffirmation du caractère durable de l'appartenance de Mayotte et des Mahorais à la France.</w:t>
      </w:r>
      <w:r w:rsidR="00B52632">
        <w:t xml:space="preserve"> </w:t>
      </w:r>
    </w:p>
    <w:p w14:paraId="02BF7CF3" w14:textId="77777777" w:rsidR="00EB3751" w:rsidRDefault="009B4D19" w:rsidP="00EB3751">
      <w:pPr>
        <w:spacing w:after="0"/>
        <w:ind w:firstLine="708"/>
        <w:jc w:val="both"/>
      </w:pPr>
      <w:r>
        <w:t>Enfin, les Comoriens ne bénéficient que de garanties légales drastiquement réduites, notamment face aux expulsions vers les Comores.</w:t>
      </w:r>
    </w:p>
    <w:p w14:paraId="7CB6AB2A" w14:textId="6C1DAD1C" w:rsidR="00EB3751" w:rsidRDefault="009B4D19" w:rsidP="00EB3751">
      <w:pPr>
        <w:spacing w:after="0"/>
        <w:ind w:firstLine="708"/>
        <w:jc w:val="both"/>
      </w:pPr>
      <w:r>
        <w:t>En effet, tout comme pour le droit du sol, la situation migratoire et démographique est mise en avant par les autorités françaises pour justifier la suppression de nombre de protections, notamment juridictionnelles. Ainsi, le caractère expéditif des procédures d'expulsions (une moyenne de détention en CRA de 17 heures à Mayotte contre 15 jours en moyenne en 2018 en hexagone</w:t>
      </w:r>
      <w:r>
        <w:rPr>
          <w:rStyle w:val="Appelnotedebasdep"/>
        </w:rPr>
        <w:footnoteReference w:id="8"/>
      </w:r>
      <w:r>
        <w:t>) complique la saisine d'un juge administratif pour statuer sur la légalité de la procédure (Duflo et Ghaem, 2014). Ainsi, sur les 26 020 personnes détenues au CRA de Pamandzi en 2022, seules 3 019 ont eu accès à une association de défense de leurs droits. Le juge des référés n'a été saisi que dans 242 cas, pour lesquels il a suspendu l'OQTF dans 55% des cas</w:t>
      </w:r>
      <w:r w:rsidR="009D04DC">
        <w:rPr>
          <w:rStyle w:val="Appelnotedebasdep"/>
        </w:rPr>
        <w:footnoteReference w:id="9"/>
      </w:r>
      <w:r>
        <w:t>. On peu</w:t>
      </w:r>
      <w:r w:rsidR="009D04DC">
        <w:t>t</w:t>
      </w:r>
      <w:r>
        <w:t xml:space="preserve"> légitimement considérer que </w:t>
      </w:r>
      <w:r w:rsidR="009D04DC">
        <w:t xml:space="preserve">si les détenus avaient un accès plus large à cette juridiction, un nombre plus élevé de procédures d'expulsion seraient considérées comme illégales </w:t>
      </w:r>
      <w:r w:rsidR="00926D82">
        <w:t>-</w:t>
      </w:r>
      <w:r w:rsidR="009D04DC">
        <w:t xml:space="preserve"> dans la pratique actuelle, elles sont mises en application. Même effectuer un recours n'est plus une protection sûre : "Il n'est pas rare que des personnes enfermées soient expulsées alors qu'elles ont un recours suspensif devant le tribunal administratif ou qu'elles ont déposé une demande d'asile toujours en cours d'examen"</w:t>
      </w:r>
      <w:r w:rsidR="009D04DC">
        <w:rPr>
          <w:rStyle w:val="Appelnotedebasdep"/>
        </w:rPr>
        <w:footnoteReference w:id="10"/>
      </w:r>
      <w:r w:rsidR="009D04DC">
        <w:t>.</w:t>
      </w:r>
    </w:p>
    <w:p w14:paraId="66437C68" w14:textId="77777777" w:rsidR="00EB3751" w:rsidRDefault="009D04DC" w:rsidP="00EB3751">
      <w:pPr>
        <w:spacing w:after="0"/>
        <w:ind w:firstLine="708"/>
        <w:jc w:val="both"/>
      </w:pPr>
      <w:r>
        <w:lastRenderedPageBreak/>
        <w:t>Les protections spécifiques à certaines personnes jugées particulièrement vulnérables, notamment les mineurs non accompagnés et les femmes enceintes, sont également fragilisées par rapport à l'hexagone. Pour contourner l'interdiction d'expulser des mineurs non accompagnés, ceux-ci sont fictivement rattachés par les autorités à la tutelle de majeurs dont ils ne dépendent pas, voire qu'ils ne connaissent pas, bien que cette pratique fût interdite par le Conseil d'Etat</w:t>
      </w:r>
      <w:r>
        <w:rPr>
          <w:rStyle w:val="Appelnotedebasdep"/>
        </w:rPr>
        <w:footnoteReference w:id="11"/>
      </w:r>
      <w:r>
        <w:t>. De même, les femmes enceintes arrêtées en kwassa kwassa doivent être examinée par une sage-femme qui doit déterminer si leur condition physique permet leur détention. Nina Sahraoui (2020) montre cependant que ces examens</w:t>
      </w:r>
      <w:r w:rsidR="004D01E3">
        <w:t xml:space="preserve"> consacrent une "complexe imbrication des fonctions de soins et de police", notamment car ils</w:t>
      </w:r>
      <w:r>
        <w:t xml:space="preserve"> sont effectués en proximité avec et sous la pression des forces de l'ordre, </w:t>
      </w:r>
      <w:r w:rsidR="004D01E3">
        <w:t>nuisant à l'impartialité des soignants et sont dès lors "expéditifs".</w:t>
      </w:r>
      <w:r w:rsidR="001B0BC4">
        <w:tab/>
      </w:r>
    </w:p>
    <w:p w14:paraId="5A9F5A2F" w14:textId="1D11F54D" w:rsidR="00AF79B2" w:rsidRDefault="00AF79B2" w:rsidP="00AF79B2">
      <w:pPr>
        <w:spacing w:after="0"/>
        <w:ind w:firstLine="708"/>
        <w:jc w:val="both"/>
      </w:pPr>
      <w:r>
        <w:t>Il me semble important de penser conjointement les difficultés croissantes à obtenir un statut de résidence légal (visa Balladur, droit du sol dérogatoire, etc.), les facilités données à l'administration pour expulser, et les libertés que cette dernière prend par rapport à la loi pour augmenter le nombre d'expulsions ; l'administration crée par ces 3 moyens une soumission radicale, par la mise clandestinité des Comoriens, à l'Etat</w:t>
      </w:r>
      <w:r w:rsidR="00A5149C">
        <w:t>, ce qu'Agamben a qualifié de "vie nue" (1998).</w:t>
      </w:r>
    </w:p>
    <w:p w14:paraId="16D0C49A" w14:textId="7CC0A142" w:rsidR="00B52632" w:rsidRDefault="004D01E3" w:rsidP="00B52632">
      <w:pPr>
        <w:ind w:firstLine="708"/>
        <w:jc w:val="both"/>
      </w:pPr>
      <w:r>
        <w:t>Ces différents aspects techniques</w:t>
      </w:r>
      <w:r w:rsidR="00472568">
        <w:t xml:space="preserve"> mettent en lumière que </w:t>
      </w:r>
      <w:r w:rsidR="000E4797">
        <w:t>l'objectif</w:t>
      </w:r>
      <w:r>
        <w:t xml:space="preserve"> des forces de l'ordre n'est donc pas la défense du droit</w:t>
      </w:r>
      <w:r w:rsidR="000E4797">
        <w:t xml:space="preserve"> (même du CESEDA)</w:t>
      </w:r>
      <w:r>
        <w:t xml:space="preserve">, mais bien l'expulsion de la population comorienne </w:t>
      </w:r>
      <w:r w:rsidR="000E4797">
        <w:t>"</w:t>
      </w:r>
      <w:r>
        <w:t>à tout prix</w:t>
      </w:r>
      <w:r w:rsidR="000E4797">
        <w:t>"</w:t>
      </w:r>
      <w:r>
        <w:t xml:space="preserve">. </w:t>
      </w:r>
      <w:r w:rsidR="000E4797">
        <w:t>Le cadrage du problème n'est donc pas en termes de "souveraineté", ou d'application de la "légalité républicaine", mais en termes de rapport démographique entre deux populations (dont la séparation est largement imaginée). L'expulsion massive des Comoriens est la solution mécaniquement induite à un problème posé comme ethnique.</w:t>
      </w:r>
    </w:p>
    <w:p w14:paraId="495B1231" w14:textId="77777777" w:rsidR="009F70FF" w:rsidRDefault="009F70FF" w:rsidP="00B52632">
      <w:pPr>
        <w:jc w:val="both"/>
      </w:pPr>
    </w:p>
    <w:p w14:paraId="402E86C0" w14:textId="036D8E17" w:rsidR="00A364B0" w:rsidRDefault="00A364B0" w:rsidP="00EB3751">
      <w:pPr>
        <w:spacing w:after="0"/>
        <w:ind w:firstLine="708"/>
        <w:jc w:val="both"/>
      </w:pPr>
      <w:r>
        <w:t xml:space="preserve">Il est possible de dégager des éléments présentés un système visant à réduire autant que possible la présence des Comoriens à Mayotte, notamment via la réduction des droits à atteindre et rester à Mayotte, et la facilitation des expulsions. Cependant, il ne faudrait pas considérer que la permanence de la présence de Comoriens à Mayotte relève - du moins uniquement - d'un échec. En effet, plus que d'instaurer une "pureté" "mahoraise" à Mayotte, les politiques migratoires visent également à créer de la clandestinité et de la précarité, pour instaurer un rapport de force inégal </w:t>
      </w:r>
      <w:r w:rsidR="00C37FEF">
        <w:t xml:space="preserve">(certes entre territoires, mais également au sein même de Mayotte) </w:t>
      </w:r>
      <w:r>
        <w:t>entre français et comoriens</w:t>
      </w:r>
      <w:r w:rsidR="00C37FEF">
        <w:t>, consubstantiel à tout projet d'ingénierie démographique</w:t>
      </w:r>
      <w:r>
        <w:t>.</w:t>
      </w:r>
    </w:p>
    <w:p w14:paraId="01E30701" w14:textId="0A236279" w:rsidR="003E5FB8" w:rsidRDefault="00D25FF8" w:rsidP="00EB3751">
      <w:pPr>
        <w:spacing w:after="0"/>
        <w:ind w:firstLine="708"/>
        <w:jc w:val="both"/>
      </w:pPr>
      <w:r>
        <w:t xml:space="preserve">S'il apparait des éléments présentés ci-dessus que Mayotte occupe une place singulière dans les dispositifs de contrôle démographique et migratoire en France, </w:t>
      </w:r>
      <w:r w:rsidR="00732432">
        <w:t>comprendre et présenter</w:t>
      </w:r>
      <w:r>
        <w:t xml:space="preserve"> le cas mahorais comme une exception n'apparait pas justifié. Des logiques similaires d'altérisation de populations, de protection </w:t>
      </w:r>
      <w:r w:rsidR="00732432">
        <w:t>différenciée</w:t>
      </w:r>
      <w:r>
        <w:t xml:space="preserve"> des droits </w:t>
      </w:r>
      <w:r w:rsidR="00732432">
        <w:t xml:space="preserve">fondamentaux, notamment </w:t>
      </w:r>
      <w:r w:rsidR="00C37FEF">
        <w:t xml:space="preserve">à l'accès à une résidence légale ou </w:t>
      </w:r>
      <w:r>
        <w:t>face aux expulsions, sont, certes dans une mesure moins radicalisée et sous des formes parfois différentes, également présentes sur le reste du territoire "français".</w:t>
      </w:r>
      <w:r w:rsidR="00732432">
        <w:t xml:space="preserve"> A l'inverse d'une exceptionnalisation de Mayotte, qui empêche de penser les similarités avec le reste du territoire "national", je défends ici l'idée de replacer le cas mahorais dans des logiques similaires à l'échelle nationale (et même européenne) de contrôle et de tri de populations, en un mot d'ingénierie démographique.</w:t>
      </w:r>
    </w:p>
    <w:p w14:paraId="6D8280B7" w14:textId="0314C27C" w:rsidR="002924B7" w:rsidRDefault="003E5FB8" w:rsidP="00266E43">
      <w:pPr>
        <w:ind w:firstLine="708"/>
        <w:jc w:val="both"/>
      </w:pPr>
      <w:r>
        <w:t xml:space="preserve">Enfin, il serait intéressant de se questionner sur les politiques d'ingénierie démographique du point de vue comorien notamment au vu du maintien de la revendication de souveraineté de l'Etat comorien sur Mayotte, pour ne pas réduire l'Etat comorien et la population comorienne à de simples objets de politiques post-coloniales françaises, mais également porteurs de revendications, </w:t>
      </w:r>
      <w:r>
        <w:lastRenderedPageBreak/>
        <w:t>d'agentivité, et de politiques</w:t>
      </w:r>
      <w:r w:rsidR="00117ED1">
        <w:t>. Je n'ai pas pu questionner l'existence de logiques d'ingénierie démographique dans les politiques comoriennes d'émigration et d'acceptation des expulsions de Mayotte.</w:t>
      </w:r>
    </w:p>
    <w:p w14:paraId="6ACDB2EB" w14:textId="77777777" w:rsidR="00266E43" w:rsidRDefault="00266E43" w:rsidP="00266E43">
      <w:pPr>
        <w:ind w:firstLine="708"/>
        <w:jc w:val="both"/>
      </w:pPr>
    </w:p>
    <w:p w14:paraId="2E85E0A7" w14:textId="797DBD78" w:rsidR="00DA3659" w:rsidRDefault="00266E43" w:rsidP="00FC58C6">
      <w:pPr>
        <w:jc w:val="both"/>
        <w:rPr>
          <w:rFonts w:cstheme="minorHAnsi"/>
        </w:rPr>
      </w:pPr>
      <w:r w:rsidRPr="00266E43">
        <w:rPr>
          <w:rFonts w:cstheme="minorHAnsi"/>
        </w:rPr>
        <w:t>Références bibliographiques</w:t>
      </w:r>
      <w:r w:rsidR="00DA3659" w:rsidRPr="00266E43">
        <w:rPr>
          <w:rFonts w:cstheme="minorHAnsi"/>
        </w:rPr>
        <w:t xml:space="preserve"> :</w:t>
      </w:r>
    </w:p>
    <w:p w14:paraId="6D9E004E" w14:textId="2F712AF0" w:rsidR="00A5149C" w:rsidRPr="00A5149C" w:rsidRDefault="00A5149C" w:rsidP="00FC58C6">
      <w:pPr>
        <w:jc w:val="both"/>
        <w:rPr>
          <w:rFonts w:cstheme="minorHAnsi"/>
        </w:rPr>
      </w:pPr>
      <w:r w:rsidRPr="00A5149C">
        <w:rPr>
          <w:rFonts w:cstheme="minorHAnsi"/>
        </w:rPr>
        <w:t>Agamben, G. (1998). Homo Sacer. Tome 1, Le pouvoir souverain et la vie nue</w:t>
      </w:r>
      <w:r>
        <w:rPr>
          <w:rFonts w:cstheme="minorHAnsi"/>
        </w:rPr>
        <w:t>.</w:t>
      </w:r>
    </w:p>
    <w:p w14:paraId="790034F2" w14:textId="1E6F9157" w:rsidR="00F14839" w:rsidRPr="00F14839" w:rsidRDefault="00F14839" w:rsidP="00FC58C6">
      <w:pPr>
        <w:jc w:val="both"/>
        <w:rPr>
          <w:rFonts w:cstheme="minorHAnsi"/>
          <w:lang w:val="en-US"/>
        </w:rPr>
      </w:pPr>
      <w:r w:rsidRPr="00A5149C">
        <w:rPr>
          <w:rFonts w:cstheme="minorHAnsi"/>
          <w:lang w:val="en-US"/>
        </w:rPr>
        <w:t xml:space="preserve">Bauder, H. (2014). </w:t>
      </w:r>
      <w:r w:rsidRPr="00F14839">
        <w:rPr>
          <w:rFonts w:cstheme="minorHAnsi"/>
          <w:lang w:val="en-US"/>
        </w:rPr>
        <w:t>Why we should use the term ‘illegalized’</w:t>
      </w:r>
      <w:r>
        <w:rPr>
          <w:rFonts w:cstheme="minorHAnsi"/>
          <w:lang w:val="en-US"/>
        </w:rPr>
        <w:t xml:space="preserve"> </w:t>
      </w:r>
      <w:r w:rsidRPr="00F14839">
        <w:rPr>
          <w:rFonts w:cstheme="minorHAnsi"/>
          <w:lang w:val="en-US"/>
        </w:rPr>
        <w:t xml:space="preserve">refugee or immigrant: A commentary. </w:t>
      </w:r>
      <w:r w:rsidRPr="00F14839">
        <w:rPr>
          <w:rFonts w:cstheme="minorHAnsi"/>
          <w:i/>
          <w:iCs/>
          <w:lang w:val="en-US"/>
        </w:rPr>
        <w:t>International Journal of Refugee Law</w:t>
      </w:r>
      <w:r w:rsidRPr="00F14839">
        <w:rPr>
          <w:rFonts w:cstheme="minorHAnsi"/>
          <w:lang w:val="en-US"/>
        </w:rPr>
        <w:t>, 26(3), 327-332.</w:t>
      </w:r>
    </w:p>
    <w:p w14:paraId="11936997" w14:textId="0B81602E" w:rsidR="00DA3659" w:rsidRPr="00266E43" w:rsidRDefault="00DA3659" w:rsidP="00FC58C6">
      <w:pPr>
        <w:jc w:val="both"/>
        <w:rPr>
          <w:rFonts w:cstheme="minorHAnsi"/>
          <w:shd w:val="clear" w:color="auto" w:fill="FFFFFF"/>
        </w:rPr>
      </w:pPr>
      <w:r w:rsidRPr="00266E43">
        <w:rPr>
          <w:rFonts w:cstheme="minorHAnsi"/>
          <w:shd w:val="clear" w:color="auto" w:fill="FFFFFF"/>
        </w:rPr>
        <w:t xml:space="preserve">Blanchard, E. (2019). </w:t>
      </w:r>
      <w:r w:rsidR="00F14337">
        <w:rPr>
          <w:rFonts w:cstheme="minorHAnsi"/>
          <w:shd w:val="clear" w:color="auto" w:fill="FFFFFF"/>
        </w:rPr>
        <w:t>"</w:t>
      </w:r>
      <w:r w:rsidRPr="00266E43">
        <w:rPr>
          <w:rFonts w:cstheme="minorHAnsi"/>
          <w:shd w:val="clear" w:color="auto" w:fill="FFFFFF"/>
        </w:rPr>
        <w:t>Français à tout prix</w:t>
      </w:r>
      <w:r w:rsidR="00F14337">
        <w:rPr>
          <w:rFonts w:cstheme="minorHAnsi"/>
          <w:shd w:val="clear" w:color="auto" w:fill="FFFFFF"/>
        </w:rPr>
        <w:t>"</w:t>
      </w:r>
      <w:r w:rsidRPr="00266E43">
        <w:rPr>
          <w:rFonts w:cstheme="minorHAnsi"/>
          <w:shd w:val="clear" w:color="auto" w:fill="FFFFFF"/>
        </w:rPr>
        <w:t>: Mayotte au prisme de «l’ingénierie démographique. </w:t>
      </w:r>
      <w:r w:rsidRPr="00266E43">
        <w:rPr>
          <w:rFonts w:cstheme="minorHAnsi"/>
          <w:i/>
          <w:iCs/>
          <w:shd w:val="clear" w:color="auto" w:fill="FFFFFF"/>
        </w:rPr>
        <w:t>Plein droit</w:t>
      </w:r>
      <w:r w:rsidRPr="00266E43">
        <w:rPr>
          <w:rFonts w:cstheme="minorHAnsi"/>
          <w:shd w:val="clear" w:color="auto" w:fill="FFFFFF"/>
        </w:rPr>
        <w:t>, (1), 3-7.</w:t>
      </w:r>
    </w:p>
    <w:p w14:paraId="3F6103BA" w14:textId="1E4BCD1B" w:rsidR="00DA3659" w:rsidRPr="00266E43" w:rsidRDefault="00DA3659" w:rsidP="00FC58C6">
      <w:pPr>
        <w:jc w:val="both"/>
        <w:rPr>
          <w:rFonts w:cstheme="minorHAnsi"/>
          <w:shd w:val="clear" w:color="auto" w:fill="FFFFFF"/>
          <w:lang w:val="en-US"/>
        </w:rPr>
      </w:pPr>
      <w:r w:rsidRPr="00266E43">
        <w:rPr>
          <w:rFonts w:cstheme="minorHAnsi"/>
          <w:shd w:val="clear" w:color="auto" w:fill="FFFFFF"/>
        </w:rPr>
        <w:t>Blanchy, S., Riccio, D., Roinsard, N., &amp; Sakoyan, J. (2019). Mayotte: de quoi la violence est-elle le nom?. </w:t>
      </w:r>
      <w:r w:rsidRPr="00266E43">
        <w:rPr>
          <w:rFonts w:cstheme="minorHAnsi"/>
          <w:i/>
          <w:iCs/>
          <w:shd w:val="clear" w:color="auto" w:fill="FFFFFF"/>
          <w:lang w:val="en-US"/>
        </w:rPr>
        <w:t>Plein droit</w:t>
      </w:r>
      <w:r w:rsidRPr="00266E43">
        <w:rPr>
          <w:rFonts w:cstheme="minorHAnsi"/>
          <w:shd w:val="clear" w:color="auto" w:fill="FFFFFF"/>
          <w:lang w:val="en-US"/>
        </w:rPr>
        <w:t>, (1), 12-15.</w:t>
      </w:r>
    </w:p>
    <w:p w14:paraId="341A8A6E" w14:textId="3E3D3B31" w:rsidR="00274418" w:rsidRPr="00266E43" w:rsidRDefault="00274418" w:rsidP="00FC58C6">
      <w:pPr>
        <w:jc w:val="both"/>
        <w:rPr>
          <w:rFonts w:cstheme="minorHAnsi"/>
          <w:shd w:val="clear" w:color="auto" w:fill="FFFFFF"/>
          <w:lang w:val="en-US"/>
        </w:rPr>
      </w:pPr>
      <w:r w:rsidRPr="00266E43">
        <w:rPr>
          <w:rFonts w:cstheme="minorHAnsi"/>
          <w:shd w:val="clear" w:color="auto" w:fill="FFFFFF"/>
          <w:lang w:val="en-US"/>
        </w:rPr>
        <w:t>Bookman, M. Z. (2013). </w:t>
      </w:r>
      <w:r w:rsidRPr="00266E43">
        <w:rPr>
          <w:rFonts w:cstheme="minorHAnsi"/>
          <w:i/>
          <w:iCs/>
          <w:shd w:val="clear" w:color="auto" w:fill="FFFFFF"/>
          <w:lang w:val="en-US"/>
        </w:rPr>
        <w:t>The demographic struggle for power: The political economy of demographic engineering in the modern world</w:t>
      </w:r>
      <w:r w:rsidRPr="00266E43">
        <w:rPr>
          <w:rFonts w:cstheme="minorHAnsi"/>
          <w:shd w:val="clear" w:color="auto" w:fill="FFFFFF"/>
          <w:lang w:val="en-US"/>
        </w:rPr>
        <w:t xml:space="preserve">. </w:t>
      </w:r>
      <w:r w:rsidRPr="00266E43">
        <w:rPr>
          <w:rFonts w:cstheme="minorHAnsi"/>
          <w:shd w:val="clear" w:color="auto" w:fill="FFFFFF"/>
        </w:rPr>
        <w:t>Cited in: Sigalas, N., &amp; Toumarkine, A. (2008). Ingénierie démographique, génocide, nettoyage ethnique. Les paradigmes dominants pour l’étude de la violence sur les populations minoritaires en Turquie et dans les Balkans. </w:t>
      </w:r>
      <w:r w:rsidRPr="00266E43">
        <w:rPr>
          <w:rFonts w:cstheme="minorHAnsi"/>
          <w:i/>
          <w:iCs/>
          <w:shd w:val="clear" w:color="auto" w:fill="FFFFFF"/>
          <w:lang w:val="en-US"/>
        </w:rPr>
        <w:t>European Journal of Turkish Studies. Social Sciences on Contemporary Turkey</w:t>
      </w:r>
      <w:r w:rsidRPr="00266E43">
        <w:rPr>
          <w:rFonts w:cstheme="minorHAnsi"/>
          <w:shd w:val="clear" w:color="auto" w:fill="FFFFFF"/>
          <w:lang w:val="en-US"/>
        </w:rPr>
        <w:t>, (7).</w:t>
      </w:r>
    </w:p>
    <w:p w14:paraId="4D3E16E5" w14:textId="5D083E80" w:rsidR="00DA3659" w:rsidRPr="00266E43" w:rsidRDefault="00DA3659" w:rsidP="00FC58C6">
      <w:pPr>
        <w:jc w:val="both"/>
        <w:rPr>
          <w:rFonts w:cstheme="minorHAnsi"/>
          <w:shd w:val="clear" w:color="auto" w:fill="FFFFFF"/>
        </w:rPr>
      </w:pPr>
      <w:r w:rsidRPr="00266E43">
        <w:rPr>
          <w:rFonts w:cstheme="minorHAnsi"/>
          <w:shd w:val="clear" w:color="auto" w:fill="FFFFFF"/>
        </w:rPr>
        <w:t>Cottereau, V. (2021). Mayotte, vers une île «forteresse»? Histoire et conséquences d’une frontière controversée. </w:t>
      </w:r>
      <w:r w:rsidRPr="00266E43">
        <w:rPr>
          <w:rFonts w:cstheme="minorHAnsi"/>
          <w:i/>
          <w:iCs/>
          <w:shd w:val="clear" w:color="auto" w:fill="FFFFFF"/>
        </w:rPr>
        <w:t>L'Information géographique</w:t>
      </w:r>
      <w:r w:rsidRPr="00266E43">
        <w:rPr>
          <w:rFonts w:cstheme="minorHAnsi"/>
          <w:shd w:val="clear" w:color="auto" w:fill="FFFFFF"/>
        </w:rPr>
        <w:t>, </w:t>
      </w:r>
      <w:r w:rsidRPr="00266E43">
        <w:rPr>
          <w:rFonts w:cstheme="minorHAnsi"/>
          <w:i/>
          <w:iCs/>
          <w:shd w:val="clear" w:color="auto" w:fill="FFFFFF"/>
        </w:rPr>
        <w:t>85</w:t>
      </w:r>
      <w:r w:rsidRPr="00266E43">
        <w:rPr>
          <w:rFonts w:cstheme="minorHAnsi"/>
          <w:shd w:val="clear" w:color="auto" w:fill="FFFFFF"/>
        </w:rPr>
        <w:t>(1), 8-30.</w:t>
      </w:r>
    </w:p>
    <w:p w14:paraId="4B135DF9" w14:textId="21F42366" w:rsidR="00DA3659" w:rsidRPr="00266E43" w:rsidRDefault="00DA3659" w:rsidP="00FC58C6">
      <w:pPr>
        <w:jc w:val="both"/>
        <w:rPr>
          <w:rFonts w:cstheme="minorHAnsi"/>
          <w:color w:val="4472C4" w:themeColor="accent1"/>
          <w:shd w:val="clear" w:color="auto" w:fill="FFFFFF"/>
          <w:lang w:val="en-US"/>
        </w:rPr>
      </w:pPr>
      <w:r w:rsidRPr="00266E43">
        <w:rPr>
          <w:rFonts w:cstheme="minorHAnsi"/>
          <w:shd w:val="clear" w:color="auto" w:fill="FFFFFF"/>
        </w:rPr>
        <w:t xml:space="preserve">Défenseur des droits. (2018, 9 mai). </w:t>
      </w:r>
      <w:r w:rsidRPr="00266E43">
        <w:rPr>
          <w:rFonts w:cstheme="minorHAnsi"/>
          <w:i/>
          <w:iCs/>
          <w:shd w:val="clear" w:color="auto" w:fill="FFFFFF"/>
        </w:rPr>
        <w:t>Rapport sur les opérations dites de "décasage" à Mayotte</w:t>
      </w:r>
      <w:r w:rsidRPr="00266E43">
        <w:rPr>
          <w:rFonts w:cstheme="minorHAnsi"/>
          <w:shd w:val="clear" w:color="auto" w:fill="FFFFFF"/>
        </w:rPr>
        <w:t xml:space="preserve">. </w:t>
      </w:r>
      <w:hyperlink r:id="rId8" w:history="1">
        <w:r w:rsidRPr="00266E43">
          <w:rPr>
            <w:rStyle w:val="Lienhypertexte"/>
            <w:rFonts w:cstheme="minorHAnsi"/>
            <w:color w:val="4472C4" w:themeColor="accent1"/>
            <w:shd w:val="clear" w:color="auto" w:fill="FFFFFF"/>
            <w:lang w:val="en-US"/>
          </w:rPr>
          <w:t>https://juridique.defenseurdesdroits.fr/doc_num.php?explnum_id=18094</w:t>
        </w:r>
      </w:hyperlink>
    </w:p>
    <w:p w14:paraId="161E33A0" w14:textId="2052AF76" w:rsidR="00DA3659" w:rsidRPr="00266E43" w:rsidRDefault="00DA3659" w:rsidP="00FC58C6">
      <w:pPr>
        <w:jc w:val="both"/>
        <w:rPr>
          <w:rFonts w:cstheme="minorHAnsi"/>
          <w:shd w:val="clear" w:color="auto" w:fill="FFFFFF"/>
        </w:rPr>
      </w:pPr>
      <w:r w:rsidRPr="00266E43">
        <w:rPr>
          <w:rFonts w:cstheme="minorHAnsi"/>
          <w:shd w:val="clear" w:color="auto" w:fill="FFFFFF"/>
          <w:lang w:val="en-US"/>
        </w:rPr>
        <w:t xml:space="preserve">Duflo, M., &amp; Ghaem, M. (2014). </w:t>
      </w:r>
      <w:r w:rsidRPr="00266E43">
        <w:rPr>
          <w:rFonts w:cstheme="minorHAnsi"/>
          <w:shd w:val="clear" w:color="auto" w:fill="FFFFFF"/>
        </w:rPr>
        <w:t>Mayotte, une zone de non-droit. </w:t>
      </w:r>
      <w:r w:rsidRPr="00266E43">
        <w:rPr>
          <w:rFonts w:cstheme="minorHAnsi"/>
          <w:i/>
          <w:iCs/>
          <w:shd w:val="clear" w:color="auto" w:fill="FFFFFF"/>
        </w:rPr>
        <w:t>Plein droit</w:t>
      </w:r>
      <w:r w:rsidRPr="00266E43">
        <w:rPr>
          <w:rFonts w:cstheme="minorHAnsi"/>
          <w:shd w:val="clear" w:color="auto" w:fill="FFFFFF"/>
        </w:rPr>
        <w:t>, (1), 31-34.</w:t>
      </w:r>
    </w:p>
    <w:p w14:paraId="09541994" w14:textId="1C31C798" w:rsidR="003A1C84" w:rsidRPr="00266E43" w:rsidRDefault="003A1C84" w:rsidP="00FC58C6">
      <w:pPr>
        <w:jc w:val="both"/>
        <w:rPr>
          <w:rFonts w:cstheme="minorHAnsi"/>
          <w:i/>
          <w:iCs/>
          <w:shd w:val="clear" w:color="auto" w:fill="FFFFFF"/>
        </w:rPr>
      </w:pPr>
      <w:r w:rsidRPr="00266E43">
        <w:rPr>
          <w:rFonts w:cstheme="minorHAnsi"/>
          <w:shd w:val="clear" w:color="auto" w:fill="FFFFFF"/>
        </w:rPr>
        <w:t>Escuillié, C. (2015). Un encadrement cosmétique du renvoi des mineurs étrangers arbitrairement rattachés à des adultes accompagnants. </w:t>
      </w:r>
      <w:r w:rsidRPr="00266E43">
        <w:rPr>
          <w:rFonts w:cstheme="minorHAnsi"/>
          <w:i/>
          <w:iCs/>
          <w:shd w:val="clear" w:color="auto" w:fill="FFFFFF"/>
        </w:rPr>
        <w:t>La Revue des droits de l’homme.</w:t>
      </w:r>
    </w:p>
    <w:p w14:paraId="388FDDD2" w14:textId="71A793EE" w:rsidR="00C2229F" w:rsidRPr="00266E43" w:rsidRDefault="00C2229F" w:rsidP="00FC58C6">
      <w:pPr>
        <w:jc w:val="both"/>
        <w:rPr>
          <w:rFonts w:cstheme="minorHAnsi"/>
          <w:shd w:val="clear" w:color="auto" w:fill="FFFFFF"/>
        </w:rPr>
      </w:pPr>
      <w:r w:rsidRPr="00266E43">
        <w:rPr>
          <w:rFonts w:cstheme="minorHAnsi"/>
          <w:shd w:val="clear" w:color="auto" w:fill="FFFFFF"/>
        </w:rPr>
        <w:t xml:space="preserve">Foucault, M. (2001). Le sujet et le pouvoir. In : Foucault, M. (2001). Dits et écrits II, 1976-1988. </w:t>
      </w:r>
      <w:r w:rsidR="00F46125" w:rsidRPr="00266E43">
        <w:rPr>
          <w:rFonts w:cstheme="minorHAnsi"/>
          <w:shd w:val="clear" w:color="auto" w:fill="FFFFFF"/>
        </w:rPr>
        <w:t>Paris : Gallimard. 1041-1062.</w:t>
      </w:r>
    </w:p>
    <w:p w14:paraId="0BDA0BD2" w14:textId="1F21F81E" w:rsidR="00DA3659" w:rsidRPr="00266E43" w:rsidRDefault="00DA3659" w:rsidP="00FC58C6">
      <w:pPr>
        <w:jc w:val="both"/>
        <w:rPr>
          <w:rFonts w:cstheme="minorHAnsi"/>
          <w:shd w:val="clear" w:color="auto" w:fill="FFFFFF"/>
        </w:rPr>
      </w:pPr>
      <w:r w:rsidRPr="00266E43">
        <w:rPr>
          <w:rFonts w:cstheme="minorHAnsi"/>
          <w:shd w:val="clear" w:color="auto" w:fill="FFFFFF"/>
        </w:rPr>
        <w:t>Hachimi Alaoui, M. (2016). Françaises et Français de Mayotte. Un rapport inquiet à la nationalité. </w:t>
      </w:r>
      <w:r w:rsidRPr="00266E43">
        <w:rPr>
          <w:rFonts w:cstheme="minorHAnsi"/>
          <w:i/>
          <w:iCs/>
          <w:shd w:val="clear" w:color="auto" w:fill="FFFFFF"/>
        </w:rPr>
        <w:t>Politix</w:t>
      </w:r>
      <w:r w:rsidRPr="00266E43">
        <w:rPr>
          <w:rFonts w:cstheme="minorHAnsi"/>
          <w:shd w:val="clear" w:color="auto" w:fill="FFFFFF"/>
        </w:rPr>
        <w:t>, (4), 115-138.</w:t>
      </w:r>
    </w:p>
    <w:p w14:paraId="5754CEB7" w14:textId="6E8BFE4F" w:rsidR="00FC58C6" w:rsidRPr="00266E43" w:rsidRDefault="00FC58C6" w:rsidP="00FC58C6">
      <w:pPr>
        <w:jc w:val="both"/>
        <w:rPr>
          <w:rFonts w:cstheme="minorHAnsi"/>
          <w:shd w:val="clear" w:color="auto" w:fill="FFFFFF"/>
        </w:rPr>
      </w:pPr>
      <w:r w:rsidRPr="00266E43">
        <w:rPr>
          <w:rFonts w:cstheme="minorHAnsi"/>
          <w:shd w:val="clear" w:color="auto" w:fill="FFFFFF"/>
        </w:rPr>
        <w:t>Hachimi Alaoui, M., Lemercier, É., &amp; Palomares, É. (2013). Reconfigurations ethniques à Mayotte: Frontière avancée de l’Europe dans l’Océan indien. </w:t>
      </w:r>
      <w:r w:rsidRPr="00266E43">
        <w:rPr>
          <w:rFonts w:cstheme="minorHAnsi"/>
          <w:i/>
          <w:iCs/>
          <w:shd w:val="clear" w:color="auto" w:fill="FFFFFF"/>
        </w:rPr>
        <w:t>Hommes &amp; migrations</w:t>
      </w:r>
      <w:r w:rsidRPr="00266E43">
        <w:rPr>
          <w:rFonts w:cstheme="minorHAnsi"/>
          <w:shd w:val="clear" w:color="auto" w:fill="FFFFFF"/>
        </w:rPr>
        <w:t>, </w:t>
      </w:r>
      <w:r w:rsidRPr="00266E43">
        <w:rPr>
          <w:rFonts w:cstheme="minorHAnsi"/>
          <w:i/>
          <w:iCs/>
          <w:shd w:val="clear" w:color="auto" w:fill="FFFFFF"/>
        </w:rPr>
        <w:t>1304</w:t>
      </w:r>
      <w:r w:rsidRPr="00266E43">
        <w:rPr>
          <w:rFonts w:cstheme="minorHAnsi"/>
          <w:shd w:val="clear" w:color="auto" w:fill="FFFFFF"/>
        </w:rPr>
        <w:t>, 59-65.</w:t>
      </w:r>
    </w:p>
    <w:p w14:paraId="20FF232D" w14:textId="75385DDA" w:rsidR="00DA3659" w:rsidRPr="00266E43" w:rsidRDefault="00DA3659" w:rsidP="00FC58C6">
      <w:pPr>
        <w:jc w:val="both"/>
        <w:rPr>
          <w:rFonts w:cstheme="minorHAnsi"/>
          <w:shd w:val="clear" w:color="auto" w:fill="FFFFFF"/>
        </w:rPr>
      </w:pPr>
      <w:r w:rsidRPr="00266E43">
        <w:rPr>
          <w:rFonts w:cstheme="minorHAnsi"/>
          <w:shd w:val="clear" w:color="auto" w:fill="FFFFFF"/>
        </w:rPr>
        <w:t>Hachimi Alaoui, M., Lemercier, É., &amp; Palomares, É. (2019). Les «décasages», une vindicte populaire tolérée. </w:t>
      </w:r>
      <w:r w:rsidRPr="00266E43">
        <w:rPr>
          <w:rFonts w:cstheme="minorHAnsi"/>
          <w:i/>
          <w:iCs/>
          <w:shd w:val="clear" w:color="auto" w:fill="FFFFFF"/>
        </w:rPr>
        <w:t>Plein droit</w:t>
      </w:r>
      <w:r w:rsidRPr="00266E43">
        <w:rPr>
          <w:rFonts w:cstheme="minorHAnsi"/>
          <w:shd w:val="clear" w:color="auto" w:fill="FFFFFF"/>
        </w:rPr>
        <w:t>, (1), 20-23.</w:t>
      </w:r>
    </w:p>
    <w:p w14:paraId="6C663687" w14:textId="68E12004" w:rsidR="007757B6" w:rsidRPr="00266E43" w:rsidRDefault="007757B6" w:rsidP="00FC58C6">
      <w:pPr>
        <w:jc w:val="both"/>
        <w:rPr>
          <w:rFonts w:cstheme="minorHAnsi"/>
          <w:shd w:val="clear" w:color="auto" w:fill="FFFFFF"/>
          <w:lang w:val="en-US"/>
        </w:rPr>
      </w:pPr>
      <w:r w:rsidRPr="00266E43">
        <w:rPr>
          <w:rFonts w:cstheme="minorHAnsi"/>
          <w:shd w:val="clear" w:color="auto" w:fill="FFFFFF"/>
        </w:rPr>
        <w:t>Le Courant, S. (2018). Expulser et menacer d’expulsion, les deux facettes d’un même gouvernement? Les politiques de gestion de la migration irrégulière en France. </w:t>
      </w:r>
      <w:r w:rsidRPr="00266E43">
        <w:rPr>
          <w:rFonts w:cstheme="minorHAnsi"/>
          <w:i/>
          <w:iCs/>
          <w:shd w:val="clear" w:color="auto" w:fill="FFFFFF"/>
          <w:lang w:val="en-US"/>
        </w:rPr>
        <w:t>L'Année sociologique</w:t>
      </w:r>
      <w:r w:rsidRPr="00266E43">
        <w:rPr>
          <w:rFonts w:cstheme="minorHAnsi"/>
          <w:shd w:val="clear" w:color="auto" w:fill="FFFFFF"/>
          <w:lang w:val="en-US"/>
        </w:rPr>
        <w:t>, </w:t>
      </w:r>
      <w:r w:rsidRPr="00266E43">
        <w:rPr>
          <w:rFonts w:cstheme="minorHAnsi"/>
          <w:i/>
          <w:iCs/>
          <w:shd w:val="clear" w:color="auto" w:fill="FFFFFF"/>
          <w:lang w:val="en-US"/>
        </w:rPr>
        <w:t>68</w:t>
      </w:r>
      <w:r w:rsidRPr="00266E43">
        <w:rPr>
          <w:rFonts w:cstheme="minorHAnsi"/>
          <w:shd w:val="clear" w:color="auto" w:fill="FFFFFF"/>
          <w:lang w:val="en-US"/>
        </w:rPr>
        <w:t>(1), 211-232.</w:t>
      </w:r>
    </w:p>
    <w:p w14:paraId="54D927B6" w14:textId="3C77BFB1" w:rsidR="00F46125" w:rsidRDefault="00F46125" w:rsidP="00FC58C6">
      <w:pPr>
        <w:jc w:val="both"/>
        <w:rPr>
          <w:rFonts w:cstheme="minorHAnsi"/>
          <w:shd w:val="clear" w:color="auto" w:fill="FFFFFF"/>
          <w:lang w:val="en-US"/>
        </w:rPr>
      </w:pPr>
      <w:r w:rsidRPr="00266E43">
        <w:rPr>
          <w:rFonts w:cstheme="minorHAnsi"/>
          <w:shd w:val="clear" w:color="auto" w:fill="FFFFFF"/>
          <w:lang w:val="en-US"/>
        </w:rPr>
        <w:t>Lemberg-Pedersen, M. (2016). Forcing flows of migrants: European externalization and border-induced displacement. In The border multiple (pp. 35-53). Routledge.</w:t>
      </w:r>
    </w:p>
    <w:p w14:paraId="17195352" w14:textId="01402857" w:rsidR="00F14337" w:rsidRPr="00A364B0" w:rsidRDefault="00F14337" w:rsidP="00FC58C6">
      <w:pPr>
        <w:jc w:val="both"/>
        <w:rPr>
          <w:rFonts w:cstheme="minorHAnsi"/>
          <w:shd w:val="clear" w:color="auto" w:fill="FFFFFF"/>
        </w:rPr>
      </w:pPr>
      <w:r w:rsidRPr="00F14337">
        <w:rPr>
          <w:rFonts w:cstheme="minorHAnsi"/>
          <w:shd w:val="clear" w:color="auto" w:fill="FFFFFF"/>
        </w:rPr>
        <w:t xml:space="preserve">Marie, C. V., Breton, D., &amp; Crouzet, M. (2018). Mayotte: plus d'un adulte sur deux n'est pas né sur l'île. </w:t>
      </w:r>
      <w:r w:rsidRPr="00A364B0">
        <w:rPr>
          <w:rFonts w:cstheme="minorHAnsi"/>
          <w:i/>
          <w:iCs/>
          <w:shd w:val="clear" w:color="auto" w:fill="FFFFFF"/>
        </w:rPr>
        <w:t>Population Sociétés</w:t>
      </w:r>
      <w:r w:rsidRPr="00A364B0">
        <w:rPr>
          <w:rFonts w:cstheme="minorHAnsi"/>
          <w:shd w:val="clear" w:color="auto" w:fill="FFFFFF"/>
        </w:rPr>
        <w:t>, 560(10), 1-4.</w:t>
      </w:r>
    </w:p>
    <w:p w14:paraId="45298E6A" w14:textId="0389979C" w:rsidR="00FC58C6" w:rsidRPr="00A364B0" w:rsidRDefault="00FC58C6" w:rsidP="00FC58C6">
      <w:pPr>
        <w:jc w:val="both"/>
        <w:rPr>
          <w:rFonts w:cstheme="minorHAnsi"/>
          <w:shd w:val="clear" w:color="auto" w:fill="FFFFFF"/>
          <w:lang w:val="en-US"/>
        </w:rPr>
      </w:pPr>
      <w:r w:rsidRPr="00A364B0">
        <w:rPr>
          <w:rFonts w:cstheme="minorHAnsi"/>
          <w:shd w:val="clear" w:color="auto" w:fill="FFFFFF"/>
        </w:rPr>
        <w:lastRenderedPageBreak/>
        <w:t xml:space="preserve">Math, A., &amp; Duflo, M. (2019). </w:t>
      </w:r>
      <w:r w:rsidRPr="00266E43">
        <w:rPr>
          <w:rFonts w:cstheme="minorHAnsi"/>
          <w:shd w:val="clear" w:color="auto" w:fill="FFFFFF"/>
        </w:rPr>
        <w:t>Fantasmes et réalités démographiques. </w:t>
      </w:r>
      <w:r w:rsidRPr="00A364B0">
        <w:rPr>
          <w:rFonts w:cstheme="minorHAnsi"/>
          <w:i/>
          <w:iCs/>
          <w:shd w:val="clear" w:color="auto" w:fill="FFFFFF"/>
          <w:lang w:val="en-US"/>
        </w:rPr>
        <w:t>Plein droit</w:t>
      </w:r>
      <w:r w:rsidRPr="00A364B0">
        <w:rPr>
          <w:rFonts w:cstheme="minorHAnsi"/>
          <w:shd w:val="clear" w:color="auto" w:fill="FFFFFF"/>
          <w:lang w:val="en-US"/>
        </w:rPr>
        <w:t>, (1), 16-19.</w:t>
      </w:r>
    </w:p>
    <w:p w14:paraId="2F933751" w14:textId="29A47445" w:rsidR="00281D11" w:rsidRPr="00266E43" w:rsidRDefault="001E535F" w:rsidP="00FC58C6">
      <w:pPr>
        <w:pStyle w:val="Notedebasdepage"/>
        <w:spacing w:after="160"/>
        <w:rPr>
          <w:rFonts w:cstheme="minorHAnsi"/>
          <w:sz w:val="22"/>
          <w:szCs w:val="22"/>
          <w:shd w:val="clear" w:color="auto" w:fill="FFFFFF"/>
        </w:rPr>
      </w:pPr>
      <w:r w:rsidRPr="00266E43">
        <w:rPr>
          <w:rFonts w:cstheme="minorHAnsi"/>
          <w:sz w:val="22"/>
          <w:szCs w:val="22"/>
          <w:shd w:val="clear" w:color="auto" w:fill="FFFFFF"/>
          <w:lang w:val="en-US"/>
        </w:rPr>
        <w:t>McGarry, J. (1998). 'Demographic engineering': the state-directed movement of ethnic groups as a technique of conflict regulation. </w:t>
      </w:r>
      <w:r w:rsidRPr="00266E43">
        <w:rPr>
          <w:rFonts w:cstheme="minorHAnsi"/>
          <w:i/>
          <w:iCs/>
          <w:sz w:val="22"/>
          <w:szCs w:val="22"/>
          <w:shd w:val="clear" w:color="auto" w:fill="FFFFFF"/>
        </w:rPr>
        <w:t>Ethnic and Racial studies</w:t>
      </w:r>
      <w:r w:rsidRPr="00266E43">
        <w:rPr>
          <w:rFonts w:cstheme="minorHAnsi"/>
          <w:sz w:val="22"/>
          <w:szCs w:val="22"/>
          <w:shd w:val="clear" w:color="auto" w:fill="FFFFFF"/>
        </w:rPr>
        <w:t>, </w:t>
      </w:r>
      <w:r w:rsidRPr="00266E43">
        <w:rPr>
          <w:rFonts w:cstheme="minorHAnsi"/>
          <w:i/>
          <w:iCs/>
          <w:sz w:val="22"/>
          <w:szCs w:val="22"/>
          <w:shd w:val="clear" w:color="auto" w:fill="FFFFFF"/>
        </w:rPr>
        <w:t>21</w:t>
      </w:r>
      <w:r w:rsidRPr="00266E43">
        <w:rPr>
          <w:rFonts w:cstheme="minorHAnsi"/>
          <w:sz w:val="22"/>
          <w:szCs w:val="22"/>
          <w:shd w:val="clear" w:color="auto" w:fill="FFFFFF"/>
        </w:rPr>
        <w:t>(4), 613-638</w:t>
      </w:r>
      <w:r w:rsidR="00635DBF" w:rsidRPr="00266E43">
        <w:rPr>
          <w:rFonts w:cstheme="minorHAnsi"/>
          <w:sz w:val="22"/>
          <w:szCs w:val="22"/>
          <w:shd w:val="clear" w:color="auto" w:fill="FFFFFF"/>
        </w:rPr>
        <w:t>.</w:t>
      </w:r>
    </w:p>
    <w:p w14:paraId="5D6C24F3" w14:textId="52AF4986" w:rsidR="00FC58C6" w:rsidRPr="00266E43" w:rsidRDefault="00281D11" w:rsidP="00FC58C6">
      <w:pPr>
        <w:pStyle w:val="Notedebasdepage"/>
        <w:spacing w:after="160"/>
        <w:rPr>
          <w:rFonts w:cstheme="minorHAnsi"/>
          <w:sz w:val="22"/>
          <w:szCs w:val="22"/>
          <w:shd w:val="clear" w:color="auto" w:fill="FFFFFF"/>
        </w:rPr>
      </w:pPr>
      <w:r w:rsidRPr="00266E43">
        <w:rPr>
          <w:rFonts w:cstheme="minorHAnsi"/>
          <w:sz w:val="22"/>
          <w:szCs w:val="22"/>
          <w:shd w:val="clear" w:color="auto" w:fill="FFFFFF"/>
        </w:rPr>
        <w:t>Noiriel, G. (2008). Comment travailler sur le rapport entre État et population: l’ingénierie démographique à l’aune de la sociohistoire. Entretien avec Gérard Noiriel. </w:t>
      </w:r>
      <w:r w:rsidRPr="00266E43">
        <w:rPr>
          <w:rFonts w:cstheme="minorHAnsi"/>
          <w:i/>
          <w:iCs/>
          <w:sz w:val="22"/>
          <w:szCs w:val="22"/>
          <w:shd w:val="clear" w:color="auto" w:fill="FFFFFF"/>
        </w:rPr>
        <w:t>European Journal of Turkish Studies. Social Sciences on Contemporary Turkey</w:t>
      </w:r>
      <w:r w:rsidRPr="00266E43">
        <w:rPr>
          <w:rFonts w:cstheme="minorHAnsi"/>
          <w:sz w:val="22"/>
          <w:szCs w:val="22"/>
          <w:shd w:val="clear" w:color="auto" w:fill="FFFFFF"/>
        </w:rPr>
        <w:t>, (7)</w:t>
      </w:r>
      <w:r w:rsidR="00635DBF" w:rsidRPr="00266E43">
        <w:rPr>
          <w:rFonts w:cstheme="minorHAnsi"/>
          <w:sz w:val="22"/>
          <w:szCs w:val="22"/>
          <w:shd w:val="clear" w:color="auto" w:fill="FFFFFF"/>
        </w:rPr>
        <w:t>.</w:t>
      </w:r>
    </w:p>
    <w:p w14:paraId="2F811080" w14:textId="250D45B2" w:rsidR="00FC58C6" w:rsidRPr="00266E43" w:rsidRDefault="00FC58C6" w:rsidP="00FC58C6">
      <w:pPr>
        <w:pStyle w:val="Notedebasdepage"/>
        <w:spacing w:after="160"/>
        <w:rPr>
          <w:rFonts w:cstheme="minorHAnsi"/>
          <w:color w:val="4472C4" w:themeColor="accent1"/>
          <w:sz w:val="22"/>
          <w:szCs w:val="22"/>
          <w:shd w:val="clear" w:color="auto" w:fill="FFFFFF"/>
        </w:rPr>
      </w:pPr>
      <w:r w:rsidRPr="00266E43">
        <w:rPr>
          <w:rFonts w:cstheme="minorHAnsi"/>
          <w:sz w:val="22"/>
          <w:szCs w:val="22"/>
          <w:shd w:val="clear" w:color="auto" w:fill="FFFFFF"/>
        </w:rPr>
        <w:t xml:space="preserve">Osbert, M. (2019). </w:t>
      </w:r>
      <w:r w:rsidRPr="00266E43">
        <w:rPr>
          <w:rFonts w:cstheme="minorHAnsi"/>
          <w:i/>
          <w:iCs/>
          <w:sz w:val="22"/>
          <w:szCs w:val="22"/>
          <w:shd w:val="clear" w:color="auto" w:fill="FFFFFF"/>
        </w:rPr>
        <w:t>Le traitement dérogatoire en droit des étrangers à Mayotte</w:t>
      </w:r>
      <w:r w:rsidRPr="00266E43">
        <w:rPr>
          <w:rFonts w:cstheme="minorHAnsi"/>
          <w:sz w:val="22"/>
          <w:szCs w:val="22"/>
          <w:shd w:val="clear" w:color="auto" w:fill="FFFFFF"/>
        </w:rPr>
        <w:t xml:space="preserve">. </w:t>
      </w:r>
      <w:hyperlink r:id="rId9" w:history="1">
        <w:r w:rsidRPr="00266E43">
          <w:rPr>
            <w:rStyle w:val="Lienhypertexte"/>
            <w:rFonts w:cstheme="minorHAnsi"/>
            <w:color w:val="4472C4" w:themeColor="accent1"/>
            <w:sz w:val="22"/>
            <w:szCs w:val="22"/>
            <w:shd w:val="clear" w:color="auto" w:fill="FFFFFF"/>
          </w:rPr>
          <w:t>https://www.gisti.org/IMG/pdf/memoire_m2_mariama_osbert.pdf</w:t>
        </w:r>
      </w:hyperlink>
    </w:p>
    <w:p w14:paraId="601A0013" w14:textId="7530A0C7" w:rsidR="00DA3659" w:rsidRPr="00266E43" w:rsidRDefault="00DA3659" w:rsidP="00FC58C6">
      <w:pPr>
        <w:jc w:val="both"/>
        <w:rPr>
          <w:rFonts w:cstheme="minorHAnsi"/>
          <w:shd w:val="clear" w:color="auto" w:fill="FFFFFF"/>
        </w:rPr>
      </w:pPr>
      <w:r w:rsidRPr="00266E43">
        <w:rPr>
          <w:rFonts w:cstheme="minorHAnsi"/>
          <w:shd w:val="clear" w:color="auto" w:fill="FFFFFF"/>
        </w:rPr>
        <w:t>Peccia, T., &amp; Meda, R. (2017). Les Comores, le Visa Balladur et l’hécatombe au large de Mayotte: une analyse transdisciplinaire de la question complexe des migrations comoriennes. </w:t>
      </w:r>
      <w:r w:rsidRPr="00266E43">
        <w:rPr>
          <w:rFonts w:cstheme="minorHAnsi"/>
          <w:i/>
          <w:iCs/>
          <w:shd w:val="clear" w:color="auto" w:fill="FFFFFF"/>
        </w:rPr>
        <w:t>Confins. Revue franco-brésilienne de géographie/Revista franco-brasilera de geografia</w:t>
      </w:r>
      <w:r w:rsidRPr="00266E43">
        <w:rPr>
          <w:rFonts w:cstheme="minorHAnsi"/>
          <w:shd w:val="clear" w:color="auto" w:fill="FFFFFF"/>
        </w:rPr>
        <w:t>, (31).</w:t>
      </w:r>
    </w:p>
    <w:p w14:paraId="0061F537" w14:textId="108553B5" w:rsidR="00CB7B9C" w:rsidRPr="00266E43" w:rsidRDefault="00CB7B9C" w:rsidP="00FC58C6">
      <w:pPr>
        <w:jc w:val="both"/>
        <w:rPr>
          <w:rFonts w:cstheme="minorHAnsi"/>
          <w:shd w:val="clear" w:color="auto" w:fill="FFFFFF"/>
        </w:rPr>
      </w:pPr>
      <w:r w:rsidRPr="00266E43">
        <w:rPr>
          <w:rStyle w:val="uppercase"/>
          <w:rFonts w:cstheme="minorHAnsi"/>
          <w:shd w:val="clear" w:color="auto" w:fill="FFFFFF"/>
        </w:rPr>
        <w:t>Roinsard</w:t>
      </w:r>
      <w:r w:rsidRPr="00266E43">
        <w:rPr>
          <w:rFonts w:cstheme="minorHAnsi"/>
          <w:shd w:val="clear" w:color="auto" w:fill="FFFFFF"/>
        </w:rPr>
        <w:t>, N. (2023). La fabrique de l’étranger à Mayotte. </w:t>
      </w:r>
      <w:r w:rsidRPr="00266E43">
        <w:rPr>
          <w:rFonts w:cstheme="minorHAnsi"/>
          <w:i/>
          <w:iCs/>
          <w:shd w:val="clear" w:color="auto" w:fill="FFFFFF"/>
        </w:rPr>
        <w:t>Esprit</w:t>
      </w:r>
      <w:r w:rsidRPr="00266E43">
        <w:rPr>
          <w:rFonts w:cstheme="minorHAnsi"/>
          <w:shd w:val="clear" w:color="auto" w:fill="FFFFFF"/>
        </w:rPr>
        <w:t>, 26-29.</w:t>
      </w:r>
    </w:p>
    <w:p w14:paraId="4A10AB2F" w14:textId="7197C204" w:rsidR="00FC58C6" w:rsidRPr="00266E43" w:rsidRDefault="00FC58C6" w:rsidP="00FC58C6">
      <w:pPr>
        <w:jc w:val="both"/>
        <w:rPr>
          <w:rFonts w:cstheme="minorHAnsi"/>
          <w:shd w:val="clear" w:color="auto" w:fill="FFFFFF"/>
        </w:rPr>
      </w:pPr>
      <w:r w:rsidRPr="00266E43">
        <w:rPr>
          <w:rFonts w:cstheme="minorHAnsi"/>
          <w:shd w:val="clear" w:color="auto" w:fill="FFFFFF"/>
        </w:rPr>
        <w:t>Sahraoui, N. (2020). Le «nécropouvoir» dans le contrôle migratoire et ses implications genrées dans les périphéries postcoloniales françaises de l’Océan Indien. </w:t>
      </w:r>
      <w:r w:rsidRPr="00266E43">
        <w:rPr>
          <w:rFonts w:cstheme="minorHAnsi"/>
          <w:i/>
          <w:iCs/>
          <w:shd w:val="clear" w:color="auto" w:fill="FFFFFF"/>
        </w:rPr>
        <w:t>Migrations société</w:t>
      </w:r>
      <w:r w:rsidRPr="00266E43">
        <w:rPr>
          <w:rFonts w:cstheme="minorHAnsi"/>
          <w:shd w:val="clear" w:color="auto" w:fill="FFFFFF"/>
        </w:rPr>
        <w:t>, (4), 29-42.</w:t>
      </w:r>
    </w:p>
    <w:p w14:paraId="54E6B55F" w14:textId="2B58832C" w:rsidR="00635DBF" w:rsidRPr="00266E43" w:rsidRDefault="00635DBF" w:rsidP="00FC58C6">
      <w:pPr>
        <w:jc w:val="both"/>
        <w:rPr>
          <w:rFonts w:cstheme="minorHAnsi"/>
          <w:shd w:val="clear" w:color="auto" w:fill="FFFFFF"/>
        </w:rPr>
      </w:pPr>
      <w:r w:rsidRPr="00266E43">
        <w:rPr>
          <w:rFonts w:cstheme="minorHAnsi"/>
          <w:shd w:val="clear" w:color="auto" w:fill="FFFFFF"/>
        </w:rPr>
        <w:t>Sahraoui, N. (2020). Mayotte, l’éloignement des femmes enceintes. </w:t>
      </w:r>
      <w:r w:rsidRPr="00266E43">
        <w:rPr>
          <w:rFonts w:cstheme="minorHAnsi"/>
          <w:i/>
          <w:iCs/>
          <w:shd w:val="clear" w:color="auto" w:fill="FFFFFF"/>
        </w:rPr>
        <w:t>Plein droit</w:t>
      </w:r>
      <w:r w:rsidRPr="00266E43">
        <w:rPr>
          <w:rFonts w:cstheme="minorHAnsi"/>
          <w:shd w:val="clear" w:color="auto" w:fill="FFFFFF"/>
        </w:rPr>
        <w:t>, </w:t>
      </w:r>
      <w:r w:rsidRPr="00266E43">
        <w:rPr>
          <w:rFonts w:cstheme="minorHAnsi"/>
          <w:i/>
          <w:iCs/>
          <w:shd w:val="clear" w:color="auto" w:fill="FFFFFF"/>
        </w:rPr>
        <w:t>124</w:t>
      </w:r>
      <w:r w:rsidRPr="00266E43">
        <w:rPr>
          <w:rFonts w:cstheme="minorHAnsi"/>
          <w:shd w:val="clear" w:color="auto" w:fill="FFFFFF"/>
        </w:rPr>
        <w:t>(1), 39-42.</w:t>
      </w:r>
    </w:p>
    <w:p w14:paraId="5C6F962E" w14:textId="4297D840" w:rsidR="00274418" w:rsidRPr="00266E43" w:rsidRDefault="00274418" w:rsidP="00FC58C6">
      <w:pPr>
        <w:jc w:val="both"/>
        <w:rPr>
          <w:rFonts w:cstheme="minorHAnsi"/>
          <w:shd w:val="clear" w:color="auto" w:fill="FFFFFF"/>
          <w:lang w:val="en-US"/>
        </w:rPr>
      </w:pPr>
      <w:r w:rsidRPr="00266E43">
        <w:rPr>
          <w:rFonts w:cstheme="minorHAnsi"/>
          <w:shd w:val="clear" w:color="auto" w:fill="FFFFFF"/>
        </w:rPr>
        <w:t>Sigalas, N., &amp; Toumarkine, A. (2008). Ingénierie démographique, génocide, nettoyage ethnique. Les paradigmes dominants pour l’étude de la violence sur les populations minoritaires en Turquie et dans les Balkans. </w:t>
      </w:r>
      <w:r w:rsidRPr="00266E43">
        <w:rPr>
          <w:rFonts w:cstheme="minorHAnsi"/>
          <w:i/>
          <w:iCs/>
          <w:shd w:val="clear" w:color="auto" w:fill="FFFFFF"/>
          <w:lang w:val="en-US"/>
        </w:rPr>
        <w:t>European Journal of Turkish Studies. Social Sciences on Contemporary Turkey</w:t>
      </w:r>
      <w:r w:rsidRPr="00266E43">
        <w:rPr>
          <w:rFonts w:cstheme="minorHAnsi"/>
          <w:shd w:val="clear" w:color="auto" w:fill="FFFFFF"/>
          <w:lang w:val="en-US"/>
        </w:rPr>
        <w:t>, (7).</w:t>
      </w:r>
    </w:p>
    <w:p w14:paraId="09CD305E" w14:textId="56112690" w:rsidR="00281D11" w:rsidRPr="00266E43" w:rsidRDefault="00C05804" w:rsidP="00FC58C6">
      <w:pPr>
        <w:jc w:val="both"/>
        <w:rPr>
          <w:rFonts w:cstheme="minorHAnsi"/>
          <w:shd w:val="clear" w:color="auto" w:fill="FFFFFF"/>
        </w:rPr>
      </w:pPr>
      <w:r w:rsidRPr="00266E43">
        <w:rPr>
          <w:rFonts w:cstheme="minorHAnsi"/>
          <w:shd w:val="clear" w:color="auto" w:fill="FFFFFF"/>
        </w:rPr>
        <w:t>Suquet, T. (2023). Frontières et flux migratoires à Mayotte: un défi pour le 101e département et l’État. </w:t>
      </w:r>
      <w:r w:rsidRPr="00266E43">
        <w:rPr>
          <w:rFonts w:cstheme="minorHAnsi"/>
          <w:i/>
          <w:iCs/>
          <w:shd w:val="clear" w:color="auto" w:fill="FFFFFF"/>
        </w:rPr>
        <w:t>Administration</w:t>
      </w:r>
      <w:r w:rsidRPr="00266E43">
        <w:rPr>
          <w:rFonts w:cstheme="minorHAnsi"/>
          <w:shd w:val="clear" w:color="auto" w:fill="FFFFFF"/>
        </w:rPr>
        <w:t>, (3), 57-59</w:t>
      </w:r>
      <w:r w:rsidR="00635DBF" w:rsidRPr="00266E43">
        <w:rPr>
          <w:rFonts w:cstheme="minorHAnsi"/>
          <w:shd w:val="clear" w:color="auto" w:fill="FFFFFF"/>
        </w:rPr>
        <w:t>.</w:t>
      </w:r>
    </w:p>
    <w:sectPr w:rsidR="00281D11" w:rsidRPr="00266E4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C410" w14:textId="77777777" w:rsidR="00075F10" w:rsidRDefault="00075F10" w:rsidP="00A265B2">
      <w:pPr>
        <w:spacing w:after="0" w:line="240" w:lineRule="auto"/>
      </w:pPr>
      <w:r>
        <w:separator/>
      </w:r>
    </w:p>
  </w:endnote>
  <w:endnote w:type="continuationSeparator" w:id="0">
    <w:p w14:paraId="1F637E1F" w14:textId="77777777" w:rsidR="00075F10" w:rsidRDefault="00075F10" w:rsidP="00A2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D8F9" w14:textId="625C98CA" w:rsidR="00FC58C6" w:rsidRDefault="00FC58C6" w:rsidP="00FC58C6">
    <w:pPr>
      <w:pStyle w:val="Pieddepage"/>
      <w:jc w:val="center"/>
    </w:pPr>
    <w:r>
      <w:fldChar w:fldCharType="begin"/>
    </w:r>
    <w:r>
      <w:instrText>PAGE   \* MERGEFORMAT</w:instrText>
    </w:r>
    <w:r>
      <w:fldChar w:fldCharType="separate"/>
    </w:r>
    <w:r>
      <w:t>1</w:t>
    </w:r>
    <w:r>
      <w:fldChar w:fldCharType="end"/>
    </w: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90BE6" w14:textId="77777777" w:rsidR="00075F10" w:rsidRDefault="00075F10" w:rsidP="00A265B2">
      <w:pPr>
        <w:spacing w:after="0" w:line="240" w:lineRule="auto"/>
      </w:pPr>
      <w:r>
        <w:separator/>
      </w:r>
    </w:p>
  </w:footnote>
  <w:footnote w:type="continuationSeparator" w:id="0">
    <w:p w14:paraId="6097785A" w14:textId="77777777" w:rsidR="00075F10" w:rsidRDefault="00075F10" w:rsidP="00A265B2">
      <w:pPr>
        <w:spacing w:after="0" w:line="240" w:lineRule="auto"/>
      </w:pPr>
      <w:r>
        <w:continuationSeparator/>
      </w:r>
    </w:p>
  </w:footnote>
  <w:footnote w:id="1">
    <w:p w14:paraId="7D66D181" w14:textId="5DDB46D6" w:rsidR="004B21C8" w:rsidRPr="00F455F6" w:rsidRDefault="004B21C8" w:rsidP="004B21C8">
      <w:pPr>
        <w:spacing w:after="0"/>
        <w:rPr>
          <w:sz w:val="20"/>
          <w:szCs w:val="20"/>
        </w:rPr>
      </w:pPr>
      <w:r w:rsidRPr="004B21C8">
        <w:rPr>
          <w:rStyle w:val="Appelnotedebasdep"/>
          <w:sz w:val="20"/>
          <w:szCs w:val="20"/>
        </w:rPr>
        <w:footnoteRef/>
      </w:r>
      <w:r w:rsidR="009F70FF" w:rsidRPr="00F455F6">
        <w:rPr>
          <w:sz w:val="20"/>
          <w:szCs w:val="20"/>
        </w:rPr>
        <w:t xml:space="preserve"> </w:t>
      </w:r>
      <w:r w:rsidR="00F455F6" w:rsidRPr="00F455F6">
        <w:rPr>
          <w:sz w:val="20"/>
          <w:szCs w:val="20"/>
        </w:rPr>
        <w:t xml:space="preserve">Diffalah, S. (2018, 15 mars). </w:t>
      </w:r>
      <w:r w:rsidR="00F455F6" w:rsidRPr="00F455F6">
        <w:rPr>
          <w:i/>
          <w:iCs/>
          <w:sz w:val="20"/>
          <w:szCs w:val="20"/>
        </w:rPr>
        <w:t>Mayotte : pourquoi donner un statut international à la maternité n'est pas réaliste</w:t>
      </w:r>
      <w:r w:rsidR="00F455F6">
        <w:rPr>
          <w:sz w:val="20"/>
          <w:szCs w:val="20"/>
        </w:rPr>
        <w:t xml:space="preserve">. </w:t>
      </w:r>
      <w:hyperlink r:id="rId1" w:history="1">
        <w:r w:rsidRPr="00F455F6">
          <w:rPr>
            <w:rStyle w:val="Lienhypertexte"/>
            <w:sz w:val="20"/>
            <w:szCs w:val="20"/>
          </w:rPr>
          <w:t>https://www.nouvelobs.com/societe/20180315.OBS3700/mayotte-pourquoi-donner-un-statut-international-a-la-maternite-n-est-pas-realiste.html</w:t>
        </w:r>
      </w:hyperlink>
    </w:p>
  </w:footnote>
  <w:footnote w:id="2">
    <w:p w14:paraId="75C1CC57" w14:textId="6538BCE9" w:rsidR="00F16BC9" w:rsidRPr="00F455F6" w:rsidRDefault="00F16BC9" w:rsidP="00F16BC9">
      <w:pPr>
        <w:pStyle w:val="Notedebasdepage"/>
      </w:pPr>
      <w:r>
        <w:rPr>
          <w:rStyle w:val="Appelnotedebasdep"/>
        </w:rPr>
        <w:footnoteRef/>
      </w:r>
      <w:r w:rsidRPr="00F455F6">
        <w:t xml:space="preserve"> </w:t>
      </w:r>
      <w:r w:rsidR="00F455F6" w:rsidRPr="00F455F6">
        <w:t xml:space="preserve">Delanney, L. (2023, 2 avril). </w:t>
      </w:r>
      <w:r w:rsidR="00F455F6" w:rsidRPr="00F455F6">
        <w:rPr>
          <w:i/>
          <w:iCs/>
        </w:rPr>
        <w:t>A Mayotte, des jeunes invitées à se faire ligaturer les trompes</w:t>
      </w:r>
      <w:r w:rsidR="00F455F6">
        <w:t xml:space="preserve">. </w:t>
      </w:r>
      <w:hyperlink r:id="rId2" w:history="1">
        <w:r w:rsidR="00F455F6" w:rsidRPr="0097733B">
          <w:rPr>
            <w:rStyle w:val="Lienhypertexte"/>
          </w:rPr>
          <w:t>https://www.humanite.fr/politique/mayotte/a-mayotte-des-jeunes-femmes-invitees-a-se-faire-ligaturer-les-trompes-789166</w:t>
        </w:r>
      </w:hyperlink>
    </w:p>
  </w:footnote>
  <w:footnote w:id="3">
    <w:p w14:paraId="4BE92965" w14:textId="05FFA391" w:rsidR="00330F93" w:rsidRPr="00F455F6" w:rsidRDefault="00330F93" w:rsidP="00330F93">
      <w:pPr>
        <w:pStyle w:val="Notedebasdepage"/>
      </w:pPr>
      <w:r>
        <w:rPr>
          <w:rStyle w:val="Appelnotedebasdep"/>
        </w:rPr>
        <w:footnoteRef/>
      </w:r>
      <w:r w:rsidRPr="002924B7">
        <w:t xml:space="preserve"> </w:t>
      </w:r>
      <w:r w:rsidR="00F455F6" w:rsidRPr="002924B7">
        <w:t xml:space="preserve">ImazPress. </w:t>
      </w:r>
      <w:r w:rsidR="00F455F6" w:rsidRPr="00F455F6">
        <w:t xml:space="preserve">(2023, 19 mai). </w:t>
      </w:r>
      <w:r w:rsidR="00F455F6" w:rsidRPr="00F455F6">
        <w:rPr>
          <w:i/>
          <w:iCs/>
        </w:rPr>
        <w:t>En Métropole l'Etat veut relancer la natalité, à Mayotte l'ARS encourage la stérilisation des femmes</w:t>
      </w:r>
      <w:r w:rsidR="00F455F6">
        <w:t xml:space="preserve">. </w:t>
      </w:r>
      <w:hyperlink r:id="rId3" w:history="1">
        <w:r w:rsidR="00F455F6" w:rsidRPr="0097733B">
          <w:rPr>
            <w:rStyle w:val="Lienhypertexte"/>
          </w:rPr>
          <w:t>https://imazpress.com/actus-reunion/sterilisation</w:t>
        </w:r>
      </w:hyperlink>
    </w:p>
  </w:footnote>
  <w:footnote w:id="4">
    <w:p w14:paraId="02A735A7" w14:textId="27D8C260" w:rsidR="00C2229F" w:rsidRDefault="00C2229F" w:rsidP="00C2229F">
      <w:pPr>
        <w:pStyle w:val="Notedebasdepage"/>
      </w:pPr>
      <w:r>
        <w:rPr>
          <w:rStyle w:val="Appelnotedebasdep"/>
        </w:rPr>
        <w:footnoteRef/>
      </w:r>
      <w:r>
        <w:t xml:space="preserve"> </w:t>
      </w:r>
      <w:r w:rsidR="00F455F6">
        <w:t xml:space="preserve">Touzet, Claude. (2022, 22 septembre). </w:t>
      </w:r>
      <w:r w:rsidR="00F455F6" w:rsidRPr="00F455F6">
        <w:rPr>
          <w:i/>
          <w:iCs/>
        </w:rPr>
        <w:t>Plus de 10 000 naissances en 2021 et décès en forte hausse</w:t>
      </w:r>
      <w:r w:rsidR="00F455F6">
        <w:t xml:space="preserve">. </w:t>
      </w:r>
      <w:hyperlink r:id="rId4" w:history="1">
        <w:r w:rsidR="00F455F6" w:rsidRPr="0097733B">
          <w:rPr>
            <w:rStyle w:val="Lienhypertexte"/>
          </w:rPr>
          <w:t>https://www.insee.fr/fr/statistiques/6531991</w:t>
        </w:r>
      </w:hyperlink>
    </w:p>
  </w:footnote>
  <w:footnote w:id="5">
    <w:p w14:paraId="6A31787C" w14:textId="7049FEA6" w:rsidR="003825EF" w:rsidRPr="00F455F6" w:rsidRDefault="00F46125">
      <w:pPr>
        <w:pStyle w:val="Notedebasdepage"/>
      </w:pPr>
      <w:r>
        <w:rPr>
          <w:rStyle w:val="Appelnotedebasdep"/>
        </w:rPr>
        <w:footnoteRef/>
      </w:r>
      <w:r>
        <w:t xml:space="preserve"> </w:t>
      </w:r>
      <w:r w:rsidR="00F455F6">
        <w:t xml:space="preserve">Chaussy, C., Merceron, S. &amp; Genay, V. (2019, 7 février). </w:t>
      </w:r>
      <w:r w:rsidR="00F455F6" w:rsidRPr="00F455F6">
        <w:rPr>
          <w:i/>
          <w:iCs/>
        </w:rPr>
        <w:t>A Mayotte, près d'un habitant sur deux est de nationalité étrangère</w:t>
      </w:r>
      <w:r w:rsidR="00F455F6">
        <w:t xml:space="preserve">. </w:t>
      </w:r>
      <w:hyperlink r:id="rId5" w:history="1">
        <w:r w:rsidR="00F455F6" w:rsidRPr="0097733B">
          <w:rPr>
            <w:rStyle w:val="Lienhypertexte"/>
          </w:rPr>
          <w:t>https://www.insee.fr/fr/statistiques/3713016</w:t>
        </w:r>
      </w:hyperlink>
    </w:p>
    <w:p w14:paraId="0E45FAD3" w14:textId="02121B37" w:rsidR="00F46125" w:rsidRDefault="00F46125">
      <w:pPr>
        <w:pStyle w:val="Notedebasdepage"/>
      </w:pPr>
      <w:r>
        <w:t xml:space="preserve">Il faudrait en fait comparer les nombres de personnes en capacité de procréer </w:t>
      </w:r>
      <w:r w:rsidR="007061DE">
        <w:t xml:space="preserve">comoriennes et françaises, mais </w:t>
      </w:r>
      <w:r w:rsidR="00474317">
        <w:t>je n'ai pas trouvé ces données</w:t>
      </w:r>
      <w:r w:rsidR="007061DE">
        <w:t>.</w:t>
      </w:r>
    </w:p>
    <w:p w14:paraId="25AA1AEF" w14:textId="7CDDFD65" w:rsidR="00B24A57" w:rsidRDefault="00B24A57">
      <w:pPr>
        <w:pStyle w:val="Notedebasdepage"/>
      </w:pPr>
      <w:r>
        <w:t>Cette accusation d'un trop grand nombre de naissances comoriennes est en réalité à questionner. Par exemple, si l'on considère l'indice conjoncturel de fécondité (ICF) et non plus le nombre de naissances brutes, les Comoriennes ne participent plus qu'à 42% de la fécondité de Mayotte, soit légèrement moins que leur part dans la population.</w:t>
      </w:r>
    </w:p>
    <w:p w14:paraId="1211F47E" w14:textId="20CC3AE3" w:rsidR="00B24A57" w:rsidRDefault="00B24A57" w:rsidP="00B24A57">
      <w:pPr>
        <w:pStyle w:val="Notedebasdepage"/>
      </w:pPr>
      <w:r>
        <w:t xml:space="preserve">Donnée issue d'un calcul utilisant des données de : Chaussy, C., Merceron, S. &amp; Genay, V. (2019, 7 février). </w:t>
      </w:r>
      <w:r w:rsidRPr="00F455F6">
        <w:rPr>
          <w:i/>
          <w:iCs/>
        </w:rPr>
        <w:t>A Mayotte, près d'un habitant sur deux est de nationalité étrangèr</w:t>
      </w:r>
      <w:r>
        <w:rPr>
          <w:i/>
          <w:iCs/>
        </w:rPr>
        <w:t xml:space="preserve">e. </w:t>
      </w:r>
      <w:hyperlink r:id="rId6" w:history="1">
        <w:r w:rsidRPr="00EE1CB7">
          <w:rPr>
            <w:rStyle w:val="Lienhypertexte"/>
          </w:rPr>
          <w:t>https://www.insee.fr/fr/statistiques/3713016</w:t>
        </w:r>
      </w:hyperlink>
    </w:p>
  </w:footnote>
  <w:footnote w:id="6">
    <w:p w14:paraId="7249889C" w14:textId="24DAE99D" w:rsidR="00056456" w:rsidRDefault="00056456">
      <w:pPr>
        <w:pStyle w:val="Notedebasdepage"/>
      </w:pPr>
      <w:r>
        <w:rPr>
          <w:rStyle w:val="Appelnotedebasdep"/>
        </w:rPr>
        <w:footnoteRef/>
      </w:r>
      <w:r>
        <w:t xml:space="preserve"> </w:t>
      </w:r>
      <w:r w:rsidR="00FE2021" w:rsidRPr="002924B7">
        <w:t xml:space="preserve">ImazPress. </w:t>
      </w:r>
      <w:r w:rsidR="00FE2021" w:rsidRPr="00F455F6">
        <w:t xml:space="preserve">(2023, 19 mai). </w:t>
      </w:r>
      <w:r w:rsidR="00FE2021" w:rsidRPr="00F455F6">
        <w:rPr>
          <w:i/>
          <w:iCs/>
        </w:rPr>
        <w:t>En Métropole l'Etat veut relancer la natalité, à Mayotte l'ARS encourage la stérilisation des femmes</w:t>
      </w:r>
      <w:r w:rsidR="00FE2021">
        <w:t xml:space="preserve">. </w:t>
      </w:r>
      <w:hyperlink r:id="rId7" w:history="1">
        <w:r w:rsidR="00FE2021" w:rsidRPr="0097733B">
          <w:rPr>
            <w:rStyle w:val="Lienhypertexte"/>
          </w:rPr>
          <w:t>https://imazpress.com/actus-reunion/sterilisation</w:t>
        </w:r>
      </w:hyperlink>
    </w:p>
  </w:footnote>
  <w:footnote w:id="7">
    <w:p w14:paraId="30047300" w14:textId="706FBD0E" w:rsidR="00B52632" w:rsidRDefault="00AC0AA9">
      <w:pPr>
        <w:pStyle w:val="Notedebasdepage"/>
      </w:pPr>
      <w:r>
        <w:rPr>
          <w:rStyle w:val="Appelnotedebasdep"/>
        </w:rPr>
        <w:footnoteRef/>
      </w:r>
      <w:r>
        <w:t xml:space="preserve"> Voir par exemple : La Cimade. (2018, 6 septembre). </w:t>
      </w:r>
      <w:r w:rsidRPr="00AC0AA9">
        <w:rPr>
          <w:i/>
          <w:iCs/>
        </w:rPr>
        <w:t>Cinq mois de démission du service public à Mayotte</w:t>
      </w:r>
      <w:r>
        <w:t xml:space="preserve">. </w:t>
      </w:r>
      <w:hyperlink r:id="rId8" w:history="1">
        <w:r w:rsidR="00B52632" w:rsidRPr="0097733B">
          <w:rPr>
            <w:rStyle w:val="Lienhypertexte"/>
          </w:rPr>
          <w:t>https://www.lacimade.org/cinq-mois-de-demission-du-service-public-a-mayotte/</w:t>
        </w:r>
      </w:hyperlink>
    </w:p>
  </w:footnote>
  <w:footnote w:id="8">
    <w:p w14:paraId="7730254A" w14:textId="2532BF8B" w:rsidR="009B4D19" w:rsidRDefault="009B4D19">
      <w:pPr>
        <w:pStyle w:val="Notedebasdepage"/>
      </w:pPr>
      <w:r>
        <w:rPr>
          <w:rStyle w:val="Appelnotedebasdep"/>
        </w:rPr>
        <w:footnoteRef/>
      </w:r>
      <w:r>
        <w:t xml:space="preserve"> </w:t>
      </w:r>
      <w:r w:rsidR="00F455F6">
        <w:t xml:space="preserve">Collectif. (2019, 4 juin). </w:t>
      </w:r>
      <w:r w:rsidR="00F455F6" w:rsidRPr="00F455F6">
        <w:rPr>
          <w:i/>
          <w:iCs/>
        </w:rPr>
        <w:t>Rapport 2018 sur les centres et locaux de rétention administrative</w:t>
      </w:r>
      <w:r w:rsidR="00F455F6">
        <w:t xml:space="preserve">. </w:t>
      </w:r>
      <w:hyperlink r:id="rId9" w:history="1">
        <w:r w:rsidR="00F455F6" w:rsidRPr="0097733B">
          <w:rPr>
            <w:rStyle w:val="Lienhypertexte"/>
          </w:rPr>
          <w:t>https://lacimade.org/wp-content/uploads/2019/06/La_Cimade_Rapport_Retention_2018.pdf</w:t>
        </w:r>
      </w:hyperlink>
    </w:p>
  </w:footnote>
  <w:footnote w:id="9">
    <w:p w14:paraId="1EE41C81" w14:textId="08F2AB2F" w:rsidR="00F455F6" w:rsidRDefault="009D04DC" w:rsidP="009D04DC">
      <w:pPr>
        <w:pStyle w:val="Notedebasdepage"/>
      </w:pPr>
      <w:r>
        <w:rPr>
          <w:rStyle w:val="Appelnotedebasdep"/>
        </w:rPr>
        <w:footnoteRef/>
      </w:r>
      <w:r>
        <w:t xml:space="preserve"> </w:t>
      </w:r>
      <w:r w:rsidR="00F455F6">
        <w:t>Collectif. (2023, 26 avril). Rapport 2022 sur les centres et locaux de rétention administrative.</w:t>
      </w:r>
      <w:r w:rsidR="00F455F6" w:rsidRPr="00F455F6">
        <w:t xml:space="preserve"> </w:t>
      </w:r>
      <w:hyperlink r:id="rId10" w:history="1">
        <w:r w:rsidR="00F455F6" w:rsidRPr="0097733B">
          <w:rPr>
            <w:rStyle w:val="Lienhypertexte"/>
          </w:rPr>
          <w:t>https://www.lacimade.org/wp-content/uploads/2023/04/RA_CRA_2022_web.pdf</w:t>
        </w:r>
      </w:hyperlink>
    </w:p>
  </w:footnote>
  <w:footnote w:id="10">
    <w:p w14:paraId="69B92133" w14:textId="77E0D1E3" w:rsidR="009D04DC" w:rsidRDefault="009D04DC" w:rsidP="009D04DC">
      <w:pPr>
        <w:pStyle w:val="Notedebasdepage"/>
      </w:pPr>
      <w:r>
        <w:rPr>
          <w:rStyle w:val="Appelnotedebasdep"/>
        </w:rPr>
        <w:footnoteRef/>
      </w:r>
      <w:r>
        <w:t xml:space="preserve"> </w:t>
      </w:r>
      <w:r w:rsidR="00F455F6">
        <w:t>Collectif. (2023, 26 avril). Rapport 2022 sur les centres et locaux de rétention administrative.</w:t>
      </w:r>
      <w:r w:rsidR="00F455F6" w:rsidRPr="00F455F6">
        <w:t xml:space="preserve"> </w:t>
      </w:r>
      <w:hyperlink r:id="rId11" w:history="1">
        <w:r w:rsidR="00F455F6" w:rsidRPr="0097733B">
          <w:rPr>
            <w:rStyle w:val="Lienhypertexte"/>
          </w:rPr>
          <w:t>https://www.lacimade.org/wp-content/uploads/2023/04/RA_CRA_2022_web.pdf</w:t>
        </w:r>
      </w:hyperlink>
    </w:p>
  </w:footnote>
  <w:footnote w:id="11">
    <w:p w14:paraId="7B1C7D32" w14:textId="7442366B" w:rsidR="009D04DC" w:rsidRDefault="009D04DC" w:rsidP="009D04DC">
      <w:pPr>
        <w:pStyle w:val="Notedebasdepage"/>
      </w:pPr>
      <w:r>
        <w:rPr>
          <w:rStyle w:val="Appelnotedebasdep"/>
        </w:rPr>
        <w:footnoteRef/>
      </w:r>
      <w:r>
        <w:t xml:space="preserve"> </w:t>
      </w:r>
      <w:r w:rsidR="00F455F6">
        <w:t xml:space="preserve">Gisti. (2015, 29 novembre). </w:t>
      </w:r>
      <w:r w:rsidR="00F455F6" w:rsidRPr="00F455F6">
        <w:rPr>
          <w:i/>
          <w:iCs/>
        </w:rPr>
        <w:t>Enfants éloignés de Mayotte : rattachement fictif à un adulte dépourvu d'autorité parentale à son égard</w:t>
      </w:r>
      <w:r w:rsidR="00F455F6">
        <w:t xml:space="preserve">. </w:t>
      </w:r>
      <w:hyperlink r:id="rId12" w:history="1">
        <w:r w:rsidR="00F455F6" w:rsidRPr="0097733B">
          <w:rPr>
            <w:rStyle w:val="Lienhypertexte"/>
          </w:rPr>
          <w:t>https://www.gisti.org/spip.php?article4839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7200B"/>
    <w:multiLevelType w:val="hybridMultilevel"/>
    <w:tmpl w:val="744CFCCC"/>
    <w:lvl w:ilvl="0" w:tplc="5C582FAE">
      <w:numFmt w:val="bullet"/>
      <w:lvlText w:val="-"/>
      <w:lvlJc w:val="left"/>
      <w:pPr>
        <w:ind w:left="720" w:hanging="360"/>
      </w:pPr>
      <w:rPr>
        <w:rFonts w:ascii="Calibri Light" w:eastAsiaTheme="maj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F96323"/>
    <w:multiLevelType w:val="hybridMultilevel"/>
    <w:tmpl w:val="3CD64196"/>
    <w:lvl w:ilvl="0" w:tplc="4204E92E">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6A5244"/>
    <w:multiLevelType w:val="hybridMultilevel"/>
    <w:tmpl w:val="C190499E"/>
    <w:lvl w:ilvl="0" w:tplc="480A3CE0">
      <w:numFmt w:val="bullet"/>
      <w:lvlText w:val=""/>
      <w:lvlJc w:val="left"/>
      <w:pPr>
        <w:ind w:left="720" w:hanging="360"/>
      </w:pPr>
      <w:rPr>
        <w:rFonts w:ascii="Wingdings" w:eastAsiaTheme="maj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8823544">
    <w:abstractNumId w:val="0"/>
  </w:num>
  <w:num w:numId="2" w16cid:durableId="767239427">
    <w:abstractNumId w:val="2"/>
  </w:num>
  <w:num w:numId="3" w16cid:durableId="2077435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46"/>
    <w:rsid w:val="00032902"/>
    <w:rsid w:val="00056456"/>
    <w:rsid w:val="00075F10"/>
    <w:rsid w:val="0008758C"/>
    <w:rsid w:val="000A25E3"/>
    <w:rsid w:val="000A58E9"/>
    <w:rsid w:val="000C76E1"/>
    <w:rsid w:val="000E4797"/>
    <w:rsid w:val="000F5E85"/>
    <w:rsid w:val="001072F7"/>
    <w:rsid w:val="001133CE"/>
    <w:rsid w:val="00117ED1"/>
    <w:rsid w:val="0012716E"/>
    <w:rsid w:val="0014768C"/>
    <w:rsid w:val="00151F37"/>
    <w:rsid w:val="00152364"/>
    <w:rsid w:val="0017165E"/>
    <w:rsid w:val="00177C63"/>
    <w:rsid w:val="001B0BC4"/>
    <w:rsid w:val="001E535F"/>
    <w:rsid w:val="0024475F"/>
    <w:rsid w:val="0024476F"/>
    <w:rsid w:val="00266E43"/>
    <w:rsid w:val="00274418"/>
    <w:rsid w:val="00281D11"/>
    <w:rsid w:val="002924B7"/>
    <w:rsid w:val="002B4DD5"/>
    <w:rsid w:val="002F4272"/>
    <w:rsid w:val="00303676"/>
    <w:rsid w:val="00330F93"/>
    <w:rsid w:val="003825EF"/>
    <w:rsid w:val="003A1C84"/>
    <w:rsid w:val="003B0812"/>
    <w:rsid w:val="003B4E2B"/>
    <w:rsid w:val="003E5FB8"/>
    <w:rsid w:val="00441271"/>
    <w:rsid w:val="00446E11"/>
    <w:rsid w:val="00461074"/>
    <w:rsid w:val="00467F2E"/>
    <w:rsid w:val="00472568"/>
    <w:rsid w:val="00474317"/>
    <w:rsid w:val="00476DF9"/>
    <w:rsid w:val="004A3009"/>
    <w:rsid w:val="004A7C24"/>
    <w:rsid w:val="004B21C8"/>
    <w:rsid w:val="004D01E3"/>
    <w:rsid w:val="004E5C76"/>
    <w:rsid w:val="00500F2C"/>
    <w:rsid w:val="005505F7"/>
    <w:rsid w:val="005839F6"/>
    <w:rsid w:val="005D633A"/>
    <w:rsid w:val="005E671D"/>
    <w:rsid w:val="006061A9"/>
    <w:rsid w:val="00626142"/>
    <w:rsid w:val="006353F7"/>
    <w:rsid w:val="00635DBF"/>
    <w:rsid w:val="006B0127"/>
    <w:rsid w:val="006C0345"/>
    <w:rsid w:val="006E22D0"/>
    <w:rsid w:val="006F2D68"/>
    <w:rsid w:val="00703D9D"/>
    <w:rsid w:val="007061DE"/>
    <w:rsid w:val="00726826"/>
    <w:rsid w:val="00732432"/>
    <w:rsid w:val="007355AA"/>
    <w:rsid w:val="00754510"/>
    <w:rsid w:val="0076188C"/>
    <w:rsid w:val="007757B6"/>
    <w:rsid w:val="007D4046"/>
    <w:rsid w:val="00860085"/>
    <w:rsid w:val="00865480"/>
    <w:rsid w:val="00875C95"/>
    <w:rsid w:val="00877C08"/>
    <w:rsid w:val="00886A3E"/>
    <w:rsid w:val="008B2A67"/>
    <w:rsid w:val="008B35FF"/>
    <w:rsid w:val="008B7E3B"/>
    <w:rsid w:val="008E61AF"/>
    <w:rsid w:val="00926D82"/>
    <w:rsid w:val="00934C1E"/>
    <w:rsid w:val="009441B2"/>
    <w:rsid w:val="00954B9C"/>
    <w:rsid w:val="0095618B"/>
    <w:rsid w:val="00964DB3"/>
    <w:rsid w:val="00975E42"/>
    <w:rsid w:val="009B4D19"/>
    <w:rsid w:val="009D04DC"/>
    <w:rsid w:val="009D310C"/>
    <w:rsid w:val="009F70FF"/>
    <w:rsid w:val="00A121E9"/>
    <w:rsid w:val="00A23DB8"/>
    <w:rsid w:val="00A265B2"/>
    <w:rsid w:val="00A364B0"/>
    <w:rsid w:val="00A5149C"/>
    <w:rsid w:val="00A630AE"/>
    <w:rsid w:val="00AA01A8"/>
    <w:rsid w:val="00AA0E3B"/>
    <w:rsid w:val="00AC0AA9"/>
    <w:rsid w:val="00AD0D8C"/>
    <w:rsid w:val="00AE0445"/>
    <w:rsid w:val="00AE5647"/>
    <w:rsid w:val="00AF79B2"/>
    <w:rsid w:val="00B24A57"/>
    <w:rsid w:val="00B52632"/>
    <w:rsid w:val="00B67AD1"/>
    <w:rsid w:val="00B70C26"/>
    <w:rsid w:val="00B86E3A"/>
    <w:rsid w:val="00B97869"/>
    <w:rsid w:val="00BC11EB"/>
    <w:rsid w:val="00BC55EC"/>
    <w:rsid w:val="00BF10BA"/>
    <w:rsid w:val="00C05804"/>
    <w:rsid w:val="00C2229F"/>
    <w:rsid w:val="00C37FEF"/>
    <w:rsid w:val="00C64F21"/>
    <w:rsid w:val="00C90FFF"/>
    <w:rsid w:val="00CB7B9C"/>
    <w:rsid w:val="00CE614A"/>
    <w:rsid w:val="00D25FF8"/>
    <w:rsid w:val="00D517AB"/>
    <w:rsid w:val="00D96F66"/>
    <w:rsid w:val="00DA3659"/>
    <w:rsid w:val="00DB6840"/>
    <w:rsid w:val="00DD6679"/>
    <w:rsid w:val="00DE285B"/>
    <w:rsid w:val="00DF672F"/>
    <w:rsid w:val="00E411B8"/>
    <w:rsid w:val="00E661BC"/>
    <w:rsid w:val="00EB3751"/>
    <w:rsid w:val="00F0648B"/>
    <w:rsid w:val="00F06842"/>
    <w:rsid w:val="00F14337"/>
    <w:rsid w:val="00F14839"/>
    <w:rsid w:val="00F161F4"/>
    <w:rsid w:val="00F168B9"/>
    <w:rsid w:val="00F16BC9"/>
    <w:rsid w:val="00F455F6"/>
    <w:rsid w:val="00F46125"/>
    <w:rsid w:val="00F517BB"/>
    <w:rsid w:val="00F54535"/>
    <w:rsid w:val="00F83878"/>
    <w:rsid w:val="00FB0574"/>
    <w:rsid w:val="00FC58C6"/>
    <w:rsid w:val="00FC5A15"/>
    <w:rsid w:val="00FE2021"/>
    <w:rsid w:val="00FE7E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C98D1"/>
  <w15:chartTrackingRefBased/>
  <w15:docId w15:val="{2102C952-C245-4740-BE56-9D07641C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19"/>
  </w:style>
  <w:style w:type="paragraph" w:styleId="Titre1">
    <w:name w:val="heading 1"/>
    <w:basedOn w:val="Normal"/>
    <w:next w:val="Normal"/>
    <w:link w:val="Titre1Car"/>
    <w:uiPriority w:val="9"/>
    <w:qFormat/>
    <w:rsid w:val="00F461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A0E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A0E3B"/>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5D633A"/>
    <w:pPr>
      <w:ind w:left="720"/>
      <w:contextualSpacing/>
    </w:pPr>
  </w:style>
  <w:style w:type="character" w:styleId="Lienhypertexte">
    <w:name w:val="Hyperlink"/>
    <w:basedOn w:val="Policepardfaut"/>
    <w:uiPriority w:val="99"/>
    <w:unhideWhenUsed/>
    <w:rsid w:val="00D517AB"/>
    <w:rPr>
      <w:color w:val="0563C1" w:themeColor="hyperlink"/>
      <w:u w:val="single"/>
    </w:rPr>
  </w:style>
  <w:style w:type="character" w:styleId="Mentionnonrsolue">
    <w:name w:val="Unresolved Mention"/>
    <w:basedOn w:val="Policepardfaut"/>
    <w:uiPriority w:val="99"/>
    <w:semiHidden/>
    <w:unhideWhenUsed/>
    <w:rsid w:val="00D517AB"/>
    <w:rPr>
      <w:color w:val="605E5C"/>
      <w:shd w:val="clear" w:color="auto" w:fill="E1DFDD"/>
    </w:rPr>
  </w:style>
  <w:style w:type="paragraph" w:styleId="Notedebasdepage">
    <w:name w:val="footnote text"/>
    <w:basedOn w:val="Normal"/>
    <w:link w:val="NotedebasdepageCar"/>
    <w:uiPriority w:val="99"/>
    <w:unhideWhenUsed/>
    <w:rsid w:val="00A265B2"/>
    <w:pPr>
      <w:spacing w:after="0" w:line="240" w:lineRule="auto"/>
    </w:pPr>
    <w:rPr>
      <w:sz w:val="20"/>
      <w:szCs w:val="20"/>
    </w:rPr>
  </w:style>
  <w:style w:type="character" w:customStyle="1" w:styleId="NotedebasdepageCar">
    <w:name w:val="Note de bas de page Car"/>
    <w:basedOn w:val="Policepardfaut"/>
    <w:link w:val="Notedebasdepage"/>
    <w:uiPriority w:val="99"/>
    <w:rsid w:val="00A265B2"/>
    <w:rPr>
      <w:sz w:val="20"/>
      <w:szCs w:val="20"/>
    </w:rPr>
  </w:style>
  <w:style w:type="character" w:styleId="Appelnotedebasdep">
    <w:name w:val="footnote reference"/>
    <w:basedOn w:val="Policepardfaut"/>
    <w:uiPriority w:val="99"/>
    <w:semiHidden/>
    <w:unhideWhenUsed/>
    <w:rsid w:val="00A265B2"/>
    <w:rPr>
      <w:vertAlign w:val="superscript"/>
    </w:rPr>
  </w:style>
  <w:style w:type="character" w:styleId="Lienhypertextesuivivisit">
    <w:name w:val="FollowedHyperlink"/>
    <w:basedOn w:val="Policepardfaut"/>
    <w:uiPriority w:val="99"/>
    <w:semiHidden/>
    <w:unhideWhenUsed/>
    <w:rsid w:val="00281D11"/>
    <w:rPr>
      <w:color w:val="954F72" w:themeColor="followedHyperlink"/>
      <w:u w:val="single"/>
    </w:rPr>
  </w:style>
  <w:style w:type="character" w:customStyle="1" w:styleId="Titre1Car">
    <w:name w:val="Titre 1 Car"/>
    <w:basedOn w:val="Policepardfaut"/>
    <w:link w:val="Titre1"/>
    <w:uiPriority w:val="9"/>
    <w:rsid w:val="00F46125"/>
    <w:rPr>
      <w:rFonts w:asciiTheme="majorHAnsi" w:eastAsiaTheme="majorEastAsia" w:hAnsiTheme="majorHAnsi" w:cstheme="majorBidi"/>
      <w:color w:val="2F5496" w:themeColor="accent1" w:themeShade="BF"/>
      <w:sz w:val="32"/>
      <w:szCs w:val="32"/>
    </w:rPr>
  </w:style>
  <w:style w:type="character" w:customStyle="1" w:styleId="uppercase">
    <w:name w:val="uppercase"/>
    <w:basedOn w:val="Policepardfaut"/>
    <w:rsid w:val="00CB7B9C"/>
  </w:style>
  <w:style w:type="paragraph" w:styleId="En-tte">
    <w:name w:val="header"/>
    <w:basedOn w:val="Normal"/>
    <w:link w:val="En-tteCar"/>
    <w:uiPriority w:val="99"/>
    <w:unhideWhenUsed/>
    <w:rsid w:val="00FC58C6"/>
    <w:pPr>
      <w:tabs>
        <w:tab w:val="center" w:pos="4536"/>
        <w:tab w:val="right" w:pos="9072"/>
      </w:tabs>
      <w:spacing w:after="0" w:line="240" w:lineRule="auto"/>
    </w:pPr>
  </w:style>
  <w:style w:type="character" w:customStyle="1" w:styleId="En-tteCar">
    <w:name w:val="En-tête Car"/>
    <w:basedOn w:val="Policepardfaut"/>
    <w:link w:val="En-tte"/>
    <w:uiPriority w:val="99"/>
    <w:rsid w:val="00FC58C6"/>
  </w:style>
  <w:style w:type="paragraph" w:styleId="Pieddepage">
    <w:name w:val="footer"/>
    <w:basedOn w:val="Normal"/>
    <w:link w:val="PieddepageCar"/>
    <w:uiPriority w:val="99"/>
    <w:unhideWhenUsed/>
    <w:rsid w:val="00FC58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5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81">
      <w:bodyDiv w:val="1"/>
      <w:marLeft w:val="0"/>
      <w:marRight w:val="0"/>
      <w:marTop w:val="0"/>
      <w:marBottom w:val="0"/>
      <w:divBdr>
        <w:top w:val="none" w:sz="0" w:space="0" w:color="auto"/>
        <w:left w:val="none" w:sz="0" w:space="0" w:color="auto"/>
        <w:bottom w:val="none" w:sz="0" w:space="0" w:color="auto"/>
        <w:right w:val="none" w:sz="0" w:space="0" w:color="auto"/>
      </w:divBdr>
    </w:div>
    <w:div w:id="95292803">
      <w:bodyDiv w:val="1"/>
      <w:marLeft w:val="0"/>
      <w:marRight w:val="0"/>
      <w:marTop w:val="0"/>
      <w:marBottom w:val="0"/>
      <w:divBdr>
        <w:top w:val="none" w:sz="0" w:space="0" w:color="auto"/>
        <w:left w:val="none" w:sz="0" w:space="0" w:color="auto"/>
        <w:bottom w:val="none" w:sz="0" w:space="0" w:color="auto"/>
        <w:right w:val="none" w:sz="0" w:space="0" w:color="auto"/>
      </w:divBdr>
    </w:div>
    <w:div w:id="304284609">
      <w:bodyDiv w:val="1"/>
      <w:marLeft w:val="0"/>
      <w:marRight w:val="0"/>
      <w:marTop w:val="0"/>
      <w:marBottom w:val="0"/>
      <w:divBdr>
        <w:top w:val="none" w:sz="0" w:space="0" w:color="auto"/>
        <w:left w:val="none" w:sz="0" w:space="0" w:color="auto"/>
        <w:bottom w:val="none" w:sz="0" w:space="0" w:color="auto"/>
        <w:right w:val="none" w:sz="0" w:space="0" w:color="auto"/>
      </w:divBdr>
    </w:div>
    <w:div w:id="849678875">
      <w:bodyDiv w:val="1"/>
      <w:marLeft w:val="0"/>
      <w:marRight w:val="0"/>
      <w:marTop w:val="0"/>
      <w:marBottom w:val="0"/>
      <w:divBdr>
        <w:top w:val="none" w:sz="0" w:space="0" w:color="auto"/>
        <w:left w:val="none" w:sz="0" w:space="0" w:color="auto"/>
        <w:bottom w:val="none" w:sz="0" w:space="0" w:color="auto"/>
        <w:right w:val="none" w:sz="0" w:space="0" w:color="auto"/>
      </w:divBdr>
    </w:div>
    <w:div w:id="929124822">
      <w:bodyDiv w:val="1"/>
      <w:marLeft w:val="0"/>
      <w:marRight w:val="0"/>
      <w:marTop w:val="0"/>
      <w:marBottom w:val="0"/>
      <w:divBdr>
        <w:top w:val="none" w:sz="0" w:space="0" w:color="auto"/>
        <w:left w:val="none" w:sz="0" w:space="0" w:color="auto"/>
        <w:bottom w:val="none" w:sz="0" w:space="0" w:color="auto"/>
        <w:right w:val="none" w:sz="0" w:space="0" w:color="auto"/>
      </w:divBdr>
    </w:div>
    <w:div w:id="1112015683">
      <w:bodyDiv w:val="1"/>
      <w:marLeft w:val="0"/>
      <w:marRight w:val="0"/>
      <w:marTop w:val="0"/>
      <w:marBottom w:val="0"/>
      <w:divBdr>
        <w:top w:val="none" w:sz="0" w:space="0" w:color="auto"/>
        <w:left w:val="none" w:sz="0" w:space="0" w:color="auto"/>
        <w:bottom w:val="none" w:sz="0" w:space="0" w:color="auto"/>
        <w:right w:val="none" w:sz="0" w:space="0" w:color="auto"/>
      </w:divBdr>
    </w:div>
    <w:div w:id="1417630516">
      <w:bodyDiv w:val="1"/>
      <w:marLeft w:val="0"/>
      <w:marRight w:val="0"/>
      <w:marTop w:val="0"/>
      <w:marBottom w:val="0"/>
      <w:divBdr>
        <w:top w:val="none" w:sz="0" w:space="0" w:color="auto"/>
        <w:left w:val="none" w:sz="0" w:space="0" w:color="auto"/>
        <w:bottom w:val="none" w:sz="0" w:space="0" w:color="auto"/>
        <w:right w:val="none" w:sz="0" w:space="0" w:color="auto"/>
      </w:divBdr>
    </w:div>
    <w:div w:id="1439523873">
      <w:bodyDiv w:val="1"/>
      <w:marLeft w:val="0"/>
      <w:marRight w:val="0"/>
      <w:marTop w:val="0"/>
      <w:marBottom w:val="0"/>
      <w:divBdr>
        <w:top w:val="none" w:sz="0" w:space="0" w:color="auto"/>
        <w:left w:val="none" w:sz="0" w:space="0" w:color="auto"/>
        <w:bottom w:val="none" w:sz="0" w:space="0" w:color="auto"/>
        <w:right w:val="none" w:sz="0" w:space="0" w:color="auto"/>
      </w:divBdr>
    </w:div>
    <w:div w:id="1739937827">
      <w:bodyDiv w:val="1"/>
      <w:marLeft w:val="0"/>
      <w:marRight w:val="0"/>
      <w:marTop w:val="0"/>
      <w:marBottom w:val="0"/>
      <w:divBdr>
        <w:top w:val="none" w:sz="0" w:space="0" w:color="auto"/>
        <w:left w:val="none" w:sz="0" w:space="0" w:color="auto"/>
        <w:bottom w:val="none" w:sz="0" w:space="0" w:color="auto"/>
        <w:right w:val="none" w:sz="0" w:space="0" w:color="auto"/>
      </w:divBdr>
    </w:div>
    <w:div w:id="1800145589">
      <w:bodyDiv w:val="1"/>
      <w:marLeft w:val="0"/>
      <w:marRight w:val="0"/>
      <w:marTop w:val="0"/>
      <w:marBottom w:val="0"/>
      <w:divBdr>
        <w:top w:val="none" w:sz="0" w:space="0" w:color="auto"/>
        <w:left w:val="none" w:sz="0" w:space="0" w:color="auto"/>
        <w:bottom w:val="none" w:sz="0" w:space="0" w:color="auto"/>
        <w:right w:val="none" w:sz="0" w:space="0" w:color="auto"/>
      </w:divBdr>
    </w:div>
    <w:div w:id="20227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idique.defenseurdesdroits.fr/doc_num.php?explnum_id=180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isti.org/IMG/pdf/memoire_m2_mariama_osbert.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acimade.org/cinq-mois-de-demission-du-service-public-a-mayotte/" TargetMode="External"/><Relationship Id="rId3" Type="http://schemas.openxmlformats.org/officeDocument/2006/relationships/hyperlink" Target="https://imazpress.com/actus-reunion/sterilisation" TargetMode="External"/><Relationship Id="rId7" Type="http://schemas.openxmlformats.org/officeDocument/2006/relationships/hyperlink" Target="https://imazpress.com/actus-reunion/sterilisation" TargetMode="External"/><Relationship Id="rId12" Type="http://schemas.openxmlformats.org/officeDocument/2006/relationships/hyperlink" Target="https://www.gisti.org/spip.php?article4839" TargetMode="External"/><Relationship Id="rId2" Type="http://schemas.openxmlformats.org/officeDocument/2006/relationships/hyperlink" Target="https://www.humanite.fr/politique/mayotte/a-mayotte-des-jeunes-femmes-invitees-a-se-faire-ligaturer-les-trompes-789166" TargetMode="External"/><Relationship Id="rId1" Type="http://schemas.openxmlformats.org/officeDocument/2006/relationships/hyperlink" Target="https://www.nouvelobs.com/societe/20180315.OBS3700/mayotte-pourquoi-donner-un-statut-international-a-la-maternite-n-est-pas-realiste.html" TargetMode="External"/><Relationship Id="rId6" Type="http://schemas.openxmlformats.org/officeDocument/2006/relationships/hyperlink" Target="https://www.insee.fr/fr/statistiques/3713016" TargetMode="External"/><Relationship Id="rId11" Type="http://schemas.openxmlformats.org/officeDocument/2006/relationships/hyperlink" Target="https://www.lacimade.org/wp-content/uploads/2023/04/RA_CRA_2022_web.pdf" TargetMode="External"/><Relationship Id="rId5" Type="http://schemas.openxmlformats.org/officeDocument/2006/relationships/hyperlink" Target="https://www.insee.fr/fr/statistiques/3713016" TargetMode="External"/><Relationship Id="rId10" Type="http://schemas.openxmlformats.org/officeDocument/2006/relationships/hyperlink" Target="https://www.lacimade.org/wp-content/uploads/2023/04/RA_CRA_2022_web.pdf" TargetMode="External"/><Relationship Id="rId4" Type="http://schemas.openxmlformats.org/officeDocument/2006/relationships/hyperlink" Target="https://www.insee.fr/fr/statistiques/6531991" TargetMode="External"/><Relationship Id="rId9" Type="http://schemas.openxmlformats.org/officeDocument/2006/relationships/hyperlink" Target="https://lacimade.org/wp-content/uploads/2019/06/La_Cimade_Rapport_Retention_2018.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CE5BF-3EF9-49A9-AEE8-E8DE2C7C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8</Pages>
  <Words>4165</Words>
  <Characters>22910</Characters>
  <Application>Microsoft Office Word</Application>
  <DocSecurity>0</DocSecurity>
  <Lines>190</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Philemon Mallet</dc:creator>
  <cp:keywords/>
  <dc:description/>
  <cp:lastModifiedBy>Philemon Mallet</cp:lastModifiedBy>
  <cp:revision>38</cp:revision>
  <dcterms:created xsi:type="dcterms:W3CDTF">2023-11-28T11:44:00Z</dcterms:created>
  <dcterms:modified xsi:type="dcterms:W3CDTF">2024-01-19T14:35:00Z</dcterms:modified>
</cp:coreProperties>
</file>