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903" w:rsidRDefault="003E0903" w:rsidP="003E0903">
      <w:pPr>
        <w:ind w:left="1205" w:right="56"/>
        <w:jc w:val="both"/>
      </w:pPr>
      <w:r>
        <w:t xml:space="preserve">Chiara </w:t>
      </w:r>
      <w:proofErr w:type="spellStart"/>
      <w:r>
        <w:t>Palermo</w:t>
      </w:r>
      <w:proofErr w:type="spellEnd"/>
      <w:r>
        <w:t xml:space="preserve"> cours du 22 septembre / 29 septembre / 6 octobre </w:t>
      </w:r>
    </w:p>
    <w:p w:rsidR="003E0903" w:rsidRDefault="003E0903" w:rsidP="003E0903">
      <w:pPr>
        <w:ind w:left="1205" w:right="56"/>
        <w:jc w:val="both"/>
      </w:pPr>
    </w:p>
    <w:p w:rsidR="003E0903" w:rsidRPr="003F39D6" w:rsidRDefault="003E0903" w:rsidP="003E0903">
      <w:pPr>
        <w:ind w:left="1205" w:right="56"/>
        <w:jc w:val="both"/>
      </w:pPr>
      <w:r w:rsidRPr="003F39D6">
        <w:t>D</w:t>
      </w:r>
      <w:r w:rsidRPr="003F39D6">
        <w:rPr>
          <w:sz w:val="21"/>
          <w:szCs w:val="21"/>
        </w:rPr>
        <w:t xml:space="preserve">ESCRIPTIF </w:t>
      </w:r>
    </w:p>
    <w:p w:rsidR="003E0903" w:rsidRPr="00137E9A" w:rsidRDefault="003E0903" w:rsidP="003E0903">
      <w:pPr>
        <w:ind w:left="1205" w:right="56"/>
        <w:jc w:val="both"/>
        <w:rPr>
          <w:b/>
          <w:bCs/>
        </w:rPr>
      </w:pPr>
      <w:r>
        <w:rPr>
          <w:b/>
          <w:bCs/>
        </w:rPr>
        <w:t xml:space="preserve">Le </w:t>
      </w:r>
      <w:r w:rsidRPr="00137E9A">
        <w:rPr>
          <w:b/>
          <w:bCs/>
        </w:rPr>
        <w:t>corps vécu</w:t>
      </w:r>
      <w:r>
        <w:rPr>
          <w:b/>
          <w:bCs/>
        </w:rPr>
        <w:t>, les formes sensibles</w:t>
      </w:r>
      <w:r w:rsidRPr="00137E9A">
        <w:rPr>
          <w:b/>
          <w:bCs/>
        </w:rPr>
        <w:t xml:space="preserve"> : enjeux épistémologiques et politiques </w:t>
      </w:r>
    </w:p>
    <w:p w:rsidR="003E0903" w:rsidRDefault="003E0903" w:rsidP="003E0903">
      <w:pPr>
        <w:ind w:left="1205" w:right="56"/>
        <w:jc w:val="both"/>
      </w:pPr>
    </w:p>
    <w:p w:rsidR="003E0903" w:rsidRPr="00AD616E" w:rsidRDefault="003E0903" w:rsidP="003E0903">
      <w:pPr>
        <w:ind w:left="1205" w:right="56"/>
        <w:jc w:val="both"/>
        <w:rPr>
          <w:strike/>
        </w:rPr>
      </w:pPr>
      <w:r>
        <w:t xml:space="preserve">Un régime </w:t>
      </w:r>
      <w:proofErr w:type="spellStart"/>
      <w:r>
        <w:t>décolonial</w:t>
      </w:r>
      <w:proofErr w:type="spellEnd"/>
      <w:r>
        <w:t xml:space="preserve"> des arts désigne la manière d’identifier et de penser les arts pour les inscrire dans des représentations assujetties à des formes de domination. Il s’agit ici d’examiner, à l’instar de Jacques Rancière, comment les arts et leur mise en vision font de la politique, aujourd’hui, c’est-à-dire comment la politique esthétique travaille les modes postcoloniaux d’instauration du gout, dans les formes et les dispositifs actuels des arts, dans leur orientation interactive et relationnelle ou purement protestataire. Cette exigence désigne la rupture avec l’esthétique avant-gardiste et moderniste proposant l’autonomie de l’art ; elle appartient à une définition du sensible comme dimension du partage où le spectateur est sollicité comme acteur social. Suivant cette exigence, notre cours convoque </w:t>
      </w:r>
      <w:r w:rsidRPr="009A451A">
        <w:rPr>
          <w:i/>
          <w:iCs/>
          <w:color w:val="000000" w:themeColor="text1"/>
        </w:rPr>
        <w:t>une phénoménologie du corps vécu</w:t>
      </w:r>
      <w:r w:rsidRPr="009A451A">
        <w:rPr>
          <w:color w:val="000000" w:themeColor="text1"/>
        </w:rPr>
        <w:t xml:space="preserve"> </w:t>
      </w:r>
      <w:r w:rsidRPr="00BD3E3B">
        <w:t>afin de comprendre comment nos gestes et nos émotions acquièrent une dimension sociale et politique qui intègre de nouveaux moyens d’expression dans l’art contemporain et notamment dans les dispositifs d’exposition, tout en prolongeant l’énigme essentielle de la perception</w:t>
      </w:r>
      <w:r w:rsidRPr="006D3DF9">
        <w:t xml:space="preserve">. </w:t>
      </w:r>
      <w:r w:rsidRPr="007E7BD4">
        <w:t>À ce propos, nous</w:t>
      </w:r>
      <w:r>
        <w:t xml:space="preserve"> confrontons </w:t>
      </w:r>
      <w:r w:rsidRPr="00BD3E3B">
        <w:t>quelques thèmes de la théorie critique</w:t>
      </w:r>
      <w:r>
        <w:t xml:space="preserve"> et de la philosophie analytique</w:t>
      </w:r>
      <w:r w:rsidRPr="00BD3E3B">
        <w:t xml:space="preserve"> </w:t>
      </w:r>
      <w:r>
        <w:t xml:space="preserve">pour explorer la possibilité d’une approche esthétique </w:t>
      </w:r>
      <w:r w:rsidRPr="00BD3E3B">
        <w:t>phénoménolog</w:t>
      </w:r>
      <w:r>
        <w:t xml:space="preserve">ique capable de s’inscrire dans une perspective </w:t>
      </w:r>
      <w:proofErr w:type="spellStart"/>
      <w:r>
        <w:t>décoloniale</w:t>
      </w:r>
      <w:proofErr w:type="spellEnd"/>
      <w:r>
        <w:t xml:space="preserve"> et féministe. </w:t>
      </w:r>
    </w:p>
    <w:p w:rsidR="003E0903" w:rsidRPr="00BD3E3B" w:rsidRDefault="003E0903" w:rsidP="003E0903">
      <w:pPr>
        <w:ind w:left="1205" w:right="56"/>
        <w:jc w:val="both"/>
      </w:pPr>
      <w:r w:rsidRPr="00BD3E3B">
        <w:t>La référence au corps –</w:t>
      </w:r>
      <w:r>
        <w:t xml:space="preserve"> </w:t>
      </w:r>
      <w:r w:rsidRPr="00BD3E3B">
        <w:t xml:space="preserve">en tant que modèle, structure capable de représenter un monde – traverse </w:t>
      </w:r>
      <w:r>
        <w:t xml:space="preserve">souvent </w:t>
      </w:r>
      <w:r w:rsidRPr="00BD3E3B">
        <w:t>l</w:t>
      </w:r>
      <w:r>
        <w:t xml:space="preserve">’art contemporain qui, en interrogeant le corps, questionne nos espaces physiques, psychologiques, institutionnels. </w:t>
      </w:r>
      <w:r w:rsidRPr="00BD3E3B">
        <w:t xml:space="preserve">Nous proposons quelques cas d’étude dans ce domaine </w:t>
      </w:r>
      <w:r>
        <w:t>afin de</w:t>
      </w:r>
      <w:r w:rsidRPr="00BD3E3B">
        <w:t xml:space="preserve"> thématiser les enjeux épistémologiques et politiques de la corporéité dans la pratique artistique contemporaine et dans sa médiation.  </w:t>
      </w:r>
    </w:p>
    <w:p w:rsidR="003E0903" w:rsidRDefault="003E0903" w:rsidP="003E0903">
      <w:pPr>
        <w:ind w:left="1205" w:right="56"/>
        <w:jc w:val="both"/>
      </w:pPr>
    </w:p>
    <w:p w:rsidR="003E0903" w:rsidRDefault="003E0903" w:rsidP="003E0903">
      <w:pPr>
        <w:ind w:left="1205" w:right="56"/>
        <w:jc w:val="both"/>
      </w:pPr>
    </w:p>
    <w:p w:rsidR="003E0903" w:rsidRDefault="003E0903" w:rsidP="003E0903">
      <w:pPr>
        <w:ind w:left="1205" w:right="56"/>
        <w:jc w:val="both"/>
      </w:pPr>
    </w:p>
    <w:p w:rsidR="003E0903" w:rsidRDefault="003E0903" w:rsidP="003E0903">
      <w:pPr>
        <w:ind w:left="1205" w:right="56"/>
        <w:jc w:val="both"/>
      </w:pPr>
    </w:p>
    <w:p w:rsidR="003E0903" w:rsidRDefault="003E0903" w:rsidP="003E0903">
      <w:pPr>
        <w:ind w:left="1205" w:right="56"/>
        <w:jc w:val="both"/>
      </w:pPr>
    </w:p>
    <w:p w:rsidR="003E0903" w:rsidRDefault="003E0903" w:rsidP="003E0903">
      <w:pPr>
        <w:ind w:left="1205" w:right="56"/>
        <w:jc w:val="both"/>
        <w:rPr>
          <w:b/>
          <w:bCs/>
        </w:rPr>
      </w:pPr>
    </w:p>
    <w:p w:rsidR="003E0903" w:rsidRDefault="003E0903" w:rsidP="003E0903">
      <w:pPr>
        <w:ind w:left="1205" w:right="56"/>
        <w:jc w:val="both"/>
        <w:rPr>
          <w:b/>
          <w:bCs/>
        </w:rPr>
      </w:pPr>
    </w:p>
    <w:p w:rsidR="003E0903" w:rsidRDefault="003E0903" w:rsidP="003E0903">
      <w:pPr>
        <w:ind w:left="1205" w:right="56"/>
        <w:jc w:val="both"/>
        <w:rPr>
          <w:b/>
          <w:bCs/>
        </w:rPr>
      </w:pPr>
    </w:p>
    <w:p w:rsidR="003E0903" w:rsidRDefault="003E0903" w:rsidP="003E0903">
      <w:pPr>
        <w:ind w:left="1205" w:right="56"/>
        <w:jc w:val="both"/>
        <w:rPr>
          <w:b/>
          <w:bCs/>
        </w:rPr>
      </w:pPr>
    </w:p>
    <w:p w:rsidR="003E0903" w:rsidRDefault="003E0903" w:rsidP="003E0903">
      <w:pPr>
        <w:ind w:left="1205" w:right="56"/>
        <w:jc w:val="both"/>
        <w:rPr>
          <w:b/>
          <w:bCs/>
        </w:rPr>
      </w:pPr>
    </w:p>
    <w:p w:rsidR="003E0903" w:rsidRDefault="003E0903" w:rsidP="003E0903">
      <w:pPr>
        <w:ind w:left="1205" w:right="56"/>
        <w:jc w:val="both"/>
        <w:rPr>
          <w:b/>
          <w:bCs/>
        </w:rPr>
      </w:pPr>
    </w:p>
    <w:p w:rsidR="003E0903" w:rsidRPr="003F39D6" w:rsidRDefault="003E0903" w:rsidP="003E0903">
      <w:pPr>
        <w:ind w:left="1205" w:right="56"/>
        <w:jc w:val="both"/>
        <w:rPr>
          <w:b/>
          <w:bCs/>
        </w:rPr>
      </w:pPr>
      <w:r w:rsidRPr="003F39D6">
        <w:rPr>
          <w:b/>
          <w:bCs/>
        </w:rPr>
        <w:t>PLAN DU COURS</w:t>
      </w:r>
    </w:p>
    <w:p w:rsidR="003E0903" w:rsidRDefault="003E0903" w:rsidP="003E0903">
      <w:pPr>
        <w:ind w:left="1205" w:right="56"/>
        <w:jc w:val="both"/>
        <w:rPr>
          <w:b/>
          <w:bCs/>
        </w:rPr>
      </w:pPr>
    </w:p>
    <w:p w:rsidR="003E0903" w:rsidRDefault="003E0903" w:rsidP="003E0903">
      <w:pPr>
        <w:ind w:left="1205" w:right="56"/>
        <w:jc w:val="both"/>
      </w:pPr>
      <w:r w:rsidRPr="00137E9A">
        <w:rPr>
          <w:b/>
          <w:bCs/>
        </w:rPr>
        <w:t>1</w:t>
      </w:r>
      <w:r>
        <w:rPr>
          <w:b/>
          <w:bCs/>
        </w:rPr>
        <w:t>.</w:t>
      </w:r>
      <w:r w:rsidRPr="00137E9A">
        <w:rPr>
          <w:b/>
          <w:bCs/>
        </w:rPr>
        <w:t xml:space="preserve"> </w:t>
      </w:r>
      <w:r w:rsidRPr="006A317B">
        <w:rPr>
          <w:b/>
          <w:bCs/>
          <w:i/>
          <w:iCs/>
        </w:rPr>
        <w:t>Autour du monde l’art</w:t>
      </w:r>
      <w:r>
        <w:rPr>
          <w:b/>
          <w:bCs/>
          <w:i/>
          <w:iCs/>
        </w:rPr>
        <w:t xml:space="preserve"> - une introduction </w:t>
      </w:r>
    </w:p>
    <w:p w:rsidR="003E0903" w:rsidRDefault="003E0903" w:rsidP="003E0903">
      <w:pPr>
        <w:ind w:left="1205" w:right="56"/>
        <w:jc w:val="both"/>
      </w:pPr>
      <w:r>
        <w:t>L’un des enjeux majeurs d’une théorie institutionnelle de l’art et d’une philosophie analytique de l’art est celui de penser l’œuvre dans son contexte théorique, social, économique. À ce propos, nous étudions en particulier la pensée de A. C. Danto pour introduire aux exigences théoriques qui désignent comme nécessaire la rupture avec une esthétique avant-gardiste et moderniste proposant l’autonomie de l’art.</w:t>
      </w:r>
    </w:p>
    <w:p w:rsidR="003E0903" w:rsidRDefault="003E0903" w:rsidP="003E0903">
      <w:pPr>
        <w:ind w:left="1205" w:right="56"/>
        <w:jc w:val="both"/>
      </w:pPr>
    </w:p>
    <w:p w:rsidR="003E0903" w:rsidRDefault="003E0903" w:rsidP="003E0903">
      <w:pPr>
        <w:ind w:left="1205" w:right="56"/>
        <w:jc w:val="both"/>
      </w:pPr>
      <w:r w:rsidRPr="00BC75A2">
        <w:lastRenderedPageBreak/>
        <w:t xml:space="preserve">Bibliographie </w:t>
      </w:r>
    </w:p>
    <w:p w:rsidR="003E0903" w:rsidRDefault="003E0903" w:rsidP="003E0903">
      <w:pPr>
        <w:ind w:left="1205" w:right="56"/>
        <w:jc w:val="both"/>
      </w:pPr>
      <w:r w:rsidRPr="00FE22C6">
        <w:t>Danto, Arthur Coleman</w:t>
      </w:r>
      <w:r>
        <w:t>,</w:t>
      </w:r>
      <w:r w:rsidRPr="00137E9A">
        <w:t xml:space="preserve"> « Le monde de l’art », in Trad. Danielle </w:t>
      </w:r>
      <w:proofErr w:type="spellStart"/>
      <w:r w:rsidRPr="00137E9A">
        <w:t>Lories</w:t>
      </w:r>
      <w:proofErr w:type="spellEnd"/>
      <w:r>
        <w:t xml:space="preserve"> (</w:t>
      </w:r>
      <w:proofErr w:type="spellStart"/>
      <w:r>
        <w:t>dir</w:t>
      </w:r>
      <w:proofErr w:type="spellEnd"/>
      <w:r>
        <w:t xml:space="preserve">), </w:t>
      </w:r>
      <w:r w:rsidRPr="007E7BD4">
        <w:rPr>
          <w:i/>
          <w:iCs/>
        </w:rPr>
        <w:t>Philosophie analytique et esthétique</w:t>
      </w:r>
      <w:r w:rsidRPr="00137E9A">
        <w:t xml:space="preserve">, Danielle </w:t>
      </w:r>
      <w:proofErr w:type="spellStart"/>
      <w:r w:rsidRPr="00137E9A">
        <w:t>Lories</w:t>
      </w:r>
      <w:proofErr w:type="spellEnd"/>
      <w:r w:rsidRPr="00137E9A">
        <w:t>,</w:t>
      </w:r>
      <w:r>
        <w:t xml:space="preserve"> Paris, </w:t>
      </w:r>
      <w:proofErr w:type="spellStart"/>
      <w:r w:rsidRPr="00137E9A">
        <w:t>Klincksieck</w:t>
      </w:r>
      <w:proofErr w:type="spellEnd"/>
      <w:r w:rsidRPr="00137E9A">
        <w:t xml:space="preserve">, </w:t>
      </w:r>
      <w:r>
        <w:t>p</w:t>
      </w:r>
      <w:r w:rsidRPr="00137E9A">
        <w:t>p. 193-195.</w:t>
      </w:r>
    </w:p>
    <w:p w:rsidR="003E0903" w:rsidRPr="00FE22C6" w:rsidRDefault="003E0903" w:rsidP="003E0903">
      <w:pPr>
        <w:ind w:left="1205" w:right="56"/>
        <w:jc w:val="both"/>
      </w:pPr>
      <w:r w:rsidRPr="00FE22C6">
        <w:t xml:space="preserve">Danto, Arthur Coleman, </w:t>
      </w:r>
      <w:r w:rsidRPr="00FE22C6">
        <w:rPr>
          <w:i/>
          <w:iCs/>
        </w:rPr>
        <w:t>La transfiguration</w:t>
      </w:r>
      <w:r w:rsidRPr="00FE22C6">
        <w:t xml:space="preserve"> du </w:t>
      </w:r>
      <w:r w:rsidRPr="00FE22C6">
        <w:rPr>
          <w:i/>
          <w:iCs/>
        </w:rPr>
        <w:t>banal</w:t>
      </w:r>
      <w:r w:rsidRPr="00FE22C6">
        <w:t>. Une philosophie de l'art, préface de Jean-Marie Schaeffer, Paris, Seuil, 1989</w:t>
      </w:r>
      <w:r>
        <w:t>.</w:t>
      </w:r>
    </w:p>
    <w:p w:rsidR="003E0903" w:rsidRDefault="003E0903" w:rsidP="003E0903">
      <w:r>
        <w:t xml:space="preserve">    </w:t>
      </w:r>
    </w:p>
    <w:p w:rsidR="003E0903" w:rsidRDefault="003E0903" w:rsidP="003E0903">
      <w:r>
        <w:t xml:space="preserve">Introduction à l’esthétique comme discipline E. </w:t>
      </w:r>
      <w:proofErr w:type="spellStart"/>
      <w:r>
        <w:t>Escoubas</w:t>
      </w:r>
      <w:proofErr w:type="spellEnd"/>
      <w:r>
        <w:t>, Esthétique, Ellipse, 2004.</w:t>
      </w:r>
    </w:p>
    <w:p w:rsidR="003E0903" w:rsidRDefault="003E0903" w:rsidP="003E0903">
      <w:r>
        <w:t xml:space="preserve">Introduction à la philosophie analytique de l’art, </w:t>
      </w:r>
      <w:proofErr w:type="spellStart"/>
      <w:r>
        <w:t>Lories</w:t>
      </w:r>
      <w:proofErr w:type="spellEnd"/>
      <w:r>
        <w:t xml:space="preserve">, Danielle, </w:t>
      </w:r>
      <w:r>
        <w:rPr>
          <w:rStyle w:val="Accentuation"/>
        </w:rPr>
        <w:t>Esthétique et philosophie de l'art,</w:t>
      </w:r>
      <w:r>
        <w:t xml:space="preserve"> </w:t>
      </w:r>
      <w:r w:rsidRPr="007E7BD4">
        <w:rPr>
          <w:i/>
          <w:iCs/>
        </w:rPr>
        <w:t>Repères historiques et thématique</w:t>
      </w:r>
      <w:r>
        <w:t>, L'Atelier d'</w:t>
      </w:r>
      <w:r>
        <w:rPr>
          <w:rStyle w:val="Accentuation"/>
        </w:rPr>
        <w:t>esthétique</w:t>
      </w:r>
      <w:r>
        <w:t xml:space="preserve">, Bruxelles, De </w:t>
      </w:r>
      <w:proofErr w:type="spellStart"/>
      <w:r>
        <w:t>Boek</w:t>
      </w:r>
      <w:proofErr w:type="spellEnd"/>
      <w:r>
        <w:t>, 2002,</w:t>
      </w:r>
      <w:r w:rsidRPr="007E7BD4">
        <w:t xml:space="preserve"> </w:t>
      </w:r>
      <w:r>
        <w:t xml:space="preserve">pp. ch.3. 179-184. (Weitz, </w:t>
      </w:r>
      <w:proofErr w:type="spellStart"/>
      <w:r>
        <w:t>Dickie</w:t>
      </w:r>
      <w:proofErr w:type="spellEnd"/>
      <w:r>
        <w:t>, Danto).</w:t>
      </w:r>
    </w:p>
    <w:p w:rsidR="003E0903" w:rsidRDefault="003E0903" w:rsidP="003E0903">
      <w:pPr>
        <w:ind w:left="1205" w:right="56"/>
        <w:jc w:val="both"/>
      </w:pPr>
    </w:p>
    <w:p w:rsidR="003E0903" w:rsidRPr="00137E9A" w:rsidRDefault="003E0903" w:rsidP="003E0903"/>
    <w:p w:rsidR="003E0903" w:rsidRDefault="003E0903" w:rsidP="003E0903">
      <w:pPr>
        <w:ind w:right="56"/>
        <w:jc w:val="both"/>
      </w:pPr>
    </w:p>
    <w:p w:rsidR="003E0903" w:rsidRPr="00F74066" w:rsidRDefault="003E0903" w:rsidP="003E0903">
      <w:pPr>
        <w:ind w:left="1205" w:right="56"/>
        <w:jc w:val="both"/>
        <w:rPr>
          <w:b/>
          <w:bCs/>
        </w:rPr>
      </w:pPr>
      <w:r w:rsidRPr="00F74066">
        <w:rPr>
          <w:b/>
          <w:bCs/>
        </w:rPr>
        <w:t>2</w:t>
      </w:r>
      <w:r>
        <w:rPr>
          <w:b/>
          <w:bCs/>
        </w:rPr>
        <w:t>.</w:t>
      </w:r>
      <w:r w:rsidRPr="00F74066">
        <w:rPr>
          <w:b/>
          <w:bCs/>
        </w:rPr>
        <w:t xml:space="preserve"> </w:t>
      </w:r>
      <w:r w:rsidRPr="00F74066">
        <w:rPr>
          <w:b/>
          <w:bCs/>
          <w:i/>
          <w:iCs/>
        </w:rPr>
        <w:t>La corporéité et l’esthétique phénoménologique</w:t>
      </w:r>
    </w:p>
    <w:p w:rsidR="003E0903" w:rsidRDefault="003E0903" w:rsidP="003E0903">
      <w:pPr>
        <w:ind w:left="1205" w:right="56"/>
        <w:jc w:val="both"/>
      </w:pPr>
      <w:r w:rsidRPr="009A451A">
        <w:t xml:space="preserve"> </w:t>
      </w:r>
      <w:r>
        <w:t xml:space="preserve">Nous présentons quelques auteurs du courant phénoménologique pour </w:t>
      </w:r>
      <w:r w:rsidRPr="009A451A">
        <w:t>thématiser l’ambiguïté de l'objet esthétique d</w:t>
      </w:r>
      <w:r>
        <w:t>’une</w:t>
      </w:r>
      <w:r w:rsidRPr="009A451A">
        <w:t xml:space="preserve"> analyse qui tente de </w:t>
      </w:r>
      <w:r w:rsidRPr="009A451A">
        <w:rPr>
          <w:i/>
          <w:iCs/>
        </w:rPr>
        <w:t>prendre en compte un moment intemporel et un moment temporel de l’œuvre d’art</w:t>
      </w:r>
      <w:r w:rsidRPr="009A451A">
        <w:t xml:space="preserve">. Il s’agit de penser le risque de l’esthétique phénoménologique de devenir abstraite si elle </w:t>
      </w:r>
      <w:r>
        <w:t xml:space="preserve">tente </w:t>
      </w:r>
      <w:r w:rsidRPr="009A451A">
        <w:t xml:space="preserve">d'ignorer que l'expression esthétique a une genèse, qui est le fruit d'un existant temporel vivant dans un monde historique. </w:t>
      </w:r>
      <w:r w:rsidRPr="00E65E3B">
        <w:t>À ce propos,</w:t>
      </w:r>
      <w:r w:rsidRPr="00BD3E3B">
        <w:t xml:space="preserve"> nous aborderons</w:t>
      </w:r>
      <w:r>
        <w:t xml:space="preserve"> la notion </w:t>
      </w:r>
      <w:r w:rsidRPr="00232551">
        <w:t>d’</w:t>
      </w:r>
      <w:r w:rsidRPr="00232551">
        <w:rPr>
          <w:i/>
          <w:iCs/>
        </w:rPr>
        <w:t xml:space="preserve">apriori historique </w:t>
      </w:r>
      <w:r>
        <w:t>développée par Merleau-Ponty afin de définir les enjeux épistémologiques et politiques de la perception.</w:t>
      </w:r>
    </w:p>
    <w:p w:rsidR="003E0903" w:rsidRDefault="003E0903" w:rsidP="003E0903">
      <w:pPr>
        <w:ind w:left="1205" w:right="56"/>
        <w:jc w:val="both"/>
      </w:pPr>
    </w:p>
    <w:p w:rsidR="003E0903" w:rsidRDefault="003E0903" w:rsidP="003E0903">
      <w:pPr>
        <w:ind w:left="1205" w:right="56"/>
        <w:jc w:val="both"/>
      </w:pPr>
      <w:r w:rsidRPr="00BC75A2">
        <w:t xml:space="preserve">Bibliographie </w:t>
      </w:r>
    </w:p>
    <w:p w:rsidR="003E0903" w:rsidRDefault="003E0903" w:rsidP="003E0903">
      <w:pPr>
        <w:ind w:left="1205" w:right="56"/>
        <w:jc w:val="both"/>
      </w:pPr>
      <w:r>
        <w:t>Merleau-Ponty,</w:t>
      </w:r>
      <w:r w:rsidRPr="00F74066">
        <w:t xml:space="preserve"> </w:t>
      </w:r>
      <w:r>
        <w:t>Maurice, « </w:t>
      </w:r>
      <w:r w:rsidRPr="006D66D5">
        <w:t>Le doute de Cézanne</w:t>
      </w:r>
      <w:r>
        <w:t> »</w:t>
      </w:r>
      <w:r w:rsidRPr="00497025">
        <w:t xml:space="preserve"> </w:t>
      </w:r>
      <w:r>
        <w:t>[1945]., i</w:t>
      </w:r>
      <w:r w:rsidRPr="00A50EAC">
        <w:t xml:space="preserve">n Id., </w:t>
      </w:r>
      <w:r w:rsidRPr="006D66D5">
        <w:rPr>
          <w:i/>
          <w:iCs/>
        </w:rPr>
        <w:t>Sens et Non-sens</w:t>
      </w:r>
      <w:r w:rsidRPr="00A50EAC">
        <w:t>, Paris, Nagel, 1948, maintenant Paris, Gallimard,</w:t>
      </w:r>
      <w:r>
        <w:t xml:space="preserve"> </w:t>
      </w:r>
      <w:r w:rsidRPr="00A50EAC">
        <w:t>1996, p. 61-75</w:t>
      </w:r>
      <w:r>
        <w:t>.</w:t>
      </w:r>
    </w:p>
    <w:p w:rsidR="003E0903" w:rsidRDefault="003E0903" w:rsidP="003E0903">
      <w:pPr>
        <w:ind w:left="1205" w:right="56"/>
        <w:jc w:val="both"/>
      </w:pPr>
      <w:r>
        <w:t>Merleau-Ponty,</w:t>
      </w:r>
      <w:r w:rsidRPr="00F74066">
        <w:t xml:space="preserve"> </w:t>
      </w:r>
      <w:r>
        <w:t xml:space="preserve">Maurice, </w:t>
      </w:r>
      <w:r w:rsidRPr="006E3DAF">
        <w:rPr>
          <w:i/>
          <w:iCs/>
        </w:rPr>
        <w:t>Phénoménologie de la perception</w:t>
      </w:r>
      <w:r>
        <w:t>, Gallimard, 1945.</w:t>
      </w:r>
    </w:p>
    <w:p w:rsidR="003E0903" w:rsidRDefault="003E0903" w:rsidP="003E0903">
      <w:pPr>
        <w:ind w:left="1205" w:right="56"/>
        <w:jc w:val="both"/>
      </w:pPr>
      <w:r>
        <w:t>Carbone,</w:t>
      </w:r>
      <w:r w:rsidRPr="00F74066">
        <w:t xml:space="preserve"> </w:t>
      </w:r>
      <w:r>
        <w:t xml:space="preserve">Mauro, </w:t>
      </w:r>
      <w:r>
        <w:rPr>
          <w:rStyle w:val="Accentuation"/>
        </w:rPr>
        <w:t>La Chair des images</w:t>
      </w:r>
      <w:r>
        <w:t xml:space="preserve"> </w:t>
      </w:r>
      <w:r w:rsidRPr="00154122">
        <w:rPr>
          <w:i/>
          <w:iCs/>
        </w:rPr>
        <w:t>: Merleau-Ponty entre peinture et cinéma</w:t>
      </w:r>
      <w:r>
        <w:t>. Paris, Vrin, « Matière étrangère », 2011.</w:t>
      </w:r>
    </w:p>
    <w:p w:rsidR="003E0903" w:rsidRDefault="003E0903" w:rsidP="003E0903">
      <w:pPr>
        <w:ind w:left="1205" w:right="56"/>
        <w:jc w:val="both"/>
      </w:pPr>
      <w:r>
        <w:t>Carbone,</w:t>
      </w:r>
      <w:r w:rsidRPr="00F74066">
        <w:t xml:space="preserve"> </w:t>
      </w:r>
      <w:r>
        <w:t xml:space="preserve">Mauro, </w:t>
      </w:r>
      <w:r>
        <w:rPr>
          <w:rStyle w:val="Accentuation"/>
        </w:rPr>
        <w:t>Être morts ensemble</w:t>
      </w:r>
      <w:r>
        <w:t xml:space="preserve">. </w:t>
      </w:r>
      <w:r w:rsidRPr="00497025">
        <w:rPr>
          <w:i/>
          <w:iCs/>
        </w:rPr>
        <w:t>L'événement du 11 septembre 2001</w:t>
      </w:r>
      <w:r>
        <w:t xml:space="preserve"> </w:t>
      </w:r>
      <w:proofErr w:type="spellStart"/>
      <w:r>
        <w:t>MetisPresses</w:t>
      </w:r>
      <w:proofErr w:type="spellEnd"/>
      <w:r>
        <w:t>, Collection « </w:t>
      </w:r>
      <w:proofErr w:type="spellStart"/>
      <w:r>
        <w:t>Champcontrechamp</w:t>
      </w:r>
      <w:proofErr w:type="spellEnd"/>
      <w:r>
        <w:t> », 2013.</w:t>
      </w:r>
    </w:p>
    <w:p w:rsidR="003E0903" w:rsidRDefault="003E0903" w:rsidP="003E0903">
      <w:pPr>
        <w:ind w:left="1205" w:right="56"/>
        <w:jc w:val="both"/>
      </w:pPr>
      <w:r>
        <w:t xml:space="preserve">Rancière, Jacques, </w:t>
      </w:r>
      <w:r w:rsidRPr="0064113A">
        <w:rPr>
          <w:i/>
          <w:iCs/>
        </w:rPr>
        <w:t>Le Partage du sensible</w:t>
      </w:r>
      <w:r>
        <w:t xml:space="preserve">, La fabrique, Paris, 2000 </w:t>
      </w:r>
    </w:p>
    <w:p w:rsidR="003E0903" w:rsidRDefault="003E0903" w:rsidP="003E0903">
      <w:pPr>
        <w:ind w:left="1205" w:right="56"/>
        <w:jc w:val="both"/>
      </w:pPr>
      <w:proofErr w:type="spellStart"/>
      <w:r>
        <w:t>Palermo</w:t>
      </w:r>
      <w:proofErr w:type="spellEnd"/>
      <w:r>
        <w:t xml:space="preserve"> C.  « Le corps comme paradigme », in </w:t>
      </w:r>
      <w:r w:rsidRPr="005A1830">
        <w:rPr>
          <w:i/>
          <w:iCs/>
        </w:rPr>
        <w:t>Les racines poussent aussi dans le béton</w:t>
      </w:r>
      <w:r>
        <w:t>, Mac Val, 2019.</w:t>
      </w:r>
    </w:p>
    <w:p w:rsidR="003E0903" w:rsidRDefault="003E0903" w:rsidP="003E0903">
      <w:pPr>
        <w:ind w:left="1205" w:right="56"/>
        <w:jc w:val="both"/>
      </w:pPr>
    </w:p>
    <w:p w:rsidR="003E0903" w:rsidRDefault="003E0903" w:rsidP="003E0903">
      <w:pPr>
        <w:ind w:left="1205" w:right="56"/>
        <w:jc w:val="both"/>
        <w:rPr>
          <w:b/>
          <w:bCs/>
        </w:rPr>
      </w:pPr>
    </w:p>
    <w:p w:rsidR="003E0903" w:rsidRPr="002F5592" w:rsidRDefault="003E0903" w:rsidP="003E0903">
      <w:pPr>
        <w:ind w:left="1205" w:right="56"/>
        <w:jc w:val="both"/>
        <w:rPr>
          <w:b/>
          <w:bCs/>
          <w:i/>
          <w:iCs/>
        </w:rPr>
      </w:pPr>
      <w:r w:rsidRPr="00F74066">
        <w:rPr>
          <w:b/>
          <w:bCs/>
        </w:rPr>
        <w:t xml:space="preserve">3. </w:t>
      </w:r>
      <w:r w:rsidRPr="00F74066">
        <w:rPr>
          <w:b/>
          <w:bCs/>
          <w:i/>
          <w:iCs/>
        </w:rPr>
        <w:t>Phénoménologie du corps vécu en tant que corps racisé</w:t>
      </w:r>
    </w:p>
    <w:p w:rsidR="003E0903" w:rsidRDefault="003E0903" w:rsidP="003E0903">
      <w:pPr>
        <w:ind w:left="1205" w:right="56"/>
        <w:jc w:val="both"/>
      </w:pPr>
      <w:r w:rsidRPr="00154122">
        <w:t xml:space="preserve">Frantz Fanon, philosophe et médecin précurseur de l’ethnopsychiatrie, peut nous fournir des outils théoriques pour penser dans ce contexte un imaginaire </w:t>
      </w:r>
      <w:proofErr w:type="spellStart"/>
      <w:r w:rsidRPr="00154122">
        <w:t>décolonial</w:t>
      </w:r>
      <w:proofErr w:type="spellEnd"/>
      <w:r w:rsidRPr="00154122">
        <w:t xml:space="preserve"> et de nouvelles formes d’émancipation à partir de sa phénoménologie du corps vécu en tant que corps racisé.</w:t>
      </w:r>
      <w:r>
        <w:t xml:space="preserve"> Nous présentons les enjeux épistémologique et politique de son travail sur la perception en relation avec son héritage dans la création contemporaine.</w:t>
      </w:r>
    </w:p>
    <w:p w:rsidR="003E0903" w:rsidRDefault="003E0903" w:rsidP="003E0903">
      <w:pPr>
        <w:ind w:left="1205" w:right="56"/>
        <w:jc w:val="both"/>
      </w:pPr>
    </w:p>
    <w:p w:rsidR="003E0903" w:rsidRDefault="003E0903" w:rsidP="003E0903">
      <w:pPr>
        <w:ind w:left="1205" w:right="56"/>
        <w:jc w:val="both"/>
      </w:pPr>
      <w:r w:rsidRPr="00BC75A2">
        <w:t xml:space="preserve">Bibliographie </w:t>
      </w:r>
    </w:p>
    <w:p w:rsidR="003E0903" w:rsidRDefault="003E0903" w:rsidP="003E0903">
      <w:pPr>
        <w:ind w:left="1205" w:right="56"/>
        <w:jc w:val="both"/>
      </w:pPr>
      <w:r>
        <w:t xml:space="preserve">Fanon, Frantz, </w:t>
      </w:r>
      <w:r w:rsidRPr="00497025">
        <w:rPr>
          <w:i/>
          <w:iCs/>
        </w:rPr>
        <w:t>Peau noire, masques blancs</w:t>
      </w:r>
      <w:r>
        <w:t>, Paris : Seuil, 1975 [1952].</w:t>
      </w:r>
    </w:p>
    <w:p w:rsidR="003E0903" w:rsidRDefault="003E0903" w:rsidP="003E0903">
      <w:pPr>
        <w:ind w:left="1205" w:right="56"/>
        <w:jc w:val="both"/>
      </w:pPr>
      <w:r>
        <w:t xml:space="preserve">Fanon, Frantz, </w:t>
      </w:r>
      <w:r w:rsidRPr="00497025">
        <w:rPr>
          <w:i/>
          <w:iCs/>
        </w:rPr>
        <w:t>Les damnés de la terre</w:t>
      </w:r>
      <w:r>
        <w:t>, Paris : La Découverte, 2002 [1961].</w:t>
      </w:r>
    </w:p>
    <w:p w:rsidR="003E0903" w:rsidRDefault="003E0903" w:rsidP="003E0903">
      <w:pPr>
        <w:ind w:left="1205" w:right="56"/>
        <w:jc w:val="both"/>
      </w:pPr>
      <w:r>
        <w:t xml:space="preserve">Fanon, Franz, </w:t>
      </w:r>
      <w:proofErr w:type="spellStart"/>
      <w:r>
        <w:t>Khalfa</w:t>
      </w:r>
      <w:proofErr w:type="spellEnd"/>
      <w:r>
        <w:t xml:space="preserve">, Jean et Young, Robert, (éd.) </w:t>
      </w:r>
      <w:r w:rsidRPr="007E7BD4">
        <w:rPr>
          <w:i/>
          <w:iCs/>
        </w:rPr>
        <w:t>Écrits sur l’aliénation et la liberté</w:t>
      </w:r>
      <w:r>
        <w:t>, Paris, La Découverte, 2015.</w:t>
      </w:r>
    </w:p>
    <w:p w:rsidR="003E0903" w:rsidRDefault="003E0903" w:rsidP="003E0903">
      <w:pPr>
        <w:ind w:left="1205" w:right="56"/>
        <w:jc w:val="both"/>
      </w:pPr>
      <w:proofErr w:type="spellStart"/>
      <w:r>
        <w:lastRenderedPageBreak/>
        <w:t>Triki</w:t>
      </w:r>
      <w:proofErr w:type="spellEnd"/>
      <w:r>
        <w:t>,</w:t>
      </w:r>
      <w:r w:rsidRPr="00DB019B">
        <w:t xml:space="preserve"> </w:t>
      </w:r>
      <w:r>
        <w:t xml:space="preserve">Rachida, « L’image politique du corps : une stratégie de l’intime » in </w:t>
      </w:r>
      <w:r w:rsidRPr="007E7BD4">
        <w:rPr>
          <w:i/>
          <w:iCs/>
        </w:rPr>
        <w:t>Politiques de la photographie du corps</w:t>
      </w:r>
      <w:r>
        <w:t xml:space="preserve">, Paris, </w:t>
      </w:r>
      <w:proofErr w:type="spellStart"/>
      <w:r>
        <w:t>Klincksieck</w:t>
      </w:r>
      <w:proofErr w:type="spellEnd"/>
      <w:r>
        <w:t>, 2007.</w:t>
      </w:r>
    </w:p>
    <w:p w:rsidR="003E0903" w:rsidRDefault="003E0903" w:rsidP="003E0903">
      <w:pPr>
        <w:ind w:left="1205" w:right="56"/>
        <w:jc w:val="both"/>
      </w:pPr>
      <w:proofErr w:type="spellStart"/>
      <w:r>
        <w:t>Bentouhami-Molino</w:t>
      </w:r>
      <w:proofErr w:type="spellEnd"/>
      <w:r>
        <w:t xml:space="preserve">, </w:t>
      </w:r>
      <w:proofErr w:type="spellStart"/>
      <w:r>
        <w:t>Hourya</w:t>
      </w:r>
      <w:proofErr w:type="spellEnd"/>
      <w:r>
        <w:t xml:space="preserve">, « L'emprise du corps. Fanon à l'aune de la phénoménologie de Merleau-Ponty », </w:t>
      </w:r>
      <w:r>
        <w:rPr>
          <w:i/>
          <w:iCs/>
        </w:rPr>
        <w:t>Cahiers philosophiques</w:t>
      </w:r>
      <w:r>
        <w:t xml:space="preserve">, 2014/3, n° 138, p. 34-46. DOI : 10.3917/caph.138.0034. URL : https://www.cairn.info/revue-cahiers-philosophiques1-2014-3-page-34.htm </w:t>
      </w:r>
    </w:p>
    <w:p w:rsidR="003E0903" w:rsidRDefault="003E0903" w:rsidP="003E0903">
      <w:pPr>
        <w:ind w:left="1205" w:right="56"/>
        <w:jc w:val="both"/>
      </w:pPr>
    </w:p>
    <w:p w:rsidR="00E266FD" w:rsidRPr="00210CF5" w:rsidRDefault="00E266FD" w:rsidP="00E266FD">
      <w:pPr>
        <w:pStyle w:val="Paragraphedeliste"/>
        <w:numPr>
          <w:ilvl w:val="0"/>
          <w:numId w:val="1"/>
        </w:numPr>
        <w:ind w:right="56"/>
        <w:jc w:val="both"/>
        <w:rPr>
          <w:b/>
          <w:bCs/>
          <w:i/>
          <w:iCs/>
        </w:rPr>
      </w:pPr>
      <w:r w:rsidRPr="00210CF5">
        <w:rPr>
          <w:b/>
          <w:bCs/>
          <w:i/>
          <w:iCs/>
        </w:rPr>
        <w:t xml:space="preserve">Théorie de l’institution de l’art à partir du corps vécu et au-delà du corps propre  </w:t>
      </w:r>
    </w:p>
    <w:p w:rsidR="00E266FD" w:rsidRDefault="00E266FD" w:rsidP="00E266FD">
      <w:pPr>
        <w:ind w:left="1205" w:right="56"/>
        <w:jc w:val="both"/>
      </w:pPr>
      <w:r>
        <w:t xml:space="preserve">Notre </w:t>
      </w:r>
      <w:proofErr w:type="spellStart"/>
      <w:r>
        <w:t>co</w:t>
      </w:r>
      <w:proofErr w:type="spellEnd"/>
      <w:r>
        <w:t>÷µ</w:t>
      </w:r>
      <w:proofErr w:type="spellStart"/>
      <w:r>
        <w:t>urs</w:t>
      </w:r>
      <w:proofErr w:type="spellEnd"/>
      <w:r>
        <w:t xml:space="preserve"> souhaite développer les enjeux théoriques et artistiques du féminisme</w:t>
      </w:r>
    </w:p>
    <w:p w:rsidR="00E266FD" w:rsidRDefault="00E266FD" w:rsidP="00E266FD">
      <w:pPr>
        <w:ind w:left="1205" w:right="56"/>
        <w:jc w:val="both"/>
      </w:pPr>
      <w:r w:rsidRPr="00613316">
        <w:rPr>
          <w:lang w:val="en-US"/>
        </w:rPr>
        <w:t xml:space="preserve">(Griselda Pollock, Laura Mulvey, Lucy R. Lippard). </w:t>
      </w:r>
      <w:r>
        <w:t xml:space="preserve">Cette réflexion - en partant d’une étude sur les processus d’institutionnalisation de l’art- permettra d’observer la place croissante des sciences humaines et sociales au sein de la théorie de l’art pour la confronter aux actuelles théories de l’art et de son implication politique </w:t>
      </w:r>
    </w:p>
    <w:p w:rsidR="00E266FD" w:rsidRDefault="00E266FD" w:rsidP="00E266FD">
      <w:pPr>
        <w:ind w:left="1205" w:right="56"/>
        <w:jc w:val="both"/>
      </w:pPr>
    </w:p>
    <w:p w:rsidR="00E266FD" w:rsidRPr="00BC75A2" w:rsidRDefault="00E266FD" w:rsidP="00E266FD">
      <w:pPr>
        <w:ind w:left="1205" w:right="56"/>
        <w:jc w:val="both"/>
      </w:pPr>
      <w:r w:rsidRPr="00BC75A2">
        <w:t xml:space="preserve">Bibliographie </w:t>
      </w:r>
    </w:p>
    <w:p w:rsidR="00E266FD" w:rsidRPr="00C422A4" w:rsidRDefault="00E266FD" w:rsidP="00E266FD">
      <w:pPr>
        <w:ind w:left="1205" w:right="56"/>
        <w:jc w:val="both"/>
      </w:pPr>
      <w:r w:rsidRPr="00C422A4">
        <w:t xml:space="preserve">Creissels Anne et Giovanna </w:t>
      </w:r>
      <w:proofErr w:type="spellStart"/>
      <w:r w:rsidRPr="00C422A4">
        <w:t>Zapperi</w:t>
      </w:r>
      <w:proofErr w:type="spellEnd"/>
      <w:r w:rsidRPr="00C422A4">
        <w:t xml:space="preserve"> (</w:t>
      </w:r>
      <w:proofErr w:type="spellStart"/>
      <w:r w:rsidRPr="00C422A4">
        <w:t>dir</w:t>
      </w:r>
      <w:proofErr w:type="spellEnd"/>
      <w:r w:rsidRPr="00C422A4">
        <w:t xml:space="preserve">.), </w:t>
      </w:r>
      <w:r w:rsidRPr="00C422A4">
        <w:rPr>
          <w:i/>
          <w:iCs/>
        </w:rPr>
        <w:t xml:space="preserve">Subjectivités, pouvoir, image. L’histoire de l’art travaillée par les rapports coloniaux et les différences sexuelles, </w:t>
      </w:r>
      <w:hyperlink r:id="rId5" w:history="1">
        <w:proofErr w:type="spellStart"/>
        <w:r w:rsidRPr="00C422A4">
          <w:rPr>
            <w:color w:val="000000" w:themeColor="text1"/>
          </w:rPr>
          <w:t>EuroPhilosophie</w:t>
        </w:r>
        <w:proofErr w:type="spellEnd"/>
        <w:r w:rsidRPr="00C422A4">
          <w:rPr>
            <w:color w:val="000000" w:themeColor="text1"/>
          </w:rPr>
          <w:t xml:space="preserve"> Éditions</w:t>
        </w:r>
      </w:hyperlink>
      <w:r w:rsidRPr="00C422A4">
        <w:rPr>
          <w:color w:val="000000" w:themeColor="text1"/>
        </w:rPr>
        <w:t>,</w:t>
      </w:r>
      <w:r w:rsidRPr="00C422A4">
        <w:t xml:space="preserve"> </w:t>
      </w:r>
      <w:r>
        <w:rPr>
          <w:color w:val="000000" w:themeColor="text1"/>
        </w:rPr>
        <w:t>[en ligne],</w:t>
      </w:r>
      <w:r>
        <w:t xml:space="preserve"> </w:t>
      </w:r>
      <w:r w:rsidRPr="00C422A4">
        <w:t>2012, 102 p</w:t>
      </w:r>
      <w:r>
        <w:t>p</w:t>
      </w:r>
      <w:r w:rsidRPr="00C422A4">
        <w:t>.</w:t>
      </w:r>
    </w:p>
    <w:p w:rsidR="00E266FD" w:rsidRPr="00BC75A2" w:rsidRDefault="00E266FD" w:rsidP="00E266FD">
      <w:pPr>
        <w:ind w:left="1205" w:right="56"/>
        <w:jc w:val="both"/>
      </w:pPr>
      <w:r w:rsidRPr="00C422A4">
        <w:t>Creissels</w:t>
      </w:r>
      <w:r w:rsidRPr="00BC75A2">
        <w:t xml:space="preserve"> </w:t>
      </w:r>
      <w:r w:rsidRPr="00C422A4">
        <w:t>Anne</w:t>
      </w:r>
      <w:r w:rsidRPr="00BC75A2">
        <w:t xml:space="preserve">, </w:t>
      </w:r>
      <w:r w:rsidRPr="00C422A4">
        <w:rPr>
          <w:i/>
          <w:iCs/>
          <w:color w:val="000000" w:themeColor="text1"/>
        </w:rPr>
        <w:t>Prêter son corps au mythe. Le féminin et l’art contemporain</w:t>
      </w:r>
      <w:r w:rsidRPr="00C422A4">
        <w:t>, Paris, Le Félin, 2009</w:t>
      </w:r>
    </w:p>
    <w:p w:rsidR="00E266FD" w:rsidRPr="00BC75A2" w:rsidRDefault="00E266FD" w:rsidP="00E266FD">
      <w:pPr>
        <w:ind w:left="1205" w:right="56"/>
        <w:jc w:val="both"/>
      </w:pPr>
      <w:r w:rsidRPr="00BC75A2">
        <w:t xml:space="preserve">Charles Harrison, Paul Wood, </w:t>
      </w:r>
      <w:r w:rsidRPr="00BC75A2">
        <w:rPr>
          <w:i/>
          <w:iCs/>
        </w:rPr>
        <w:t>Art en Théorie, 1909-1990</w:t>
      </w:r>
      <w:r w:rsidRPr="00BC75A2">
        <w:t>, Paris, Hazan, 1997 ;</w:t>
      </w:r>
    </w:p>
    <w:p w:rsidR="00E266FD" w:rsidRPr="00BC75A2" w:rsidRDefault="00E266FD" w:rsidP="00E266FD">
      <w:pPr>
        <w:ind w:left="1205" w:right="56"/>
        <w:jc w:val="both"/>
      </w:pPr>
      <w:proofErr w:type="spellStart"/>
      <w:r w:rsidRPr="00BC75A2">
        <w:t>Gintz</w:t>
      </w:r>
      <w:proofErr w:type="spellEnd"/>
      <w:r w:rsidRPr="00BC75A2">
        <w:t xml:space="preserve"> Claude (éd</w:t>
      </w:r>
      <w:proofErr w:type="gramStart"/>
      <w:r w:rsidRPr="00BC75A2">
        <w:t>. )</w:t>
      </w:r>
      <w:proofErr w:type="gramEnd"/>
      <w:r w:rsidRPr="00BC75A2">
        <w:t xml:space="preserve">, </w:t>
      </w:r>
      <w:r w:rsidRPr="00BC75A2">
        <w:rPr>
          <w:i/>
          <w:iCs/>
        </w:rPr>
        <w:t>Regards sur l'art américain des années soixante : anthologie critique</w:t>
      </w:r>
      <w:r w:rsidRPr="00BC75A2">
        <w:t>,</w:t>
      </w:r>
      <w:r w:rsidRPr="00F30180">
        <w:t xml:space="preserve"> </w:t>
      </w:r>
      <w:r w:rsidRPr="00BC75A2">
        <w:t xml:space="preserve">Le </w:t>
      </w:r>
      <w:proofErr w:type="spellStart"/>
      <w:r w:rsidRPr="00BC75A2">
        <w:t>Vesinet</w:t>
      </w:r>
      <w:proofErr w:type="spellEnd"/>
      <w:r w:rsidRPr="00BC75A2">
        <w:t>,  Territoires, 1979 ;</w:t>
      </w:r>
    </w:p>
    <w:p w:rsidR="00E266FD" w:rsidRDefault="00E266FD" w:rsidP="00E266FD">
      <w:pPr>
        <w:ind w:left="1205" w:right="56"/>
        <w:jc w:val="both"/>
      </w:pPr>
      <w:r w:rsidRPr="00BC75A2">
        <w:t>Dumont Fabienne (éd</w:t>
      </w:r>
      <w:proofErr w:type="gramStart"/>
      <w:r w:rsidRPr="00BC75A2">
        <w:t>. )</w:t>
      </w:r>
      <w:proofErr w:type="gramEnd"/>
      <w:r w:rsidRPr="00BC75A2">
        <w:t xml:space="preserve">, </w:t>
      </w:r>
      <w:r w:rsidRPr="00BC75A2">
        <w:rPr>
          <w:i/>
          <w:iCs/>
        </w:rPr>
        <w:t>La rébellion du deuxième sexe</w:t>
      </w:r>
      <w:r w:rsidRPr="00BC75A2">
        <w:t>, Les presses du réel, Dijon, 2011 ;</w:t>
      </w:r>
    </w:p>
    <w:p w:rsidR="00E266FD" w:rsidRDefault="00E266FD" w:rsidP="00E266FD">
      <w:pPr>
        <w:ind w:left="1205" w:right="56"/>
        <w:jc w:val="both"/>
      </w:pPr>
      <w:r>
        <w:t>Lemoine</w:t>
      </w:r>
      <w:r w:rsidRPr="00872017">
        <w:t xml:space="preserve"> </w:t>
      </w:r>
      <w:r>
        <w:t>Stéphanie, Ourdi</w:t>
      </w:r>
      <w:r w:rsidRPr="00872017">
        <w:t xml:space="preserve"> </w:t>
      </w:r>
      <w:r>
        <w:t xml:space="preserve">Samira, </w:t>
      </w:r>
      <w:proofErr w:type="spellStart"/>
      <w:r w:rsidRPr="00F23420">
        <w:rPr>
          <w:i/>
          <w:iCs/>
        </w:rPr>
        <w:t>Artivisme</w:t>
      </w:r>
      <w:proofErr w:type="spellEnd"/>
      <w:r w:rsidRPr="00F23420">
        <w:rPr>
          <w:i/>
          <w:iCs/>
        </w:rPr>
        <w:t>, art, action politique et résistance culturelle</w:t>
      </w:r>
      <w:r>
        <w:t>, Paris, éditions Alternatives, 2010</w:t>
      </w:r>
    </w:p>
    <w:p w:rsidR="00E266FD" w:rsidRDefault="00E266FD" w:rsidP="00E266FD">
      <w:pPr>
        <w:ind w:left="1205" w:right="56"/>
        <w:jc w:val="both"/>
      </w:pPr>
      <w:proofErr w:type="spellStart"/>
      <w:r w:rsidRPr="00CF0935">
        <w:t>Brey</w:t>
      </w:r>
      <w:proofErr w:type="spellEnd"/>
      <w:r w:rsidRPr="00CF0935">
        <w:t xml:space="preserve"> I., </w:t>
      </w:r>
      <w:r w:rsidRPr="00CF0935">
        <w:rPr>
          <w:i/>
          <w:iCs/>
        </w:rPr>
        <w:t>Le regard féminin. Une révolution à l’écran</w:t>
      </w:r>
      <w:r w:rsidRPr="00CF0935">
        <w:t xml:space="preserve">, Paris, L’Olivier, 2020. </w:t>
      </w:r>
      <w:r w:rsidRPr="00CF0935">
        <w:br/>
      </w:r>
      <w:proofErr w:type="spellStart"/>
      <w:r w:rsidRPr="00CF0935">
        <w:t>Caeymaex</w:t>
      </w:r>
      <w:proofErr w:type="spellEnd"/>
      <w:r w:rsidRPr="00CF0935">
        <w:t xml:space="preserve"> F., </w:t>
      </w:r>
      <w:proofErr w:type="spellStart"/>
      <w:r w:rsidRPr="00CF0935">
        <w:t>Despret</w:t>
      </w:r>
      <w:proofErr w:type="spellEnd"/>
      <w:r w:rsidRPr="00CF0935">
        <w:t xml:space="preserve"> V. et </w:t>
      </w:r>
      <w:proofErr w:type="spellStart"/>
      <w:r w:rsidRPr="00CF0935">
        <w:t>Pieron</w:t>
      </w:r>
      <w:proofErr w:type="spellEnd"/>
      <w:r w:rsidRPr="00CF0935">
        <w:t xml:space="preserve"> J. (</w:t>
      </w:r>
      <w:proofErr w:type="spellStart"/>
      <w:r w:rsidRPr="00CF0935">
        <w:t>éds</w:t>
      </w:r>
      <w:proofErr w:type="spellEnd"/>
      <w:r w:rsidRPr="00CF0935">
        <w:t xml:space="preserve">.), </w:t>
      </w:r>
      <w:r w:rsidRPr="00CF0935">
        <w:rPr>
          <w:i/>
          <w:iCs/>
        </w:rPr>
        <w:t xml:space="preserve">Habiter le trouble avec Donna </w:t>
      </w:r>
      <w:proofErr w:type="spellStart"/>
      <w:r w:rsidRPr="00CF0935">
        <w:rPr>
          <w:i/>
          <w:iCs/>
        </w:rPr>
        <w:t>Haraway</w:t>
      </w:r>
      <w:proofErr w:type="spellEnd"/>
      <w:r w:rsidRPr="00CF0935">
        <w:t>, Bellevaux, Dehors, 2019.</w:t>
      </w:r>
    </w:p>
    <w:p w:rsidR="00E266FD" w:rsidRDefault="00E266FD" w:rsidP="00E266FD">
      <w:pPr>
        <w:ind w:left="1205" w:right="56"/>
        <w:jc w:val="both"/>
      </w:pPr>
      <w:r w:rsidRPr="00CF0935">
        <w:rPr>
          <w:lang w:val="en-US"/>
        </w:rPr>
        <w:t>Haraway D</w:t>
      </w:r>
      <w:r>
        <w:rPr>
          <w:lang w:val="en-US"/>
        </w:rPr>
        <w:t>onna</w:t>
      </w:r>
      <w:r w:rsidRPr="00CF0935">
        <w:rPr>
          <w:lang w:val="en-US"/>
        </w:rPr>
        <w:t xml:space="preserve">, </w:t>
      </w:r>
      <w:r>
        <w:rPr>
          <w:lang w:val="en-US"/>
        </w:rPr>
        <w:t>“</w:t>
      </w:r>
      <w:r w:rsidRPr="00CF0935">
        <w:rPr>
          <w:lang w:val="en-US"/>
        </w:rPr>
        <w:t>Situated Knowledges: The Science Question</w:t>
      </w:r>
      <w:r>
        <w:rPr>
          <w:lang w:val="en-US"/>
        </w:rPr>
        <w:t>”</w:t>
      </w:r>
      <w:r w:rsidRPr="00CF0935">
        <w:rPr>
          <w:lang w:val="en-US"/>
        </w:rPr>
        <w:t xml:space="preserve"> in </w:t>
      </w:r>
      <w:r w:rsidRPr="00CF0935">
        <w:rPr>
          <w:i/>
          <w:iCs/>
          <w:lang w:val="en-US"/>
        </w:rPr>
        <w:t>Feminism and The Privilege of Partial Perspective, Feminist Studies</w:t>
      </w:r>
      <w:r w:rsidRPr="00CF0935">
        <w:rPr>
          <w:lang w:val="en-US"/>
        </w:rPr>
        <w:t xml:space="preserve">, vol. 14, n°3, 1988, pp. 575-599. </w:t>
      </w:r>
      <w:r w:rsidRPr="00CF0935">
        <w:rPr>
          <w:lang w:val="en-US"/>
        </w:rPr>
        <w:br/>
      </w:r>
      <w:proofErr w:type="spellStart"/>
      <w:r w:rsidRPr="00CF0935">
        <w:t>Haraway</w:t>
      </w:r>
      <w:proofErr w:type="spellEnd"/>
      <w:r w:rsidRPr="00CF0935">
        <w:t xml:space="preserve"> D</w:t>
      </w:r>
      <w:r>
        <w:t>onna</w:t>
      </w:r>
      <w:r w:rsidRPr="00CF0935">
        <w:t xml:space="preserve">, anthologie établie par Allard L., </w:t>
      </w:r>
      <w:proofErr w:type="spellStart"/>
      <w:r w:rsidRPr="00CF0935">
        <w:t>Gardey</w:t>
      </w:r>
      <w:proofErr w:type="spellEnd"/>
      <w:r w:rsidRPr="00CF0935">
        <w:t xml:space="preserve"> D. et </w:t>
      </w:r>
      <w:proofErr w:type="spellStart"/>
      <w:r w:rsidRPr="00CF0935">
        <w:t>Magnon</w:t>
      </w:r>
      <w:proofErr w:type="spellEnd"/>
      <w:r w:rsidRPr="00CF0935">
        <w:t xml:space="preserve"> N., </w:t>
      </w:r>
      <w:r w:rsidRPr="00CF0935">
        <w:rPr>
          <w:i/>
          <w:iCs/>
        </w:rPr>
        <w:t>Manifeste cyborg et autres essais : sciences, fictions, féminismes</w:t>
      </w:r>
      <w:r w:rsidRPr="00CF0935">
        <w:t>, Paris, Exils, 2007, coll. "Essais".</w:t>
      </w:r>
    </w:p>
    <w:p w:rsidR="00E266FD" w:rsidRDefault="00E266FD" w:rsidP="00E266FD">
      <w:pPr>
        <w:ind w:left="1205" w:right="56"/>
        <w:jc w:val="both"/>
      </w:pPr>
      <w:proofErr w:type="spellStart"/>
      <w:r>
        <w:t>Dorlin</w:t>
      </w:r>
      <w:proofErr w:type="spellEnd"/>
      <w:r>
        <w:t xml:space="preserve"> Elsa et Rodriguez Eva (</w:t>
      </w:r>
      <w:proofErr w:type="spellStart"/>
      <w:r>
        <w:t>éds</w:t>
      </w:r>
      <w:proofErr w:type="spellEnd"/>
      <w:r>
        <w:t xml:space="preserve">.), </w:t>
      </w:r>
      <w:r w:rsidRPr="00B65544">
        <w:rPr>
          <w:i/>
          <w:iCs/>
        </w:rPr>
        <w:t xml:space="preserve">Penser avec Donna </w:t>
      </w:r>
      <w:proofErr w:type="spellStart"/>
      <w:r w:rsidRPr="00B65544">
        <w:rPr>
          <w:i/>
          <w:iCs/>
        </w:rPr>
        <w:t>Haraway</w:t>
      </w:r>
      <w:proofErr w:type="spellEnd"/>
      <w:r>
        <w:t xml:space="preserve">, Paris, PUF, 2012 </w:t>
      </w:r>
    </w:p>
    <w:p w:rsidR="008326D8" w:rsidRDefault="008326D8"/>
    <w:sectPr w:rsidR="00832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D46"/>
    <w:multiLevelType w:val="hybridMultilevel"/>
    <w:tmpl w:val="E00CE0CA"/>
    <w:lvl w:ilvl="0" w:tplc="8FA2D9F4">
      <w:start w:val="4"/>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308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03"/>
    <w:rsid w:val="003E0903"/>
    <w:rsid w:val="008326D8"/>
    <w:rsid w:val="00E26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27CCA4"/>
  <w15:chartTrackingRefBased/>
  <w15:docId w15:val="{F06FDF45-BEA9-C140-8491-6505C457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03"/>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E0903"/>
    <w:rPr>
      <w:i/>
      <w:iCs/>
    </w:rPr>
  </w:style>
  <w:style w:type="paragraph" w:styleId="Paragraphedeliste">
    <w:name w:val="List Paragraph"/>
    <w:basedOn w:val="Normal"/>
    <w:uiPriority w:val="34"/>
    <w:qFormat/>
    <w:rsid w:val="00E2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s.openedition.org/europhilosophie/18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6323</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2025-10-04T19:43:00Z</dcterms:created>
  <dcterms:modified xsi:type="dcterms:W3CDTF">2025-10-04T19:46:00Z</dcterms:modified>
</cp:coreProperties>
</file>