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8123C6" w:rsidRPr="000550E6" w:rsidRDefault="008123C6" w:rsidP="0030177E">
      <w:pPr>
        <w:spacing w:line="276" w:lineRule="auto"/>
        <w:jc w:val="center"/>
        <w:rPr>
          <w:szCs w:val="24"/>
        </w:rPr>
      </w:pPr>
      <w:r w:rsidRPr="000550E6">
        <w:rPr>
          <w:noProof/>
          <w:sz w:val="20"/>
        </w:rPr>
        <w:drawing>
          <wp:inline distT="0" distB="0" distL="0" distR="0" wp14:anchorId="59528D95" wp14:editId="4F0E72BB">
            <wp:extent cx="2688197" cy="1215390"/>
            <wp:effectExtent l="0" t="0" r="0" b="0"/>
            <wp:docPr id="1" name="image1.jpeg" descr="I:\Cours\Paris 1\Logo_UnivSorbonne_EcoleDroit_2015022610304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4" cstate="print"/>
                    <a:stretch>
                      <a:fillRect/>
                    </a:stretch>
                  </pic:blipFill>
                  <pic:spPr>
                    <a:xfrm>
                      <a:off x="0" y="0"/>
                      <a:ext cx="2688197" cy="1215390"/>
                    </a:xfrm>
                    <a:prstGeom prst="rect">
                      <a:avLst/>
                    </a:prstGeom>
                  </pic:spPr>
                </pic:pic>
              </a:graphicData>
            </a:graphic>
          </wp:inline>
        </w:drawing>
      </w:r>
    </w:p>
    <w:p w:rsidR="008123C6" w:rsidRPr="000550E6" w:rsidRDefault="008123C6" w:rsidP="0030177E">
      <w:pPr>
        <w:spacing w:line="276" w:lineRule="auto"/>
        <w:jc w:val="center"/>
        <w:rPr>
          <w:sz w:val="28"/>
          <w:szCs w:val="28"/>
        </w:rPr>
      </w:pPr>
    </w:p>
    <w:p w:rsidR="00EC24DA" w:rsidRPr="000550E6" w:rsidRDefault="00C63364" w:rsidP="0030177E">
      <w:pPr>
        <w:spacing w:line="276" w:lineRule="auto"/>
        <w:jc w:val="center"/>
        <w:rPr>
          <w:sz w:val="28"/>
          <w:szCs w:val="28"/>
        </w:rPr>
      </w:pPr>
      <w:r>
        <w:rPr>
          <w:sz w:val="28"/>
          <w:szCs w:val="28"/>
        </w:rPr>
        <w:t>2025/2026 – L2 Droit, semestre 1</w:t>
      </w:r>
    </w:p>
    <w:p w:rsidR="009336EA" w:rsidRPr="000550E6" w:rsidRDefault="009336EA" w:rsidP="0030177E">
      <w:pPr>
        <w:spacing w:line="276" w:lineRule="auto"/>
        <w:jc w:val="center"/>
        <w:rPr>
          <w:szCs w:val="24"/>
        </w:rPr>
      </w:pPr>
    </w:p>
    <w:p w:rsidR="00741213" w:rsidRDefault="00C63364" w:rsidP="0030177E">
      <w:pPr>
        <w:spacing w:line="276" w:lineRule="auto"/>
        <w:jc w:val="center"/>
        <w:rPr>
          <w:b/>
          <w:bCs w:val="0"/>
          <w:smallCaps/>
          <w:sz w:val="32"/>
          <w:szCs w:val="32"/>
        </w:rPr>
      </w:pPr>
      <w:r>
        <w:rPr>
          <w:b/>
          <w:bCs w:val="0"/>
          <w:smallCaps/>
          <w:sz w:val="32"/>
          <w:szCs w:val="32"/>
        </w:rPr>
        <w:t>Droit européen</w:t>
      </w:r>
    </w:p>
    <w:p w:rsidR="00EC24DA" w:rsidRPr="00AA652B" w:rsidRDefault="00EC24DA" w:rsidP="0030177E">
      <w:pPr>
        <w:spacing w:line="276" w:lineRule="auto"/>
        <w:jc w:val="center"/>
        <w:rPr>
          <w:smallCaps/>
          <w:szCs w:val="24"/>
        </w:rPr>
      </w:pPr>
      <w:r w:rsidRPr="002628AC">
        <w:rPr>
          <w:szCs w:val="24"/>
        </w:rPr>
        <w:t>Louis</w:t>
      </w:r>
      <w:r w:rsidRPr="00AA652B">
        <w:rPr>
          <w:smallCaps/>
          <w:szCs w:val="24"/>
        </w:rPr>
        <w:t xml:space="preserve"> FEILHES</w:t>
      </w:r>
    </w:p>
    <w:p w:rsidR="00EC24DA" w:rsidRPr="00EC24DA" w:rsidRDefault="00EC24DA" w:rsidP="0030177E">
      <w:pPr>
        <w:spacing w:line="276" w:lineRule="auto"/>
        <w:jc w:val="center"/>
        <w:rPr>
          <w:b/>
          <w:bCs w:val="0"/>
          <w:smallCaps/>
          <w:szCs w:val="24"/>
        </w:rPr>
      </w:pPr>
    </w:p>
    <w:p w:rsidR="00C63364" w:rsidRDefault="00EC24DA" w:rsidP="0030177E">
      <w:pPr>
        <w:spacing w:line="276" w:lineRule="auto"/>
        <w:jc w:val="center"/>
        <w:rPr>
          <w:szCs w:val="24"/>
          <w:u w:val="single"/>
        </w:rPr>
      </w:pPr>
      <w:r w:rsidRPr="00EC24DA">
        <w:rPr>
          <w:szCs w:val="24"/>
          <w:u w:val="single"/>
        </w:rPr>
        <w:t>Liste des sujets possibles à l’examen</w:t>
      </w:r>
    </w:p>
    <w:p w:rsidR="00EC24DA" w:rsidRPr="00EC24DA" w:rsidRDefault="00EC24DA" w:rsidP="0030177E">
      <w:pPr>
        <w:spacing w:line="276" w:lineRule="auto"/>
        <w:jc w:val="center"/>
        <w:rPr>
          <w:szCs w:val="24"/>
          <w:u w:val="single"/>
        </w:rPr>
      </w:pPr>
    </w:p>
    <w:p w:rsidR="00EC24DA" w:rsidRPr="0030177E" w:rsidRDefault="00EC24DA" w:rsidP="0030177E">
      <w:pPr>
        <w:spacing w:line="276" w:lineRule="auto"/>
      </w:pPr>
      <w:r w:rsidRPr="00994136">
        <w:rPr>
          <w:b/>
          <w:u w:val="single"/>
        </w:rPr>
        <w:t>NB</w:t>
      </w:r>
      <w:r>
        <w:rPr>
          <w:b/>
        </w:rPr>
        <w:t xml:space="preserve"> : </w:t>
      </w:r>
      <w:r w:rsidRPr="00994136">
        <w:t xml:space="preserve">L’examen comprend nécessairement </w:t>
      </w:r>
      <w:r w:rsidRPr="00994136">
        <w:rPr>
          <w:i/>
        </w:rPr>
        <w:t>trois</w:t>
      </w:r>
      <w:r w:rsidRPr="00994136">
        <w:t xml:space="preserve"> questions à traiter. </w:t>
      </w:r>
      <w:r w:rsidR="0030177E">
        <w:rPr>
          <w:b/>
          <w:bCs w:val="0"/>
        </w:rPr>
        <w:t>Pour les trois questions, la synthèse est valorisée</w:t>
      </w:r>
      <w:r w:rsidR="0030177E">
        <w:t> : plus la réponse apportée est complète, même si elle est brève sur des éléments, plus elle sera valorisée.</w:t>
      </w:r>
    </w:p>
    <w:p w:rsidR="00EC24DA" w:rsidRPr="0030177E" w:rsidRDefault="00EC24DA" w:rsidP="0030177E">
      <w:pPr>
        <w:spacing w:line="276" w:lineRule="auto"/>
        <w:ind w:firstLine="708"/>
        <w:rPr>
          <w:b/>
          <w:bCs w:val="0"/>
        </w:rPr>
      </w:pPr>
      <w:r w:rsidRPr="00994136">
        <w:t>L’une d’elle sera une « question générale » (sur 10 pts)</w:t>
      </w:r>
      <w:r>
        <w:t xml:space="preserve"> : la question est ouverte et générale. Il n’est pas nécessaire de présenter un plan apparent ou une forme particulière. Vous êtes valorisés si : vous apportez une réponse </w:t>
      </w:r>
      <w:r w:rsidRPr="0030177E">
        <w:rPr>
          <w:b/>
          <w:bCs w:val="0"/>
          <w:i/>
        </w:rPr>
        <w:t>très explicite</w:t>
      </w:r>
      <w:r>
        <w:t xml:space="preserve"> à la question (ex : oui, non, en partie, pas vraiment, sûrement, ni l’un ni l’autre, etc.) et si vous mobilisez des éléments de </w:t>
      </w:r>
      <w:r w:rsidRPr="0030177E">
        <w:rPr>
          <w:b/>
          <w:bCs w:val="0"/>
          <w:i/>
        </w:rPr>
        <w:t>tout</w:t>
      </w:r>
      <w:r>
        <w:rPr>
          <w:i/>
        </w:rPr>
        <w:t xml:space="preserve"> </w:t>
      </w:r>
      <w:r>
        <w:t xml:space="preserve">le cours (si tous vos exemples qui se rattachent seulement à une partie du cours, vous ne serez pas valorisés…) ; si vous expliquez simplement vos idées avec </w:t>
      </w:r>
      <w:r w:rsidR="005D278F">
        <w:t>un exemple bref, mais précis</w:t>
      </w:r>
      <w:r>
        <w:t xml:space="preserve">. Dans le contexte de l’examen, 2 arguments en faveur de votre réponse sont </w:t>
      </w:r>
      <w:proofErr w:type="gramStart"/>
      <w:r>
        <w:rPr>
          <w:i/>
        </w:rPr>
        <w:t>a</w:t>
      </w:r>
      <w:proofErr w:type="gramEnd"/>
      <w:r>
        <w:rPr>
          <w:i/>
        </w:rPr>
        <w:t xml:space="preserve"> minima</w:t>
      </w:r>
      <w:r>
        <w:t xml:space="preserve"> attendus. </w:t>
      </w:r>
    </w:p>
    <w:p w:rsidR="00EC24DA" w:rsidRPr="00994136" w:rsidRDefault="00EC24DA" w:rsidP="0030177E">
      <w:pPr>
        <w:spacing w:line="276" w:lineRule="auto"/>
        <w:ind w:firstLine="708"/>
      </w:pPr>
      <w:r>
        <w:t xml:space="preserve">Les deux autres sont des « sujets précis » (2x5 pts) : il ne s’agit que de vérifier si les connaissances de base sont acquises. Vous êtes évalués surtout sur votre capacité à présenter </w:t>
      </w:r>
      <w:r>
        <w:rPr>
          <w:i/>
        </w:rPr>
        <w:t>synthétiquement</w:t>
      </w:r>
      <w:r>
        <w:t xml:space="preserve"> et </w:t>
      </w:r>
      <w:r>
        <w:rPr>
          <w:i/>
        </w:rPr>
        <w:t>efficacement</w:t>
      </w:r>
      <w:r>
        <w:t xml:space="preserve">, en une dizaine de lignes, le sujet. </w:t>
      </w:r>
      <w:r w:rsidRPr="00A25290">
        <w:rPr>
          <w:u w:val="single"/>
        </w:rPr>
        <w:t>Aucun raisonnement particulier n’est attendu</w:t>
      </w:r>
      <w:r>
        <w:t xml:space="preserve">. </w:t>
      </w:r>
    </w:p>
    <w:p w:rsidR="00C63364" w:rsidRDefault="00C63364" w:rsidP="0030177E">
      <w:pPr>
        <w:spacing w:line="276" w:lineRule="auto"/>
        <w:rPr>
          <w:b/>
          <w:szCs w:val="24"/>
        </w:rPr>
      </w:pPr>
    </w:p>
    <w:p w:rsidR="00EC24DA" w:rsidRPr="00994136" w:rsidRDefault="00EC24DA" w:rsidP="0030177E">
      <w:pPr>
        <w:spacing w:line="276" w:lineRule="auto"/>
        <w:rPr>
          <w:b/>
          <w:bCs w:val="0"/>
          <w:u w:val="single"/>
        </w:rPr>
      </w:pPr>
      <w:r w:rsidRPr="00994136">
        <w:rPr>
          <w:b/>
          <w:u w:val="single"/>
        </w:rPr>
        <w:t>I/ Question générale (10 pts)</w:t>
      </w:r>
    </w:p>
    <w:p w:rsidR="00EC24DA" w:rsidRPr="00B03E3E" w:rsidRDefault="00EC24DA" w:rsidP="0030177E">
      <w:pPr>
        <w:spacing w:line="276" w:lineRule="auto"/>
        <w:rPr>
          <w:u w:val="single"/>
        </w:rPr>
      </w:pPr>
      <w:r>
        <w:tab/>
        <w:t xml:space="preserve">• </w:t>
      </w:r>
      <w:r w:rsidRPr="00B03E3E">
        <w:rPr>
          <w:u w:val="single"/>
        </w:rPr>
        <w:t>Quelles différences existent entre le droit de l’Union européenne et le droit du Conseil de l’Europe ?</w:t>
      </w:r>
    </w:p>
    <w:p w:rsidR="00EC24DA" w:rsidRPr="00EC24DA" w:rsidRDefault="00EC24DA" w:rsidP="0030177E">
      <w:pPr>
        <w:spacing w:line="276" w:lineRule="auto"/>
        <w:rPr>
          <w:i/>
          <w:iCs w:val="0"/>
        </w:rPr>
      </w:pPr>
      <w:r>
        <w:rPr>
          <w:i/>
        </w:rPr>
        <w:t xml:space="preserve">Aide : reprendre les éléments sur le Conseil de l’Europe (y compris la CEDH) et faire des comparaisons avec le droit de l’Union. La comparaison est possible avec l’histoire, les institutions (fonctionnement, composition, compétence), sur le statut d’État membre, sur les compétences (domaines régis), sur les moyens d’action (nature des actes juridiques adoptés), sur le système juridique (quels principes importants existent </w:t>
      </w:r>
      <w:r>
        <w:rPr>
          <w:i/>
        </w:rPr>
        <w:lastRenderedPageBreak/>
        <w:t xml:space="preserve">pour assurer le respect et l’application du droit européen). </w:t>
      </w:r>
      <w:r>
        <w:rPr>
          <w:b/>
          <w:bCs w:val="0"/>
          <w:i/>
        </w:rPr>
        <w:t xml:space="preserve">Il est possible de dissocier Conseil de l’Europe et CEDH </w:t>
      </w:r>
      <w:r>
        <w:rPr>
          <w:i/>
        </w:rPr>
        <w:t>pour répondre vis-à-vis du droit de l’Union.</w:t>
      </w:r>
    </w:p>
    <w:p w:rsidR="00C63364" w:rsidRDefault="00EC24DA" w:rsidP="0030177E">
      <w:pPr>
        <w:spacing w:line="276" w:lineRule="auto"/>
        <w:rPr>
          <w:bCs w:val="0"/>
          <w:szCs w:val="24"/>
        </w:rPr>
      </w:pPr>
      <w:r>
        <w:rPr>
          <w:b/>
          <w:szCs w:val="24"/>
        </w:rPr>
        <w:tab/>
        <w:t xml:space="preserve">• </w:t>
      </w:r>
      <w:r>
        <w:rPr>
          <w:bCs w:val="0"/>
          <w:szCs w:val="24"/>
          <w:u w:val="single"/>
        </w:rPr>
        <w:t xml:space="preserve">La Cour européenne des droits de l’Homme protège-t-elle efficacement les droits fondamentaux ? </w:t>
      </w:r>
    </w:p>
    <w:p w:rsidR="00EC24DA" w:rsidRPr="0030177E" w:rsidRDefault="0030177E" w:rsidP="0030177E">
      <w:pPr>
        <w:spacing w:line="276" w:lineRule="auto"/>
        <w:rPr>
          <w:bCs w:val="0"/>
          <w:i/>
          <w:iCs w:val="0"/>
          <w:szCs w:val="24"/>
        </w:rPr>
      </w:pPr>
      <w:r>
        <w:rPr>
          <w:bCs w:val="0"/>
          <w:i/>
          <w:iCs w:val="0"/>
          <w:szCs w:val="24"/>
        </w:rPr>
        <w:t xml:space="preserve">Aide : opérer une synthèse de tous les propos sur le CEDH et proposer une réflexion quant à « l’efficacité » de la protection : l’efficacité signifie que les droits de la Convention EDH sont véritablement garantis et protégés ? que des moyens appropriés existent pour prévenir, réparer et sanctionner des violations ? que la portée/l’interprétation des droits fondamentaux est adaptée ? que l’action de la Cour EDH n’est pas trop contestée politiquement ? que le contrôle opéré par la Cour (et les juges nationaux) ne soit pas trop tolérant et permissif (proportionnalité ? marge nationale d’appréciation, etc.). </w:t>
      </w:r>
    </w:p>
    <w:p w:rsidR="00EC24DA" w:rsidRDefault="00EC24DA" w:rsidP="0030177E">
      <w:pPr>
        <w:spacing w:line="276" w:lineRule="auto"/>
        <w:rPr>
          <w:bCs w:val="0"/>
          <w:szCs w:val="24"/>
        </w:rPr>
      </w:pPr>
      <w:r>
        <w:rPr>
          <w:bCs w:val="0"/>
          <w:szCs w:val="24"/>
        </w:rPr>
        <w:tab/>
        <w:t xml:space="preserve">• </w:t>
      </w:r>
      <w:r>
        <w:rPr>
          <w:bCs w:val="0"/>
          <w:szCs w:val="24"/>
          <w:u w:val="single"/>
        </w:rPr>
        <w:t xml:space="preserve">La </w:t>
      </w:r>
      <w:r w:rsidR="0030177E">
        <w:rPr>
          <w:bCs w:val="0"/>
          <w:szCs w:val="24"/>
          <w:u w:val="single"/>
        </w:rPr>
        <w:t>méthode fonctionnaliste</w:t>
      </w:r>
      <w:r>
        <w:rPr>
          <w:bCs w:val="0"/>
          <w:szCs w:val="24"/>
          <w:u w:val="single"/>
        </w:rPr>
        <w:t xml:space="preserve"> des “petits pas” est-elle toujours pertinente pour étudier le droit de l’Union européenne ?</w:t>
      </w:r>
    </w:p>
    <w:p w:rsidR="00EC24DA" w:rsidRDefault="0030177E" w:rsidP="0030177E">
      <w:pPr>
        <w:spacing w:line="276" w:lineRule="auto"/>
        <w:rPr>
          <w:bCs w:val="0"/>
          <w:szCs w:val="24"/>
        </w:rPr>
      </w:pPr>
      <w:r>
        <w:rPr>
          <w:bCs w:val="0"/>
          <w:i/>
          <w:iCs w:val="0"/>
          <w:szCs w:val="24"/>
        </w:rPr>
        <w:t>Aide : reprendre surtout le chapitre historique du cours sur la construction de l’Union avec le reste du cours et porter un regard critique (positif et/ou négatif) sur la pertinence de la méthode (avancée progressive mais irréversible des liens entre États membres, éviter des sujets trop sensibles politiquement, résultat d’une union sans cesse plus étroite tournée vers la paix, admission que les États ont des intérêts directs et “égoïstes” à participer à l’Union européenne, etc.</w:t>
      </w:r>
      <w:r>
        <w:rPr>
          <w:bCs w:val="0"/>
          <w:szCs w:val="24"/>
        </w:rPr>
        <w:t>).</w:t>
      </w:r>
    </w:p>
    <w:p w:rsidR="005E5380" w:rsidRDefault="005E5380" w:rsidP="0030177E">
      <w:pPr>
        <w:spacing w:line="276" w:lineRule="auto"/>
        <w:rPr>
          <w:bCs w:val="0"/>
          <w:szCs w:val="24"/>
        </w:rPr>
      </w:pPr>
      <w:r>
        <w:rPr>
          <w:b/>
          <w:szCs w:val="24"/>
        </w:rPr>
        <w:tab/>
        <w:t xml:space="preserve">• </w:t>
      </w:r>
      <w:r>
        <w:rPr>
          <w:bCs w:val="0"/>
          <w:szCs w:val="24"/>
          <w:u w:val="single"/>
        </w:rPr>
        <w:t>L’Union européenne est-elle trop dépendante des États membres ?</w:t>
      </w:r>
    </w:p>
    <w:p w:rsidR="0030177E" w:rsidRDefault="005E5380" w:rsidP="0030177E">
      <w:pPr>
        <w:spacing w:line="276" w:lineRule="auto"/>
        <w:rPr>
          <w:bCs w:val="0"/>
          <w:szCs w:val="24"/>
        </w:rPr>
      </w:pPr>
      <w:r>
        <w:rPr>
          <w:bCs w:val="0"/>
          <w:i/>
          <w:iCs w:val="0"/>
          <w:szCs w:val="24"/>
        </w:rPr>
        <w:t>Aide : apprécier cette dépendance à plusieurs égards, via tous le cours. L’UE ne pourrait pas agir « librement » si elle n’a pas le soutien, l’assentiment des États membres. Ceci pourrait se voir dans l’évolution et la constitution de l’UE en tant que telle, dans sa structure institutionnelle et décisionnelle (comment les décisions sont prises ? qui décide vraiment ?), concernant l’étendue de la compétence de l’Union. La réponse peut être nuancée ou très appuyée dans un sens ou dans l’autre. L’essentiel est alors simplement de mobiliser plusieurs parties du cours pour fonder les éléments de réponse (et pas se limiter à une seule partie ou sous-partie).</w:t>
      </w:r>
    </w:p>
    <w:p w:rsidR="00EC24DA" w:rsidRDefault="00EC24DA" w:rsidP="0030177E">
      <w:pPr>
        <w:spacing w:line="276" w:lineRule="auto"/>
        <w:rPr>
          <w:bCs w:val="0"/>
          <w:szCs w:val="24"/>
        </w:rPr>
      </w:pPr>
    </w:p>
    <w:p w:rsidR="00EC24DA" w:rsidRPr="00994136" w:rsidRDefault="00EC24DA" w:rsidP="0030177E">
      <w:pPr>
        <w:spacing w:line="276" w:lineRule="auto"/>
        <w:rPr>
          <w:b/>
          <w:bCs w:val="0"/>
          <w:u w:val="single"/>
        </w:rPr>
      </w:pPr>
      <w:r w:rsidRPr="00994136">
        <w:rPr>
          <w:b/>
          <w:u w:val="single"/>
        </w:rPr>
        <w:t>II/ Sujets précis (2x5pts)</w:t>
      </w:r>
    </w:p>
    <w:p w:rsidR="00EC24DA" w:rsidRDefault="00EC24DA" w:rsidP="0030177E">
      <w:pPr>
        <w:spacing w:line="276" w:lineRule="auto"/>
      </w:pPr>
      <w:r>
        <w:t>Le Conseil de l’Europe : institution et système juridique</w:t>
      </w:r>
    </w:p>
    <w:p w:rsidR="00EC24DA" w:rsidRDefault="00EC24DA" w:rsidP="0030177E">
      <w:pPr>
        <w:spacing w:line="276" w:lineRule="auto"/>
      </w:pPr>
      <w:r>
        <w:t>Les droits fondamentaux de la Convention EDH</w:t>
      </w:r>
    </w:p>
    <w:p w:rsidR="00EC24DA" w:rsidRDefault="00EC24DA" w:rsidP="0030177E">
      <w:pPr>
        <w:spacing w:line="276" w:lineRule="auto"/>
      </w:pPr>
      <w:r>
        <w:t>Les aménagements à la protection des droits de la Convention EDH</w:t>
      </w:r>
    </w:p>
    <w:p w:rsidR="00EC24DA" w:rsidRDefault="00EC24DA" w:rsidP="0030177E">
      <w:pPr>
        <w:spacing w:line="276" w:lineRule="auto"/>
      </w:pPr>
      <w:r>
        <w:t>La Cour EDH : fonctionnement et accès</w:t>
      </w:r>
    </w:p>
    <w:p w:rsidR="00EC24DA" w:rsidRDefault="00EC24DA" w:rsidP="0030177E">
      <w:pPr>
        <w:spacing w:line="276" w:lineRule="auto"/>
      </w:pPr>
      <w:r>
        <w:t>Le contrôle du respect des droits fondamentaux par la Cour EDH</w:t>
      </w:r>
    </w:p>
    <w:p w:rsidR="00EC24DA" w:rsidRDefault="00EC24DA" w:rsidP="0030177E">
      <w:pPr>
        <w:spacing w:line="276" w:lineRule="auto"/>
      </w:pPr>
      <w:r>
        <w:t>Les techniques d’interprétation de la Cour EDH</w:t>
      </w:r>
    </w:p>
    <w:p w:rsidR="00EC24DA" w:rsidRDefault="00EC24DA" w:rsidP="0030177E">
      <w:pPr>
        <w:spacing w:line="276" w:lineRule="auto"/>
      </w:pPr>
      <w:r>
        <w:t xml:space="preserve">Le traité CECA (Paris, 1951) </w:t>
      </w:r>
    </w:p>
    <w:p w:rsidR="00EC24DA" w:rsidRDefault="00EC24DA" w:rsidP="0030177E">
      <w:pPr>
        <w:spacing w:line="276" w:lineRule="auto"/>
      </w:pPr>
      <w:r>
        <w:t>Le traité CEE (Rome, 1957)</w:t>
      </w:r>
    </w:p>
    <w:p w:rsidR="00EC24DA" w:rsidRDefault="00EC24DA" w:rsidP="0030177E">
      <w:pPr>
        <w:spacing w:line="276" w:lineRule="auto"/>
      </w:pPr>
      <w:r>
        <w:t>Le traité de Maastricht (1992)</w:t>
      </w:r>
    </w:p>
    <w:p w:rsidR="00EC24DA" w:rsidRDefault="00EC24DA" w:rsidP="0030177E">
      <w:pPr>
        <w:spacing w:line="276" w:lineRule="auto"/>
      </w:pPr>
      <w:r>
        <w:t xml:space="preserve">Le </w:t>
      </w:r>
      <w:r>
        <w:rPr>
          <w:i/>
        </w:rPr>
        <w:t>Brexit</w:t>
      </w:r>
    </w:p>
    <w:p w:rsidR="00EC24DA" w:rsidRDefault="00EC24DA" w:rsidP="0030177E">
      <w:pPr>
        <w:spacing w:line="276" w:lineRule="auto"/>
      </w:pPr>
      <w:r>
        <w:lastRenderedPageBreak/>
        <w:t>Les “crises” et “défis” de l’Union européenne depuis le traité de Lisbonne</w:t>
      </w:r>
    </w:p>
    <w:p w:rsidR="00EC24DA" w:rsidRDefault="00EC24DA" w:rsidP="0030177E">
      <w:pPr>
        <w:spacing w:line="276" w:lineRule="auto"/>
      </w:pPr>
      <w:r>
        <w:t>Les finances de l’Union européenne</w:t>
      </w:r>
    </w:p>
    <w:p w:rsidR="0030177E" w:rsidRDefault="0030177E" w:rsidP="0030177E">
      <w:pPr>
        <w:spacing w:line="276" w:lineRule="auto"/>
      </w:pPr>
      <w:r>
        <w:t>Le concept d’autonomie de l’ordre juridique de l’Union européenne</w:t>
      </w:r>
    </w:p>
    <w:p w:rsidR="00EC24DA" w:rsidRDefault="00EC24DA" w:rsidP="0030177E">
      <w:pPr>
        <w:spacing w:line="276" w:lineRule="auto"/>
      </w:pPr>
      <w:r>
        <w:t>L’adhésion à l’Union</w:t>
      </w:r>
    </w:p>
    <w:p w:rsidR="00EC24DA" w:rsidRDefault="00EC24DA" w:rsidP="0030177E">
      <w:pPr>
        <w:spacing w:line="276" w:lineRule="auto"/>
      </w:pPr>
      <w:r>
        <w:t>Les droits et garanties de l’État “membre” de l’Union</w:t>
      </w:r>
    </w:p>
    <w:p w:rsidR="00EC24DA" w:rsidRDefault="0030177E" w:rsidP="0030177E">
      <w:pPr>
        <w:spacing w:line="276" w:lineRule="auto"/>
      </w:pPr>
      <w:r>
        <w:t>Le respect des valeurs de l’Union européenne par l’État “membre” de l’Union</w:t>
      </w:r>
    </w:p>
    <w:p w:rsidR="0030177E" w:rsidRDefault="0030177E" w:rsidP="0030177E">
      <w:pPr>
        <w:spacing w:line="276" w:lineRule="auto"/>
      </w:pPr>
      <w:r>
        <w:t>La citoyenneté européenne</w:t>
      </w:r>
    </w:p>
    <w:p w:rsidR="0030177E" w:rsidRDefault="0030177E" w:rsidP="0030177E">
      <w:pPr>
        <w:spacing w:line="276" w:lineRule="auto"/>
      </w:pPr>
      <w:r>
        <w:t>Le Conseil européen</w:t>
      </w:r>
    </w:p>
    <w:p w:rsidR="0030177E" w:rsidRDefault="0030177E" w:rsidP="0030177E">
      <w:pPr>
        <w:spacing w:line="276" w:lineRule="auto"/>
      </w:pPr>
      <w:r>
        <w:t>Le Conseil de l’Union européenne</w:t>
      </w:r>
    </w:p>
    <w:p w:rsidR="0030177E" w:rsidRDefault="0030177E" w:rsidP="0030177E">
      <w:pPr>
        <w:spacing w:line="276" w:lineRule="auto"/>
      </w:pPr>
      <w:r>
        <w:t>Le Parlement</w:t>
      </w:r>
      <w:r w:rsidR="009A07B1">
        <w:t xml:space="preserve"> européen</w:t>
      </w:r>
    </w:p>
    <w:p w:rsidR="0030177E" w:rsidRDefault="0030177E" w:rsidP="0030177E">
      <w:pPr>
        <w:spacing w:line="276" w:lineRule="auto"/>
      </w:pPr>
      <w:r>
        <w:t>La Commission</w:t>
      </w:r>
      <w:r w:rsidR="009A07B1">
        <w:t xml:space="preserve"> européenne</w:t>
      </w:r>
    </w:p>
    <w:p w:rsidR="0030177E" w:rsidRDefault="0030177E" w:rsidP="0030177E">
      <w:pPr>
        <w:spacing w:line="276" w:lineRule="auto"/>
      </w:pPr>
      <w:r>
        <w:t>Les agences européennes</w:t>
      </w:r>
    </w:p>
    <w:p w:rsidR="0030177E" w:rsidRDefault="005E5380" w:rsidP="0030177E">
      <w:pPr>
        <w:spacing w:line="276" w:lineRule="auto"/>
      </w:pPr>
      <w:r>
        <w:t>La procédure législative</w:t>
      </w:r>
    </w:p>
    <w:p w:rsidR="005E5380" w:rsidRDefault="005E5380" w:rsidP="0030177E">
      <w:pPr>
        <w:spacing w:line="276" w:lineRule="auto"/>
      </w:pPr>
      <w:r>
        <w:t>L’exécution du droit de l’Union</w:t>
      </w:r>
    </w:p>
    <w:p w:rsidR="005E5380" w:rsidRDefault="005E5380" w:rsidP="0030177E">
      <w:pPr>
        <w:spacing w:line="276" w:lineRule="auto"/>
      </w:pPr>
      <w:r>
        <w:t>La logique “parlementaire” dans l’Union européenne</w:t>
      </w:r>
    </w:p>
    <w:p w:rsidR="005E5380" w:rsidRDefault="005E5380" w:rsidP="0030177E">
      <w:pPr>
        <w:spacing w:line="276" w:lineRule="auto"/>
      </w:pPr>
      <w:r>
        <w:t>La démocratie dans l’Union européenne</w:t>
      </w:r>
    </w:p>
    <w:p w:rsidR="005E5380" w:rsidRDefault="005E5380" w:rsidP="0030177E">
      <w:pPr>
        <w:spacing w:line="276" w:lineRule="auto"/>
      </w:pPr>
      <w:r>
        <w:t>Les catégories de compétences de l’Union : exclusive, partagée, complémentaire</w:t>
      </w:r>
    </w:p>
    <w:p w:rsidR="005E5380" w:rsidRDefault="005E5380" w:rsidP="0030177E">
      <w:pPr>
        <w:spacing w:line="276" w:lineRule="auto"/>
      </w:pPr>
      <w:r>
        <w:t>Les principes de subsidiarité et de proportionnalité au titre des compétences de l’Union européenne</w:t>
      </w:r>
    </w:p>
    <w:p w:rsidR="005E5380" w:rsidRDefault="005E5380" w:rsidP="0030177E">
      <w:pPr>
        <w:spacing w:line="276" w:lineRule="auto"/>
      </w:pPr>
      <w:r>
        <w:t>Le contentieux de la base légale</w:t>
      </w:r>
    </w:p>
    <w:p w:rsidR="005E5380" w:rsidRDefault="005E5380" w:rsidP="0030177E">
      <w:pPr>
        <w:spacing w:line="276" w:lineRule="auto"/>
      </w:pPr>
      <w:r>
        <w:t>La révision des traités européens</w:t>
      </w:r>
    </w:p>
    <w:p w:rsidR="005E5380" w:rsidRDefault="005E5380" w:rsidP="0030177E">
      <w:pPr>
        <w:spacing w:line="276" w:lineRule="auto"/>
      </w:pPr>
      <w:r>
        <w:t>L’entrave à la libre circulation des marchandises, des personnes, des services et des capitaux</w:t>
      </w:r>
    </w:p>
    <w:p w:rsidR="005E5380" w:rsidRDefault="005E5380" w:rsidP="0030177E">
      <w:pPr>
        <w:spacing w:line="276" w:lineRule="auto"/>
      </w:pPr>
      <w:r>
        <w:t xml:space="preserve">L’encadrement de la libre circulation </w:t>
      </w:r>
      <w:r>
        <w:t>des marchandises, des personnes, des services et des capitaux</w:t>
      </w:r>
    </w:p>
    <w:p w:rsidR="005E5380" w:rsidRDefault="005E5380" w:rsidP="0030177E">
      <w:pPr>
        <w:spacing w:line="276" w:lineRule="auto"/>
      </w:pPr>
      <w:r>
        <w:t>Les pratiques anti-concurrentielles : l’entente et l’abus de position dominante</w:t>
      </w:r>
    </w:p>
    <w:p w:rsidR="005E5380" w:rsidRDefault="005E5380" w:rsidP="0030177E">
      <w:pPr>
        <w:spacing w:line="276" w:lineRule="auto"/>
      </w:pPr>
      <w:r>
        <w:t>La définition d’une aide d’État</w:t>
      </w:r>
    </w:p>
    <w:p w:rsidR="005E5380" w:rsidRDefault="005E5380" w:rsidP="0030177E">
      <w:pPr>
        <w:spacing w:line="276" w:lineRule="auto"/>
      </w:pPr>
      <w:r>
        <w:t>La compatibilité d’une aide d’État au marché intérieur</w:t>
      </w:r>
    </w:p>
    <w:p w:rsidR="0030177E" w:rsidRDefault="0030177E" w:rsidP="0030177E">
      <w:pPr>
        <w:spacing w:line="276" w:lineRule="auto"/>
      </w:pPr>
    </w:p>
    <w:p w:rsidR="00EC24DA" w:rsidRPr="00EC24DA" w:rsidRDefault="00EC24DA" w:rsidP="0030177E">
      <w:pPr>
        <w:spacing w:line="276" w:lineRule="auto"/>
        <w:rPr>
          <w:bCs w:val="0"/>
          <w:szCs w:val="24"/>
        </w:rPr>
      </w:pPr>
    </w:p>
    <w:p w:rsidR="00C63364" w:rsidRDefault="00C63364" w:rsidP="0030177E">
      <w:pPr>
        <w:spacing w:line="276" w:lineRule="auto"/>
        <w:rPr>
          <w:b/>
          <w:szCs w:val="24"/>
        </w:rPr>
      </w:pPr>
    </w:p>
    <w:p w:rsidR="00C63364" w:rsidRDefault="00C63364" w:rsidP="0030177E">
      <w:pPr>
        <w:spacing w:line="276" w:lineRule="auto"/>
        <w:rPr>
          <w:b/>
          <w:szCs w:val="24"/>
        </w:rPr>
      </w:pPr>
    </w:p>
    <w:p w:rsidR="00C63364" w:rsidRDefault="00C63364" w:rsidP="0030177E">
      <w:pPr>
        <w:spacing w:line="276" w:lineRule="auto"/>
        <w:rPr>
          <w:b/>
          <w:szCs w:val="24"/>
        </w:rPr>
      </w:pPr>
    </w:p>
    <w:p w:rsidR="00510B2C" w:rsidRPr="000550E6" w:rsidRDefault="00510B2C" w:rsidP="0030177E">
      <w:pPr>
        <w:spacing w:line="276" w:lineRule="auto"/>
        <w:rPr>
          <w:b/>
          <w:szCs w:val="24"/>
        </w:rPr>
      </w:pPr>
    </w:p>
    <w:sectPr w:rsidR="00510B2C" w:rsidRPr="000550E6">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2"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doNotDisplayPageBoundaries/>
  <w:proofState w:spelling="clean" w:grammar="clean"/>
  <w:attachedTemplate r:id="rId1"/>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63364"/>
    <w:rsid w:val="000550E6"/>
    <w:rsid w:val="00075C1F"/>
    <w:rsid w:val="002628AC"/>
    <w:rsid w:val="0030177E"/>
    <w:rsid w:val="0042232D"/>
    <w:rsid w:val="00510B2C"/>
    <w:rsid w:val="005D278F"/>
    <w:rsid w:val="005E5380"/>
    <w:rsid w:val="006633B9"/>
    <w:rsid w:val="00741213"/>
    <w:rsid w:val="008123C6"/>
    <w:rsid w:val="0087287D"/>
    <w:rsid w:val="00874891"/>
    <w:rsid w:val="0088528D"/>
    <w:rsid w:val="009336EA"/>
    <w:rsid w:val="009A07B1"/>
    <w:rsid w:val="009F0AB6"/>
    <w:rsid w:val="009F45B7"/>
    <w:rsid w:val="00A25290"/>
    <w:rsid w:val="00AA652B"/>
    <w:rsid w:val="00B371D8"/>
    <w:rsid w:val="00C63364"/>
    <w:rsid w:val="00CF67D2"/>
    <w:rsid w:val="00DA67A3"/>
    <w:rsid w:val="00E824FD"/>
    <w:rsid w:val="00EC24DA"/>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ecimalSymbol w:val=","/>
  <w:listSeparator w:val=";"/>
  <w14:docId w14:val="56603356"/>
  <w15:chartTrackingRefBased/>
  <w15:docId w15:val="{CF6224E9-55D1-0749-95AA-DB3932AF96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fr-FR"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336EA"/>
    <w:pPr>
      <w:spacing w:before="120" w:after="120" w:line="360" w:lineRule="auto"/>
      <w:jc w:val="both"/>
    </w:pPr>
    <w:rPr>
      <w:rFonts w:ascii="Garamond" w:hAnsi="Garamond" w:cs="Times New Roman"/>
      <w:bCs/>
      <w:iCs/>
      <w:spacing w:val="6"/>
      <w:kern w:val="0"/>
      <w:szCs w:val="26"/>
      <w14:ligatures w14:val="none"/>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M3">
    <w:name w:val="toc 3"/>
    <w:basedOn w:val="Normal"/>
    <w:next w:val="Normal"/>
    <w:autoRedefine/>
    <w:uiPriority w:val="39"/>
    <w:unhideWhenUsed/>
    <w:rsid w:val="009336EA"/>
    <w:pPr>
      <w:tabs>
        <w:tab w:val="right" w:leader="dot" w:pos="9056"/>
      </w:tabs>
      <w:spacing w:before="0" w:after="0"/>
      <w:ind w:left="240"/>
      <w:jc w:val="left"/>
    </w:pPr>
    <w:rPr>
      <w:rFonts w:cstheme="minorHAnsi"/>
      <w:b/>
      <w:i/>
      <w:noProof/>
      <w:szCs w:val="24"/>
    </w:rPr>
  </w:style>
  <w:style w:type="paragraph" w:styleId="TM4">
    <w:name w:val="toc 4"/>
    <w:basedOn w:val="Normal"/>
    <w:next w:val="Normal"/>
    <w:autoRedefine/>
    <w:uiPriority w:val="39"/>
    <w:unhideWhenUsed/>
    <w:rsid w:val="009336EA"/>
    <w:pPr>
      <w:tabs>
        <w:tab w:val="right" w:leader="dot" w:pos="9056"/>
      </w:tabs>
      <w:spacing w:before="0" w:after="0"/>
      <w:ind w:left="480"/>
      <w:jc w:val="left"/>
    </w:pPr>
    <w:rPr>
      <w:rFonts w:cstheme="minorHAnsi"/>
      <w:b/>
      <w:iCs w:val="0"/>
      <w:noProof/>
      <w:szCs w:val="24"/>
    </w:rPr>
  </w:style>
  <w:style w:type="paragraph" w:styleId="TM1">
    <w:name w:val="toc 1"/>
    <w:basedOn w:val="Normal"/>
    <w:next w:val="Normal"/>
    <w:autoRedefine/>
    <w:uiPriority w:val="39"/>
    <w:unhideWhenUsed/>
    <w:rsid w:val="009336EA"/>
    <w:pPr>
      <w:spacing w:before="360" w:after="0"/>
      <w:jc w:val="left"/>
    </w:pPr>
    <w:rPr>
      <w:rFonts w:asciiTheme="majorHAnsi" w:hAnsiTheme="majorHAnsi" w:cstheme="majorHAnsi"/>
      <w:b/>
      <w:iCs w:val="0"/>
      <w:caps/>
      <w:szCs w:val="24"/>
    </w:rPr>
  </w:style>
  <w:style w:type="paragraph" w:styleId="TM5">
    <w:name w:val="toc 5"/>
    <w:basedOn w:val="Normal"/>
    <w:next w:val="Normal"/>
    <w:autoRedefine/>
    <w:uiPriority w:val="39"/>
    <w:unhideWhenUsed/>
    <w:rsid w:val="009336EA"/>
    <w:pPr>
      <w:tabs>
        <w:tab w:val="right" w:leader="dot" w:pos="9056"/>
      </w:tabs>
      <w:spacing w:before="0" w:after="0"/>
      <w:ind w:left="720"/>
      <w:jc w:val="left"/>
    </w:pPr>
    <w:rPr>
      <w:rFonts w:cstheme="minorHAnsi"/>
      <w:bCs w:val="0"/>
      <w:i/>
      <w:noProof/>
      <w:szCs w:val="24"/>
    </w:rPr>
  </w:style>
  <w:style w:type="paragraph" w:styleId="TM6">
    <w:name w:val="toc 6"/>
    <w:basedOn w:val="Normal"/>
    <w:next w:val="Normal"/>
    <w:autoRedefine/>
    <w:uiPriority w:val="39"/>
    <w:unhideWhenUsed/>
    <w:rsid w:val="009336EA"/>
    <w:pPr>
      <w:tabs>
        <w:tab w:val="left" w:pos="1440"/>
        <w:tab w:val="right" w:leader="dot" w:pos="9056"/>
      </w:tabs>
      <w:spacing w:before="0" w:after="0"/>
      <w:ind w:left="960"/>
      <w:jc w:val="left"/>
    </w:pPr>
    <w:rPr>
      <w:rFonts w:cstheme="minorHAnsi"/>
      <w:bCs w:val="0"/>
      <w:iCs w:val="0"/>
      <w:noProof/>
      <w:szCs w:val="24"/>
      <w:u w:val="single"/>
    </w:rPr>
  </w:style>
  <w:style w:type="paragraph" w:styleId="TM7">
    <w:name w:val="toc 7"/>
    <w:basedOn w:val="Normal"/>
    <w:next w:val="Normal"/>
    <w:autoRedefine/>
    <w:uiPriority w:val="39"/>
    <w:unhideWhenUsed/>
    <w:rsid w:val="009336EA"/>
    <w:pPr>
      <w:spacing w:before="0" w:after="0"/>
      <w:ind w:left="1200"/>
      <w:jc w:val="left"/>
    </w:pPr>
    <w:rPr>
      <w:rFonts w:asciiTheme="minorHAnsi" w:hAnsiTheme="minorHAnsi" w:cstheme="minorHAnsi"/>
      <w:bCs w:val="0"/>
      <w:iCs w:val="0"/>
      <w:sz w:val="20"/>
      <w:szCs w:val="20"/>
    </w:rPr>
  </w:style>
  <w:style w:type="paragraph" w:styleId="TM8">
    <w:name w:val="toc 8"/>
    <w:basedOn w:val="Normal"/>
    <w:next w:val="Normal"/>
    <w:autoRedefine/>
    <w:uiPriority w:val="39"/>
    <w:unhideWhenUsed/>
    <w:rsid w:val="009336EA"/>
    <w:pPr>
      <w:spacing w:before="0" w:after="0"/>
      <w:ind w:left="1440"/>
      <w:jc w:val="left"/>
    </w:pPr>
    <w:rPr>
      <w:rFonts w:asciiTheme="minorHAnsi" w:hAnsiTheme="minorHAnsi" w:cstheme="minorHAnsi"/>
      <w:bCs w:val="0"/>
      <w:iCs w:val="0"/>
      <w:sz w:val="20"/>
      <w:szCs w:val="20"/>
    </w:rPr>
  </w:style>
  <w:style w:type="paragraph" w:styleId="TM9">
    <w:name w:val="toc 9"/>
    <w:basedOn w:val="Normal"/>
    <w:next w:val="Normal"/>
    <w:autoRedefine/>
    <w:uiPriority w:val="39"/>
    <w:unhideWhenUsed/>
    <w:rsid w:val="009336EA"/>
    <w:pPr>
      <w:spacing w:before="0" w:after="0"/>
      <w:ind w:left="1680"/>
      <w:jc w:val="left"/>
    </w:pPr>
    <w:rPr>
      <w:rFonts w:asciiTheme="minorHAnsi" w:hAnsiTheme="minorHAnsi" w:cstheme="minorHAnsi"/>
      <w:bCs w:val="0"/>
      <w:iCs w:val="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Utilisateur/Library/Group%20Containers/UBF8T346G9.Office/User%20Content.localized/Templates.localized/Biblio%20et%20plan.dotx"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Biblio et plan.dotx</Template>
  <TotalTime>27</TotalTime>
  <Pages>3</Pages>
  <Words>883</Words>
  <Characters>4861</Characters>
  <Application>Microsoft Office Word</Application>
  <DocSecurity>0</DocSecurity>
  <Lines>40</Lines>
  <Paragraphs>11</Paragraphs>
  <ScaleCrop>false</ScaleCrop>
  <Company/>
  <LinksUpToDate>false</LinksUpToDate>
  <CharactersWithSpaces>5733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9</cp:revision>
  <cp:lastPrinted>2024-02-26T14:46:00Z</cp:lastPrinted>
  <dcterms:created xsi:type="dcterms:W3CDTF">2025-10-24T09:18:00Z</dcterms:created>
  <dcterms:modified xsi:type="dcterms:W3CDTF">2025-12-09T15:47:00Z</dcterms:modified>
</cp:coreProperties>
</file>