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3C6" w:rsidRPr="000550E6" w:rsidRDefault="008123C6" w:rsidP="009336EA">
      <w:pPr>
        <w:spacing w:line="240" w:lineRule="auto"/>
        <w:jc w:val="center"/>
        <w:rPr>
          <w:szCs w:val="24"/>
        </w:rPr>
      </w:pPr>
      <w:r w:rsidRPr="000550E6">
        <w:rPr>
          <w:noProof/>
          <w:sz w:val="20"/>
        </w:rPr>
        <w:drawing>
          <wp:inline distT="0" distB="0" distL="0" distR="0" wp14:anchorId="59528D95" wp14:editId="4F0E72BB">
            <wp:extent cx="2688197" cy="1215390"/>
            <wp:effectExtent l="0" t="0" r="0" b="0"/>
            <wp:docPr id="1" name="image1.jpeg" descr="I:\Cours\Paris 1\Logo_UnivSorbonne_EcoleDroit_2015022610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197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C6" w:rsidRPr="000550E6" w:rsidRDefault="008123C6" w:rsidP="009336EA">
      <w:pPr>
        <w:spacing w:line="240" w:lineRule="auto"/>
        <w:jc w:val="center"/>
        <w:rPr>
          <w:sz w:val="28"/>
          <w:szCs w:val="28"/>
        </w:rPr>
      </w:pPr>
    </w:p>
    <w:p w:rsidR="007E5074" w:rsidRPr="000550E6" w:rsidRDefault="007E5074" w:rsidP="007E5074">
      <w:pPr>
        <w:spacing w:line="276" w:lineRule="auto"/>
        <w:jc w:val="center"/>
        <w:rPr>
          <w:szCs w:val="24"/>
        </w:rPr>
      </w:pPr>
      <w:r w:rsidRPr="000550E6">
        <w:rPr>
          <w:noProof/>
          <w:sz w:val="20"/>
        </w:rPr>
        <w:drawing>
          <wp:inline distT="0" distB="0" distL="0" distR="0" wp14:anchorId="666A4F79" wp14:editId="1777B911">
            <wp:extent cx="2688197" cy="1215390"/>
            <wp:effectExtent l="0" t="0" r="0" b="0"/>
            <wp:docPr id="1481032841" name="image1.jpeg" descr="I:\Cours\Paris 1\Logo_UnivSorbonne_EcoleDroit_2015022610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197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074" w:rsidRPr="000550E6" w:rsidRDefault="007E5074" w:rsidP="007E5074">
      <w:pPr>
        <w:spacing w:line="276" w:lineRule="auto"/>
        <w:jc w:val="center"/>
        <w:rPr>
          <w:sz w:val="28"/>
          <w:szCs w:val="28"/>
        </w:rPr>
      </w:pPr>
    </w:p>
    <w:p w:rsidR="007E5074" w:rsidRPr="000550E6" w:rsidRDefault="007E5074" w:rsidP="007E507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2025/2026 – M1 Droit européen</w:t>
      </w:r>
    </w:p>
    <w:p w:rsidR="007E5074" w:rsidRPr="000550E6" w:rsidRDefault="007E5074" w:rsidP="007E5074">
      <w:pPr>
        <w:spacing w:line="276" w:lineRule="auto"/>
        <w:jc w:val="center"/>
        <w:rPr>
          <w:szCs w:val="24"/>
        </w:rPr>
      </w:pPr>
    </w:p>
    <w:p w:rsidR="007E5074" w:rsidRDefault="007E5074" w:rsidP="007E5074">
      <w:pPr>
        <w:spacing w:line="276" w:lineRule="auto"/>
        <w:jc w:val="center"/>
        <w:rPr>
          <w:b/>
          <w:bCs w:val="0"/>
          <w:smallCaps/>
          <w:sz w:val="32"/>
          <w:szCs w:val="32"/>
        </w:rPr>
      </w:pPr>
      <w:r>
        <w:rPr>
          <w:b/>
          <w:bCs w:val="0"/>
          <w:smallCaps/>
          <w:sz w:val="32"/>
          <w:szCs w:val="32"/>
        </w:rPr>
        <w:t>Contentieux de l’Union européenne</w:t>
      </w:r>
    </w:p>
    <w:p w:rsidR="007E5074" w:rsidRPr="007E5074" w:rsidRDefault="007E5074" w:rsidP="007E5074">
      <w:pPr>
        <w:spacing w:line="276" w:lineRule="auto"/>
        <w:jc w:val="center"/>
        <w:rPr>
          <w:szCs w:val="24"/>
        </w:rPr>
      </w:pPr>
      <w:r w:rsidRPr="007E5074">
        <w:rPr>
          <w:szCs w:val="24"/>
        </w:rPr>
        <w:t>Louis FEILHES</w:t>
      </w:r>
    </w:p>
    <w:p w:rsidR="007E5074" w:rsidRPr="00EC24DA" w:rsidRDefault="007E5074" w:rsidP="007E5074">
      <w:pPr>
        <w:spacing w:line="276" w:lineRule="auto"/>
        <w:jc w:val="center"/>
        <w:rPr>
          <w:b/>
          <w:bCs w:val="0"/>
          <w:smallCaps/>
          <w:szCs w:val="24"/>
        </w:rPr>
      </w:pPr>
    </w:p>
    <w:p w:rsidR="007E5074" w:rsidRDefault="007E5074" w:rsidP="007E5074">
      <w:pPr>
        <w:spacing w:line="276" w:lineRule="auto"/>
        <w:jc w:val="center"/>
        <w:rPr>
          <w:szCs w:val="24"/>
          <w:u w:val="single"/>
        </w:rPr>
      </w:pPr>
      <w:r w:rsidRPr="00EC24DA">
        <w:rPr>
          <w:szCs w:val="24"/>
          <w:u w:val="single"/>
        </w:rPr>
        <w:t>Liste des sujets possibles à l’examen</w:t>
      </w:r>
    </w:p>
    <w:p w:rsidR="007E5074" w:rsidRDefault="007E5074" w:rsidP="007E5074">
      <w:pPr>
        <w:spacing w:line="276" w:lineRule="auto"/>
        <w:jc w:val="center"/>
        <w:rPr>
          <w:szCs w:val="24"/>
          <w:u w:val="single"/>
        </w:rPr>
      </w:pPr>
    </w:p>
    <w:p w:rsidR="00EE510F" w:rsidRPr="00EE510F" w:rsidRDefault="00EE510F" w:rsidP="00847D52">
      <w:pPr>
        <w:spacing w:line="276" w:lineRule="auto"/>
        <w:rPr>
          <w:bCs w:val="0"/>
          <w:sz w:val="26"/>
        </w:rPr>
      </w:pPr>
      <w:r w:rsidRPr="00EE510F">
        <w:rPr>
          <w:bCs w:val="0"/>
          <w:sz w:val="26"/>
        </w:rPr>
        <w:t xml:space="preserve">Les sources du droit </w:t>
      </w:r>
      <w:r>
        <w:rPr>
          <w:bCs w:val="0"/>
          <w:sz w:val="26"/>
        </w:rPr>
        <w:t>du contentieux de l’Union européenne</w:t>
      </w:r>
    </w:p>
    <w:p w:rsidR="00D4415E" w:rsidRPr="00EE510F" w:rsidRDefault="00D4415E" w:rsidP="00847D52">
      <w:pPr>
        <w:spacing w:line="276" w:lineRule="auto"/>
        <w:rPr>
          <w:sz w:val="26"/>
        </w:rPr>
      </w:pPr>
      <w:r w:rsidRPr="00EE510F">
        <w:rPr>
          <w:sz w:val="26"/>
        </w:rPr>
        <w:t>Le fonctionnement de la Cour de justice</w:t>
      </w:r>
    </w:p>
    <w:p w:rsidR="00D4415E" w:rsidRPr="00EE510F" w:rsidRDefault="00D4415E" w:rsidP="00847D52">
      <w:pPr>
        <w:spacing w:line="276" w:lineRule="auto"/>
        <w:rPr>
          <w:sz w:val="26"/>
        </w:rPr>
      </w:pPr>
      <w:r w:rsidRPr="00EE510F">
        <w:rPr>
          <w:sz w:val="26"/>
        </w:rPr>
        <w:t>Le fonctionnement du Tribunal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La nomination des juges de l’Union européenne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 juge de l’Union, juge constitutionnel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 juge de l’Union, juge administratif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 juge de l’Union, juge fédéral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 juge de l’Union, juge international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Les conditions générales de recevabilité de l’action en justice devant le juge de l’UE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 principe d’immutabilité du procès devant le juge de l’Union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Les langues devant le juge de l’Union</w:t>
      </w:r>
    </w:p>
    <w:p w:rsidR="00D4415E" w:rsidRDefault="00D4415E" w:rsidP="00D4415E">
      <w:pPr>
        <w:spacing w:line="276" w:lineRule="auto"/>
        <w:rPr>
          <w:sz w:val="26"/>
        </w:rPr>
      </w:pPr>
      <w:r>
        <w:rPr>
          <w:sz w:val="26"/>
        </w:rPr>
        <w:t>L’intervention devant le juge de l’Union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lastRenderedPageBreak/>
        <w:t>La phase écrite de la procédure contentieuse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La phase orale de la procédure contentieuse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La motivation des décisions de justice du juge de l’Union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Les dépens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La portée des décisions de justice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La procédure du pourvoi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La procédure d’interprétation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Les procédures d’opposition et de tierce-opposition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La révision</w:t>
      </w:r>
    </w:p>
    <w:p w:rsidR="00D4415E" w:rsidRDefault="00D4415E" w:rsidP="00847D52">
      <w:pPr>
        <w:spacing w:line="276" w:lineRule="auto"/>
        <w:rPr>
          <w:sz w:val="26"/>
        </w:rPr>
      </w:pPr>
      <w:r>
        <w:rPr>
          <w:sz w:val="26"/>
        </w:rPr>
        <w:t>Le réexamen</w:t>
      </w:r>
    </w:p>
    <w:p w:rsidR="00D4415E" w:rsidRDefault="00D4415E" w:rsidP="00847D52">
      <w:pPr>
        <w:spacing w:line="276" w:lineRule="auto"/>
        <w:rPr>
          <w:sz w:val="26"/>
        </w:rPr>
      </w:pPr>
    </w:p>
    <w:p w:rsidR="00D4415E" w:rsidRDefault="00D4415E" w:rsidP="00847D52">
      <w:pPr>
        <w:spacing w:line="276" w:lineRule="auto"/>
        <w:rPr>
          <w:sz w:val="26"/>
        </w:rPr>
      </w:pPr>
    </w:p>
    <w:p w:rsidR="00D4415E" w:rsidRPr="00D4415E" w:rsidRDefault="00D4415E" w:rsidP="00847D52">
      <w:pPr>
        <w:spacing w:line="276" w:lineRule="auto"/>
        <w:rPr>
          <w:sz w:val="26"/>
        </w:rPr>
      </w:pPr>
    </w:p>
    <w:p w:rsidR="00847D52" w:rsidRPr="000550E6" w:rsidRDefault="00847D52" w:rsidP="000550E6">
      <w:pPr>
        <w:rPr>
          <w:b/>
          <w:szCs w:val="24"/>
        </w:rPr>
      </w:pPr>
    </w:p>
    <w:sectPr w:rsidR="00847D52" w:rsidRPr="0005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74"/>
    <w:rsid w:val="000550E6"/>
    <w:rsid w:val="0042232D"/>
    <w:rsid w:val="00510B2C"/>
    <w:rsid w:val="00741213"/>
    <w:rsid w:val="007E5074"/>
    <w:rsid w:val="008123C6"/>
    <w:rsid w:val="00847D52"/>
    <w:rsid w:val="0087287D"/>
    <w:rsid w:val="00874891"/>
    <w:rsid w:val="0088528D"/>
    <w:rsid w:val="009336EA"/>
    <w:rsid w:val="009F0AB6"/>
    <w:rsid w:val="009F45B7"/>
    <w:rsid w:val="00B371D8"/>
    <w:rsid w:val="00BD606F"/>
    <w:rsid w:val="00CF67D2"/>
    <w:rsid w:val="00D4415E"/>
    <w:rsid w:val="00DA67A3"/>
    <w:rsid w:val="00E824FD"/>
    <w:rsid w:val="00E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04D97"/>
  <w15:chartTrackingRefBased/>
  <w15:docId w15:val="{478F1381-2C76-7344-A2A3-61423648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EA"/>
    <w:pPr>
      <w:spacing w:before="120" w:after="120" w:line="360" w:lineRule="auto"/>
      <w:jc w:val="both"/>
    </w:pPr>
    <w:rPr>
      <w:rFonts w:ascii="Garamond" w:hAnsi="Garamond" w:cs="Times New Roman"/>
      <w:bCs/>
      <w:iCs/>
      <w:spacing w:val="6"/>
      <w:kern w:val="0"/>
      <w:szCs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uiPriority w:val="39"/>
    <w:unhideWhenUsed/>
    <w:rsid w:val="009336EA"/>
    <w:pPr>
      <w:tabs>
        <w:tab w:val="right" w:leader="dot" w:pos="9056"/>
      </w:tabs>
      <w:spacing w:before="0" w:after="0"/>
      <w:ind w:left="240"/>
      <w:jc w:val="left"/>
    </w:pPr>
    <w:rPr>
      <w:rFonts w:cstheme="minorHAnsi"/>
      <w:b/>
      <w:i/>
      <w:noProof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9336EA"/>
    <w:pPr>
      <w:tabs>
        <w:tab w:val="right" w:leader="dot" w:pos="9056"/>
      </w:tabs>
      <w:spacing w:before="0" w:after="0"/>
      <w:ind w:left="480"/>
      <w:jc w:val="left"/>
    </w:pPr>
    <w:rPr>
      <w:rFonts w:cstheme="minorHAnsi"/>
      <w:b/>
      <w:iCs w:val="0"/>
      <w:noProof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9336EA"/>
    <w:pPr>
      <w:spacing w:before="360" w:after="0"/>
      <w:jc w:val="left"/>
    </w:pPr>
    <w:rPr>
      <w:rFonts w:asciiTheme="majorHAnsi" w:hAnsiTheme="majorHAnsi" w:cstheme="majorHAnsi"/>
      <w:b/>
      <w:iCs w:val="0"/>
      <w:caps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9336EA"/>
    <w:pPr>
      <w:tabs>
        <w:tab w:val="right" w:leader="dot" w:pos="9056"/>
      </w:tabs>
      <w:spacing w:before="0" w:after="0"/>
      <w:ind w:left="720"/>
      <w:jc w:val="left"/>
    </w:pPr>
    <w:rPr>
      <w:rFonts w:cstheme="minorHAnsi"/>
      <w:bCs w:val="0"/>
      <w:i/>
      <w:noProof/>
      <w:szCs w:val="24"/>
    </w:rPr>
  </w:style>
  <w:style w:type="paragraph" w:styleId="TM6">
    <w:name w:val="toc 6"/>
    <w:basedOn w:val="Normal"/>
    <w:next w:val="Normal"/>
    <w:autoRedefine/>
    <w:uiPriority w:val="39"/>
    <w:unhideWhenUsed/>
    <w:rsid w:val="009336EA"/>
    <w:pPr>
      <w:tabs>
        <w:tab w:val="left" w:pos="1440"/>
        <w:tab w:val="right" w:leader="dot" w:pos="9056"/>
      </w:tabs>
      <w:spacing w:before="0" w:after="0"/>
      <w:ind w:left="960"/>
      <w:jc w:val="left"/>
    </w:pPr>
    <w:rPr>
      <w:rFonts w:cstheme="minorHAnsi"/>
      <w:bCs w:val="0"/>
      <w:iCs w:val="0"/>
      <w:noProof/>
      <w:szCs w:val="24"/>
      <w:u w:val="single"/>
    </w:rPr>
  </w:style>
  <w:style w:type="paragraph" w:styleId="TM7">
    <w:name w:val="toc 7"/>
    <w:basedOn w:val="Normal"/>
    <w:next w:val="Normal"/>
    <w:autoRedefine/>
    <w:uiPriority w:val="39"/>
    <w:unhideWhenUsed/>
    <w:rsid w:val="009336EA"/>
    <w:pPr>
      <w:spacing w:before="0" w:after="0"/>
      <w:ind w:left="1200"/>
      <w:jc w:val="left"/>
    </w:pPr>
    <w:rPr>
      <w:rFonts w:asciiTheme="minorHAnsi" w:hAnsiTheme="minorHAnsi" w:cstheme="minorHAnsi"/>
      <w:bCs w:val="0"/>
      <w:iCs w:val="0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9336EA"/>
    <w:pPr>
      <w:spacing w:before="0" w:after="0"/>
      <w:ind w:left="1440"/>
      <w:jc w:val="left"/>
    </w:pPr>
    <w:rPr>
      <w:rFonts w:asciiTheme="minorHAnsi" w:hAnsiTheme="minorHAnsi" w:cstheme="minorHAnsi"/>
      <w:bCs w:val="0"/>
      <w:iCs w:val="0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9336EA"/>
    <w:pPr>
      <w:spacing w:before="0" w:after="0"/>
      <w:ind w:left="1680"/>
      <w:jc w:val="left"/>
    </w:pPr>
    <w:rPr>
      <w:rFonts w:asciiTheme="minorHAnsi" w:hAnsiTheme="minorHAnsi" w:cstheme="minorHAnsi"/>
      <w:bCs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tilisateur/Library/Group%20Containers/UBF8T346G9.Office/User%20Content.localized/Templates.localized/Biblio%20et%20pla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Biblio et plan.dotx</Template>
  <TotalTime>5</TotalTime>
  <Pages>2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2024-02-26T14:46:00Z</cp:lastPrinted>
  <dcterms:created xsi:type="dcterms:W3CDTF">2025-10-24T12:17:00Z</dcterms:created>
  <dcterms:modified xsi:type="dcterms:W3CDTF">2025-10-27T13:35:00Z</dcterms:modified>
</cp:coreProperties>
</file>