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spacing w:after="240" w:lineRule="auto"/>
        <w:jc w:val="center"/>
        <w:rPr/>
      </w:pPr>
      <w:bookmarkStart w:colFirst="0" w:colLast="0" w:name="_heading=h.gjdgxs" w:id="0"/>
      <w:bookmarkEnd w:id="0"/>
      <w:r w:rsidDel="00000000" w:rsidR="00000000" w:rsidRPr="00000000">
        <w:rPr>
          <w:rtl w:val="0"/>
        </w:rPr>
        <w:t xml:space="preserve">ED - étude de cas multiple: déroulé du cours</w:t>
      </w:r>
    </w:p>
    <w:p w:rsidR="00000000" w:rsidDel="00000000" w:rsidP="00000000" w:rsidRDefault="00000000" w:rsidRPr="00000000" w14:paraId="00000002">
      <w:pPr>
        <w:spacing w:after="240" w:lineRule="auto"/>
        <w:rPr/>
      </w:pP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t xml:space="preserve">5 groupes de 5 ou 6</w:t>
      </w:r>
    </w:p>
    <w:p w:rsidR="00000000" w:rsidDel="00000000" w:rsidP="00000000" w:rsidRDefault="00000000" w:rsidRPr="00000000" w14:paraId="00000004">
      <w:pPr>
        <w:numPr>
          <w:ilvl w:val="0"/>
          <w:numId w:val="1"/>
        </w:numPr>
        <w:spacing w:after="240" w:lineRule="auto"/>
        <w:ind w:left="720" w:hanging="360"/>
        <w:rPr/>
      </w:pPr>
      <w:r w:rsidDel="00000000" w:rsidR="00000000" w:rsidRPr="00000000">
        <w:rPr>
          <w:rtl w:val="0"/>
        </w:rPr>
        <w:t xml:space="preserve">Tous les étudiants: lire l’article de Eisenhardt 2021</w:t>
      </w:r>
    </w:p>
    <w:p w:rsidR="00000000" w:rsidDel="00000000" w:rsidP="00000000" w:rsidRDefault="00000000" w:rsidRPr="00000000" w14:paraId="00000005">
      <w:pPr>
        <w:spacing w:after="240" w:lineRule="auto"/>
        <w:ind w:left="425" w:hanging="425"/>
        <w:rPr/>
      </w:pPr>
      <w:r w:rsidDel="00000000" w:rsidR="00000000" w:rsidRPr="00000000">
        <w:rPr>
          <w:rtl w:val="0"/>
        </w:rPr>
        <w:t xml:space="preserve">Eisenhardt, K. M. (2021). What is the Eisenhardt Method, really? </w:t>
      </w:r>
      <w:r w:rsidDel="00000000" w:rsidR="00000000" w:rsidRPr="00000000">
        <w:rPr>
          <w:i w:val="1"/>
          <w:rtl w:val="0"/>
        </w:rPr>
        <w:t xml:space="preserve">Strategic Organization</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 147–160. https://doi.org/10.1177/1476127020982866</w:t>
      </w:r>
    </w:p>
    <w:p w:rsidR="00000000" w:rsidDel="00000000" w:rsidP="00000000" w:rsidRDefault="00000000" w:rsidRPr="00000000" w14:paraId="00000006">
      <w:pPr>
        <w:numPr>
          <w:ilvl w:val="0"/>
          <w:numId w:val="1"/>
        </w:numPr>
        <w:spacing w:after="240" w:lineRule="auto"/>
        <w:ind w:left="720" w:hanging="360"/>
        <w:rPr/>
      </w:pPr>
      <w:r w:rsidDel="00000000" w:rsidR="00000000" w:rsidRPr="00000000">
        <w:rPr>
          <w:rtl w:val="0"/>
        </w:rPr>
        <w:t xml:space="preserve">Étudiants de chaque groupe: lire en plus les articles du thème affecté à son groupe</w:t>
      </w:r>
    </w:p>
    <w:p w:rsidR="00000000" w:rsidDel="00000000" w:rsidP="00000000" w:rsidRDefault="00000000" w:rsidRPr="00000000" w14:paraId="00000007">
      <w:pPr>
        <w:spacing w:after="240" w:lineRule="auto"/>
        <w:ind w:left="720" w:firstLine="0"/>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240" w:before="240" w:lineRule="auto"/>
        <w:rPr>
          <w:b w:val="1"/>
        </w:rPr>
      </w:pPr>
      <w:r w:rsidDel="00000000" w:rsidR="00000000" w:rsidRPr="00000000">
        <w:rPr>
          <w:b w:val="1"/>
          <w:rtl w:val="0"/>
        </w:rPr>
        <w:t xml:space="preserve">Thème 1 -  La justification des cas et les unités de cas</w:t>
      </w:r>
    </w:p>
    <w:p w:rsidR="00000000" w:rsidDel="00000000" w:rsidP="00000000" w:rsidRDefault="00000000" w:rsidRPr="00000000" w14:paraId="00000009">
      <w:pPr>
        <w:rPr/>
      </w:pPr>
      <w:r w:rsidDel="00000000" w:rsidR="00000000" w:rsidRPr="00000000">
        <w:rPr>
          <w:b w:val="1"/>
          <w:u w:val="single"/>
          <w:rtl w:val="0"/>
        </w:rPr>
        <w:t xml:space="preserve">Questions:</w:t>
      </w:r>
      <w:r w:rsidDel="00000000" w:rsidR="00000000" w:rsidRPr="00000000">
        <w:rPr>
          <w:b w:val="1"/>
          <w:rtl w:val="0"/>
        </w:rPr>
        <w:t xml:space="preserve"> Qu’est-ce qu’un cas? Quand parle-t-on de cas multiple? Comment, sur quelles bases sélectionner les cas? Comment définir les unités de cas, et à quel moment du processus de recherche faut-il les définir?</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lineRule="auto"/>
        <w:ind w:left="425" w:hanging="425"/>
        <w:rPr/>
      </w:pPr>
      <w:r w:rsidDel="00000000" w:rsidR="00000000" w:rsidRPr="00000000">
        <w:rPr>
          <w:rtl w:val="0"/>
        </w:rPr>
        <w:t xml:space="preserve">Eisenhardt, K. M. (2021). What is the Eisenhardt Method, really? </w:t>
      </w:r>
      <w:r w:rsidDel="00000000" w:rsidR="00000000" w:rsidRPr="00000000">
        <w:rPr>
          <w:i w:val="1"/>
          <w:rtl w:val="0"/>
        </w:rPr>
        <w:t xml:space="preserve">Strategic Organization</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 147–160. https://doi.org/10.1177/1476127020982866</w:t>
      </w:r>
    </w:p>
    <w:p w:rsidR="00000000" w:rsidDel="00000000" w:rsidP="00000000" w:rsidRDefault="00000000" w:rsidRPr="00000000" w14:paraId="0000000C">
      <w:pPr>
        <w:ind w:left="425" w:hanging="425"/>
        <w:rPr/>
      </w:pPr>
      <w:r w:rsidDel="00000000" w:rsidR="00000000" w:rsidRPr="00000000">
        <w:rPr>
          <w:rtl w:val="0"/>
        </w:rPr>
        <w:t xml:space="preserve">Dumez, H. (2013). Qu’est-ce qu’un cas? </w:t>
      </w:r>
      <w:r w:rsidDel="00000000" w:rsidR="00000000" w:rsidRPr="00000000">
        <w:rPr>
          <w:i w:val="1"/>
          <w:rtl w:val="0"/>
        </w:rPr>
        <w:t xml:space="preserve">Le Libellio d’Aegis</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 13–26 (</w:t>
      </w:r>
      <w:hyperlink r:id="rId7">
        <w:r w:rsidDel="00000000" w:rsidR="00000000" w:rsidRPr="00000000">
          <w:rPr>
            <w:color w:val="1155cc"/>
            <w:u w:val="single"/>
            <w:rtl w:val="0"/>
          </w:rPr>
          <w:t xml:space="preserve">https://www.researchgate.net/publication/287170589_Qu%27est-ce_qu%27un_cas</w:t>
        </w:r>
      </w:hyperlink>
      <w:r w:rsidDel="00000000" w:rsidR="00000000" w:rsidRPr="00000000">
        <w:rPr>
          <w:rtl w:val="0"/>
        </w:rPr>
        <w:t xml:space="preserve">) repris dans le chapitre 11 de Dumez, H. (2021). </w:t>
      </w:r>
      <w:r w:rsidDel="00000000" w:rsidR="00000000" w:rsidRPr="00000000">
        <w:rPr>
          <w:i w:val="1"/>
          <w:rtl w:val="0"/>
        </w:rPr>
        <w:t xml:space="preserve">Méthodologie de la recherche qualitative: Toutes les questions clés de la démarche</w:t>
      </w:r>
      <w:r w:rsidDel="00000000" w:rsidR="00000000" w:rsidRPr="00000000">
        <w:rPr>
          <w:rtl w:val="0"/>
        </w:rPr>
        <w:t xml:space="preserve"> (3e édition). Vuibert.</w:t>
      </w:r>
    </w:p>
    <w:p w:rsidR="00000000" w:rsidDel="00000000" w:rsidP="00000000" w:rsidRDefault="00000000" w:rsidRPr="00000000" w14:paraId="0000000D">
      <w:pPr>
        <w:spacing w:after="240" w:before="240" w:lineRule="auto"/>
        <w:ind w:left="425" w:hanging="425"/>
        <w:rPr/>
      </w:pPr>
      <w:r w:rsidDel="00000000" w:rsidR="00000000" w:rsidRPr="00000000">
        <w:rPr>
          <w:rtl w:val="0"/>
        </w:rPr>
        <w:t xml:space="preserve">Ostertag, F., Hahn, R., &amp; Ince, I. (2021). Blended value co-creation: A qualitative investigation of relationship designs of social enterprises. </w:t>
      </w:r>
      <w:r w:rsidDel="00000000" w:rsidR="00000000" w:rsidRPr="00000000">
        <w:rPr>
          <w:i w:val="1"/>
          <w:rtl w:val="0"/>
        </w:rPr>
        <w:t xml:space="preserve">Journal of Business Research</w:t>
      </w:r>
      <w:r w:rsidDel="00000000" w:rsidR="00000000" w:rsidRPr="00000000">
        <w:rPr>
          <w:rtl w:val="0"/>
        </w:rPr>
        <w:t xml:space="preserve">, </w:t>
      </w:r>
      <w:r w:rsidDel="00000000" w:rsidR="00000000" w:rsidRPr="00000000">
        <w:rPr>
          <w:i w:val="1"/>
          <w:rtl w:val="0"/>
        </w:rPr>
        <w:t xml:space="preserve">129</w:t>
      </w:r>
      <w:r w:rsidDel="00000000" w:rsidR="00000000" w:rsidRPr="00000000">
        <w:rPr>
          <w:rtl w:val="0"/>
        </w:rPr>
        <w:t xml:space="preserve">, 428–445. </w:t>
      </w:r>
      <w:hyperlink r:id="rId8">
        <w:r w:rsidDel="00000000" w:rsidR="00000000" w:rsidRPr="00000000">
          <w:rPr>
            <w:color w:val="1155cc"/>
            <w:u w:val="single"/>
            <w:rtl w:val="0"/>
          </w:rPr>
          <w:t xml:space="preserve">https://doi.org/10.1016/j.jbusres.2021.02.006</w:t>
        </w:r>
      </w:hyperlink>
      <w:r w:rsidDel="00000000" w:rsidR="00000000" w:rsidRPr="00000000">
        <w:rPr>
          <w:rtl w:val="0"/>
        </w:rPr>
      </w:r>
    </w:p>
    <w:p w:rsidR="00000000" w:rsidDel="00000000" w:rsidP="00000000" w:rsidRDefault="00000000" w:rsidRPr="00000000" w14:paraId="0000000E">
      <w:pPr>
        <w:spacing w:after="240" w:before="240" w:lineRule="auto"/>
        <w:ind w:left="425" w:hanging="425"/>
        <w:rPr/>
      </w:pPr>
      <w:r w:rsidDel="00000000" w:rsidR="00000000" w:rsidRPr="00000000">
        <w:rPr>
          <w:rtl w:val="0"/>
        </w:rPr>
      </w:r>
    </w:p>
    <w:p w:rsidR="00000000" w:rsidDel="00000000" w:rsidP="00000000" w:rsidRDefault="00000000" w:rsidRPr="00000000" w14:paraId="0000000F">
      <w:pPr>
        <w:spacing w:after="240" w:before="240" w:lineRule="auto"/>
        <w:ind w:left="425" w:hanging="425"/>
        <w:rPr/>
      </w:pPr>
      <w:r w:rsidDel="00000000" w:rsidR="00000000" w:rsidRPr="00000000">
        <w:rPr>
          <w:rtl w:val="0"/>
        </w:rPr>
      </w:r>
    </w:p>
    <w:p w:rsidR="00000000" w:rsidDel="00000000" w:rsidP="00000000" w:rsidRDefault="00000000" w:rsidRPr="00000000" w14:paraId="00000010">
      <w:pPr>
        <w:spacing w:after="240" w:before="240" w:lineRule="auto"/>
        <w:ind w:left="425" w:hanging="425"/>
        <w:rPr/>
      </w:pPr>
      <w:r w:rsidDel="00000000" w:rsidR="00000000" w:rsidRPr="00000000">
        <w:rPr>
          <w:rtl w:val="0"/>
        </w:rPr>
      </w:r>
    </w:p>
    <w:p w:rsidR="00000000" w:rsidDel="00000000" w:rsidP="00000000" w:rsidRDefault="00000000" w:rsidRPr="00000000" w14:paraId="00000011">
      <w:pPr>
        <w:spacing w:after="240" w:before="240" w:lineRule="auto"/>
        <w:ind w:left="425" w:hanging="425"/>
        <w:rPr/>
      </w:pPr>
      <w:r w:rsidDel="00000000" w:rsidR="00000000" w:rsidRPr="00000000">
        <w:rPr>
          <w:rtl w:val="0"/>
        </w:rPr>
      </w:r>
    </w:p>
    <w:p w:rsidR="00000000" w:rsidDel="00000000" w:rsidP="00000000" w:rsidRDefault="00000000" w:rsidRPr="00000000" w14:paraId="00000012">
      <w:pPr>
        <w:spacing w:after="240" w:before="240" w:lineRule="auto"/>
        <w:ind w:left="425" w:hanging="425"/>
        <w:rPr/>
      </w:pPr>
      <w:r w:rsidDel="00000000" w:rsidR="00000000" w:rsidRPr="00000000">
        <w:rPr>
          <w:rtl w:val="0"/>
        </w:rPr>
      </w:r>
    </w:p>
    <w:p w:rsidR="00000000" w:rsidDel="00000000" w:rsidP="00000000" w:rsidRDefault="00000000" w:rsidRPr="00000000" w14:paraId="00000013">
      <w:pPr>
        <w:spacing w:after="240" w:before="240" w:lineRule="auto"/>
        <w:ind w:left="425" w:hanging="425"/>
        <w:rPr/>
      </w:pPr>
      <w:r w:rsidDel="00000000" w:rsidR="00000000" w:rsidRPr="00000000">
        <w:rPr>
          <w:rtl w:val="0"/>
        </w:rPr>
      </w:r>
    </w:p>
    <w:p w:rsidR="00000000" w:rsidDel="00000000" w:rsidP="00000000" w:rsidRDefault="00000000" w:rsidRPr="00000000" w14:paraId="00000014">
      <w:pPr>
        <w:spacing w:after="240" w:before="240" w:lineRule="auto"/>
        <w:ind w:left="425" w:hanging="425"/>
        <w:rPr/>
      </w:pPr>
      <w:r w:rsidDel="00000000" w:rsidR="00000000" w:rsidRPr="00000000">
        <w:rPr>
          <w:rtl w:val="0"/>
        </w:rPr>
      </w:r>
    </w:p>
    <w:p w:rsidR="00000000" w:rsidDel="00000000" w:rsidP="00000000" w:rsidRDefault="00000000" w:rsidRPr="00000000" w14:paraId="00000015">
      <w:pPr>
        <w:spacing w:after="240" w:before="240" w:lineRule="auto"/>
        <w:ind w:left="425" w:hanging="425"/>
        <w:rPr/>
      </w:pPr>
      <w:r w:rsidDel="00000000" w:rsidR="00000000" w:rsidRPr="00000000">
        <w:rPr>
          <w:rtl w:val="0"/>
        </w:rPr>
      </w:r>
    </w:p>
    <w:p w:rsidR="00000000" w:rsidDel="00000000" w:rsidP="00000000" w:rsidRDefault="00000000" w:rsidRPr="00000000" w14:paraId="00000016">
      <w:pPr>
        <w:spacing w:after="240" w:before="240" w:lineRule="auto"/>
        <w:ind w:left="425" w:hanging="425"/>
        <w:rPr/>
      </w:pP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pacing w:after="240" w:before="240" w:lineRule="auto"/>
        <w:rPr>
          <w:b w:val="1"/>
        </w:rPr>
      </w:pPr>
      <w:r w:rsidDel="00000000" w:rsidR="00000000" w:rsidRPr="00000000">
        <w:rPr>
          <w:b w:val="1"/>
          <w:rtl w:val="0"/>
        </w:rPr>
        <w:t xml:space="preserve">Thème 2 -  La collecte de données dans une étude de cas multiple</w:t>
      </w:r>
    </w:p>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rPr>
      </w:pPr>
      <w:r w:rsidDel="00000000" w:rsidR="00000000" w:rsidRPr="00000000">
        <w:rPr>
          <w:b w:val="1"/>
          <w:u w:val="single"/>
          <w:rtl w:val="0"/>
        </w:rPr>
        <w:t xml:space="preserve">Questions:</w:t>
      </w:r>
      <w:r w:rsidDel="00000000" w:rsidR="00000000" w:rsidRPr="00000000">
        <w:rPr>
          <w:b w:val="1"/>
          <w:rtl w:val="0"/>
        </w:rPr>
        <w:t xml:space="preserve"> Dans une étude de cas multiple, quelles sont les sources de données les plus courantes? Pourquoi celles-là?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Les données sont-elles toujours qualitatives?</w:t>
      </w:r>
    </w:p>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Quel est l’intérêt d’avoir plusieurs sources de données? </w:t>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Quelles sont les principales difficultés que l’on peut rencontrer sur le terrain lors de la collecte, et comment y faire face? </w:t>
      </w:r>
    </w:p>
    <w:p w:rsidR="00000000" w:rsidDel="00000000" w:rsidP="00000000" w:rsidRDefault="00000000" w:rsidRPr="00000000" w14:paraId="0000001C">
      <w:pPr>
        <w:ind w:left="425" w:hanging="425"/>
        <w:rPr/>
      </w:pPr>
      <w:r w:rsidDel="00000000" w:rsidR="00000000" w:rsidRPr="00000000">
        <w:rPr>
          <w:rtl w:val="0"/>
        </w:rPr>
      </w:r>
    </w:p>
    <w:p w:rsidR="00000000" w:rsidDel="00000000" w:rsidP="00000000" w:rsidRDefault="00000000" w:rsidRPr="00000000" w14:paraId="0000001D">
      <w:pPr>
        <w:spacing w:after="240" w:lineRule="auto"/>
        <w:ind w:left="425" w:hanging="425"/>
        <w:rPr/>
      </w:pPr>
      <w:r w:rsidDel="00000000" w:rsidR="00000000" w:rsidRPr="00000000">
        <w:rPr>
          <w:rtl w:val="0"/>
        </w:rPr>
        <w:t xml:space="preserve">Eisenhardt, K. M. (2021). What is the Eisenhardt Method, really? </w:t>
      </w:r>
      <w:r w:rsidDel="00000000" w:rsidR="00000000" w:rsidRPr="00000000">
        <w:rPr>
          <w:i w:val="1"/>
          <w:rtl w:val="0"/>
        </w:rPr>
        <w:t xml:space="preserve">Strategic Organization</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 147–160. https://doi.org/10.1177/1476127020982866</w:t>
      </w:r>
    </w:p>
    <w:p w:rsidR="00000000" w:rsidDel="00000000" w:rsidP="00000000" w:rsidRDefault="00000000" w:rsidRPr="00000000" w14:paraId="0000001E">
      <w:pPr>
        <w:ind w:left="425" w:hanging="425"/>
        <w:rPr/>
      </w:pPr>
      <w:r w:rsidDel="00000000" w:rsidR="00000000" w:rsidRPr="00000000">
        <w:rPr>
          <w:rtl w:val="0"/>
        </w:rPr>
        <w:t xml:space="preserve">Nicolini, D. (2009). Zooming In and Out: Studying Practices by Switching Theoretical Lenses and Trailing Connections. </w:t>
      </w:r>
      <w:r w:rsidDel="00000000" w:rsidR="00000000" w:rsidRPr="00000000">
        <w:rPr>
          <w:i w:val="1"/>
          <w:rtl w:val="0"/>
        </w:rPr>
        <w:t xml:space="preserve">Organization Studies</w:t>
      </w:r>
      <w:r w:rsidDel="00000000" w:rsidR="00000000" w:rsidRPr="00000000">
        <w:rPr>
          <w:rtl w:val="0"/>
        </w:rPr>
        <w:t xml:space="preserve">, 30(12), 1391–1418. https://doi.org/10.1177/0170840609349875</w:t>
      </w:r>
    </w:p>
    <w:p w:rsidR="00000000" w:rsidDel="00000000" w:rsidP="00000000" w:rsidRDefault="00000000" w:rsidRPr="00000000" w14:paraId="0000001F">
      <w:pPr>
        <w:spacing w:after="240" w:before="240" w:lineRule="auto"/>
        <w:ind w:left="425" w:hanging="425"/>
        <w:rPr/>
      </w:pPr>
      <w:r w:rsidDel="00000000" w:rsidR="00000000" w:rsidRPr="00000000">
        <w:rPr>
          <w:rtl w:val="0"/>
        </w:rPr>
        <w:t xml:space="preserve">Ozcan, P., &amp; Eisenhardt, K. M. (2009). Origin of Alliance Portfolios: Entrepreneurs, Network Strategies, and Firm Performance. </w:t>
      </w:r>
      <w:r w:rsidDel="00000000" w:rsidR="00000000" w:rsidRPr="00000000">
        <w:rPr>
          <w:i w:val="1"/>
          <w:rtl w:val="0"/>
        </w:rPr>
        <w:t xml:space="preserve">Academy of Management Journal</w:t>
      </w:r>
      <w:r w:rsidDel="00000000" w:rsidR="00000000" w:rsidRPr="00000000">
        <w:rPr>
          <w:rtl w:val="0"/>
        </w:rPr>
        <w:t xml:space="preserve">, </w:t>
      </w:r>
      <w:r w:rsidDel="00000000" w:rsidR="00000000" w:rsidRPr="00000000">
        <w:rPr>
          <w:i w:val="1"/>
          <w:rtl w:val="0"/>
        </w:rPr>
        <w:t xml:space="preserve">52</w:t>
      </w:r>
      <w:r w:rsidDel="00000000" w:rsidR="00000000" w:rsidRPr="00000000">
        <w:rPr>
          <w:rtl w:val="0"/>
        </w:rPr>
        <w:t xml:space="preserve">(2), 246–279. </w:t>
      </w:r>
      <w:hyperlink r:id="rId9">
        <w:r w:rsidDel="00000000" w:rsidR="00000000" w:rsidRPr="00000000">
          <w:rPr>
            <w:color w:val="1155cc"/>
            <w:u w:val="single"/>
            <w:rtl w:val="0"/>
          </w:rPr>
          <w:t xml:space="preserve">https://doi.org/10.5465/amj.2009.37308021</w:t>
        </w:r>
      </w:hyperlink>
      <w:r w:rsidDel="00000000" w:rsidR="00000000" w:rsidRPr="00000000">
        <w:rPr>
          <w:rtl w:val="0"/>
        </w:rPr>
      </w:r>
    </w:p>
    <w:p w:rsidR="00000000" w:rsidDel="00000000" w:rsidP="00000000" w:rsidRDefault="00000000" w:rsidRPr="00000000" w14:paraId="00000020">
      <w:pPr>
        <w:spacing w:after="240" w:before="240" w:lineRule="auto"/>
        <w:ind w:left="360" w:firstLine="0"/>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spacing w:after="240" w:before="240" w:lineRule="auto"/>
        <w:rPr>
          <w:b w:val="1"/>
        </w:rPr>
      </w:pPr>
      <w:r w:rsidDel="00000000" w:rsidR="00000000" w:rsidRPr="00000000">
        <w:rPr>
          <w:b w:val="1"/>
          <w:rtl w:val="0"/>
        </w:rPr>
        <w:t xml:space="preserve">Thème 3 - L’analyse des données dans une étude de cas multiple</w:t>
      </w:r>
    </w:p>
    <w:p w:rsidR="00000000" w:rsidDel="00000000" w:rsidP="00000000" w:rsidRDefault="00000000" w:rsidRPr="00000000" w14:paraId="00000022">
      <w:pPr>
        <w:spacing w:after="240" w:lineRule="auto"/>
        <w:rPr>
          <w:b w:val="1"/>
        </w:rPr>
      </w:pPr>
      <w:r w:rsidDel="00000000" w:rsidR="00000000" w:rsidRPr="00000000">
        <w:rPr>
          <w:b w:val="1"/>
          <w:u w:val="single"/>
          <w:rtl w:val="0"/>
        </w:rPr>
        <w:t xml:space="preserve">Questions: </w:t>
      </w:r>
      <w:r w:rsidDel="00000000" w:rsidR="00000000" w:rsidRPr="00000000">
        <w:rPr>
          <w:b w:val="1"/>
          <w:rtl w:val="0"/>
        </w:rPr>
        <w:t xml:space="preserve">En quoi consiste l’analyse des données dans une étude de cas multiple? Quelle est la place des théories et des concepts dans l’analyse de données? Comment éviter le risque de circularité? Que veut-on dire par triangulation des données? Est-il possible de dégager une méthode d’analyse des données pour l’étude de cas multiple? </w:t>
      </w:r>
    </w:p>
    <w:p w:rsidR="00000000" w:rsidDel="00000000" w:rsidP="00000000" w:rsidRDefault="00000000" w:rsidRPr="00000000" w14:paraId="00000023">
      <w:pPr>
        <w:spacing w:after="240" w:lineRule="auto"/>
        <w:ind w:left="425" w:hanging="425"/>
        <w:rPr/>
      </w:pPr>
      <w:r w:rsidDel="00000000" w:rsidR="00000000" w:rsidRPr="00000000">
        <w:rPr>
          <w:rtl w:val="0"/>
        </w:rPr>
        <w:t xml:space="preserve">Eisenhardt, K. M. (2021). What is the Eisenhardt Method, really? </w:t>
      </w:r>
      <w:r w:rsidDel="00000000" w:rsidR="00000000" w:rsidRPr="00000000">
        <w:rPr>
          <w:i w:val="1"/>
          <w:rtl w:val="0"/>
        </w:rPr>
        <w:t xml:space="preserve">Strategic Organization</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 147–160. https://doi.org/10.1177/1476127020982866</w:t>
      </w:r>
    </w:p>
    <w:p w:rsidR="00000000" w:rsidDel="00000000" w:rsidP="00000000" w:rsidRDefault="00000000" w:rsidRPr="00000000" w14:paraId="00000024">
      <w:pPr>
        <w:spacing w:after="240" w:lineRule="auto"/>
        <w:ind w:left="425" w:hanging="425"/>
        <w:rPr/>
      </w:pPr>
      <w:r w:rsidDel="00000000" w:rsidR="00000000" w:rsidRPr="00000000">
        <w:rPr>
          <w:rtl w:val="0"/>
        </w:rPr>
        <w:t xml:space="preserve">Langley, A., &amp; Abdallah, C. (2011). Templates and turns in qualitative studies of strategy and management. </w:t>
      </w:r>
      <w:r w:rsidDel="00000000" w:rsidR="00000000" w:rsidRPr="00000000">
        <w:rPr>
          <w:i w:val="1"/>
          <w:rtl w:val="0"/>
        </w:rPr>
        <w:t xml:space="preserve">Research Methodology in Strategy and Management</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 201–235 (</w:t>
      </w:r>
      <w:hyperlink r:id="rId10">
        <w:r w:rsidDel="00000000" w:rsidR="00000000" w:rsidRPr="00000000">
          <w:rPr>
            <w:color w:val="1155cc"/>
            <w:u w:val="single"/>
            <w:rtl w:val="0"/>
          </w:rPr>
          <w:t xml:space="preserve">https://www.researchgate.net/publication/235313779_Templates_and_Turns_in_Qualitative_Studies_of_Strategy_and_Management</w:t>
        </w:r>
      </w:hyperlink>
      <w:r w:rsidDel="00000000" w:rsidR="00000000" w:rsidRPr="00000000">
        <w:rPr>
          <w:rtl w:val="0"/>
        </w:rPr>
        <w:t xml:space="preserve">). </w:t>
      </w:r>
    </w:p>
    <w:p w:rsidR="00000000" w:rsidDel="00000000" w:rsidP="00000000" w:rsidRDefault="00000000" w:rsidRPr="00000000" w14:paraId="00000025">
      <w:pPr>
        <w:spacing w:after="240" w:lineRule="auto"/>
        <w:ind w:left="425" w:hanging="425"/>
        <w:rPr/>
      </w:pPr>
      <w:r w:rsidDel="00000000" w:rsidR="00000000" w:rsidRPr="00000000">
        <w:rPr>
          <w:rtl w:val="0"/>
        </w:rPr>
        <w:t xml:space="preserve">Wright, A. L., Irving, G., &amp; Selvan Thevatas, K. (2021). Professional Values and Managerialist Practices: Values work by nurses in the emergency department. </w:t>
      </w:r>
      <w:r w:rsidDel="00000000" w:rsidR="00000000" w:rsidRPr="00000000">
        <w:rPr>
          <w:i w:val="1"/>
          <w:rtl w:val="0"/>
        </w:rPr>
        <w:t xml:space="preserve">Organization Studies</w:t>
      </w:r>
      <w:r w:rsidDel="00000000" w:rsidR="00000000" w:rsidRPr="00000000">
        <w:rPr>
          <w:rtl w:val="0"/>
        </w:rPr>
        <w:t xml:space="preserve">, </w:t>
      </w:r>
      <w:r w:rsidDel="00000000" w:rsidR="00000000" w:rsidRPr="00000000">
        <w:rPr>
          <w:i w:val="1"/>
          <w:rtl w:val="0"/>
        </w:rPr>
        <w:t xml:space="preserve">42</w:t>
      </w:r>
      <w:r w:rsidDel="00000000" w:rsidR="00000000" w:rsidRPr="00000000">
        <w:rPr>
          <w:rtl w:val="0"/>
        </w:rPr>
        <w:t xml:space="preserve">(9), 1435–1456. </w:t>
      </w:r>
      <w:hyperlink r:id="rId11">
        <w:r w:rsidDel="00000000" w:rsidR="00000000" w:rsidRPr="00000000">
          <w:rPr>
            <w:color w:val="1155cc"/>
            <w:u w:val="single"/>
            <w:rtl w:val="0"/>
          </w:rPr>
          <w:t xml:space="preserve">https://doi.org/10.1177/0170840620950079</w:t>
        </w:r>
      </w:hyperlink>
      <w:r w:rsidDel="00000000" w:rsidR="00000000" w:rsidRPr="00000000">
        <w:rPr>
          <w:rtl w:val="0"/>
        </w:rPr>
      </w:r>
    </w:p>
    <w:p w:rsidR="00000000" w:rsidDel="00000000" w:rsidP="00000000" w:rsidRDefault="00000000" w:rsidRPr="00000000" w14:paraId="00000026">
      <w:pPr>
        <w:spacing w:after="240" w:lineRule="auto"/>
        <w:ind w:left="425" w:hanging="425"/>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pacing w:after="240" w:before="240" w:lineRule="auto"/>
        <w:rPr>
          <w:b w:val="1"/>
        </w:rPr>
      </w:pPr>
      <w:r w:rsidDel="00000000" w:rsidR="00000000" w:rsidRPr="00000000">
        <w:rPr>
          <w:b w:val="1"/>
          <w:rtl w:val="0"/>
        </w:rPr>
        <w:t xml:space="preserve">Thème 4 - Les fondements épistémologiques de l’étude de cas multiple</w:t>
      </w:r>
    </w:p>
    <w:p w:rsidR="00000000" w:rsidDel="00000000" w:rsidP="00000000" w:rsidRDefault="00000000" w:rsidRPr="00000000" w14:paraId="00000028">
      <w:pPr>
        <w:spacing w:after="240" w:before="240" w:lineRule="auto"/>
        <w:rPr>
          <w:b w:val="1"/>
        </w:rPr>
      </w:pPr>
      <w:r w:rsidDel="00000000" w:rsidR="00000000" w:rsidRPr="00000000">
        <w:rPr>
          <w:b w:val="1"/>
          <w:u w:val="single"/>
          <w:rtl w:val="0"/>
        </w:rPr>
        <w:t xml:space="preserve">Questions:</w:t>
      </w:r>
      <w:r w:rsidDel="00000000" w:rsidR="00000000" w:rsidRPr="00000000">
        <w:rPr>
          <w:b w:val="1"/>
          <w:rtl w:val="0"/>
        </w:rPr>
        <w:t xml:space="preserve"> Quelle est la posture du chercheur dans l’étude de cas multiple? Quel rapport entretient-il avec le réel? Comment est produite la connaissance? Peut-on généraliser les résultats d’une étude de cas multiple alors même qu’elle apparaît comme contingente? </w:t>
      </w:r>
    </w:p>
    <w:p w:rsidR="00000000" w:rsidDel="00000000" w:rsidP="00000000" w:rsidRDefault="00000000" w:rsidRPr="00000000" w14:paraId="00000029">
      <w:pPr>
        <w:spacing w:after="240" w:lineRule="auto"/>
        <w:ind w:left="425" w:hanging="425"/>
        <w:rPr/>
      </w:pPr>
      <w:r w:rsidDel="00000000" w:rsidR="00000000" w:rsidRPr="00000000">
        <w:rPr>
          <w:rtl w:val="0"/>
        </w:rPr>
        <w:t xml:space="preserve">Eisenhardt, K. M. (2021). What is the Eisenhardt Method, really? </w:t>
      </w:r>
      <w:r w:rsidDel="00000000" w:rsidR="00000000" w:rsidRPr="00000000">
        <w:rPr>
          <w:i w:val="1"/>
          <w:rtl w:val="0"/>
        </w:rPr>
        <w:t xml:space="preserve">Strategic Organization</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 147–160. https://doi.org/10.1177/1476127020982866</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before="240" w:lineRule="auto"/>
        <w:ind w:left="360" w:hanging="360"/>
        <w:rPr/>
      </w:pPr>
      <w:r w:rsidDel="00000000" w:rsidR="00000000" w:rsidRPr="00000000">
        <w:rPr>
          <w:rtl w:val="0"/>
        </w:rPr>
        <w:t xml:space="preserve">Harrison, H., Birks, M., Franklin, R., &amp; Mills, J. (2017). Case Study Research: Foundations and Methodological Orientations. </w:t>
      </w:r>
      <w:r w:rsidDel="00000000" w:rsidR="00000000" w:rsidRPr="00000000">
        <w:rPr>
          <w:i w:val="1"/>
          <w:rtl w:val="0"/>
        </w:rPr>
        <w:t xml:space="preserve">Forum Qualitative Sozialforschung / Forum: Qualitative Social Research</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(1). </w:t>
      </w:r>
      <w:hyperlink r:id="rId12">
        <w:r w:rsidDel="00000000" w:rsidR="00000000" w:rsidRPr="00000000">
          <w:rPr>
            <w:color w:val="1155cc"/>
            <w:u w:val="single"/>
            <w:rtl w:val="0"/>
          </w:rPr>
          <w:t xml:space="preserve">https://doi.org/10.17169/fqs-18.1.2655</w:t>
        </w:r>
      </w:hyperlink>
      <w:r w:rsidDel="00000000" w:rsidR="00000000" w:rsidRPr="00000000">
        <w:rPr>
          <w:rtl w:val="0"/>
        </w:rPr>
      </w:r>
    </w:p>
    <w:p w:rsidR="00000000" w:rsidDel="00000000" w:rsidP="00000000" w:rsidRDefault="00000000" w:rsidRPr="00000000" w14:paraId="0000002B">
      <w:pPr>
        <w:ind w:left="425" w:hanging="425"/>
        <w:rPr/>
      </w:pPr>
      <w:r w:rsidDel="00000000" w:rsidR="00000000" w:rsidRPr="00000000">
        <w:rPr>
          <w:rtl w:val="0"/>
        </w:rPr>
        <w:t xml:space="preserve">Gehman J, Glaser VL, Eisenhardt KM, et al. (2018) Finding Theory–Method Fit: A Comparison of Three Qualitative Approaches to Theory Building. Journal of Management Inquiry 27(3): 284–300. DOI: 10.1177/1056492617706029.</w:t>
      </w:r>
    </w:p>
    <w:p w:rsidR="00000000" w:rsidDel="00000000" w:rsidP="00000000" w:rsidRDefault="00000000" w:rsidRPr="00000000" w14:paraId="0000002C">
      <w:pPr>
        <w:ind w:left="425" w:hanging="425"/>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after="240" w:before="240" w:lineRule="auto"/>
        <w:rPr>
          <w:b w:val="1"/>
        </w:rPr>
      </w:pPr>
      <w:r w:rsidDel="00000000" w:rsidR="00000000" w:rsidRPr="00000000">
        <w:rPr>
          <w:b w:val="1"/>
          <w:rtl w:val="0"/>
        </w:rPr>
        <w:t xml:space="preserve">Thème 5 - La validité de l’étude de cas multiple et la montée en théorie</w:t>
      </w:r>
    </w:p>
    <w:p w:rsidR="00000000" w:rsidDel="00000000" w:rsidP="00000000" w:rsidRDefault="00000000" w:rsidRPr="00000000" w14:paraId="0000002E">
      <w:pPr>
        <w:spacing w:after="240" w:lineRule="auto"/>
        <w:rPr>
          <w:b w:val="1"/>
        </w:rPr>
      </w:pPr>
      <w:r w:rsidDel="00000000" w:rsidR="00000000" w:rsidRPr="00000000">
        <w:rPr>
          <w:b w:val="1"/>
          <w:u w:val="single"/>
          <w:rtl w:val="0"/>
        </w:rPr>
        <w:t xml:space="preserve">Questions:</w:t>
      </w:r>
      <w:r w:rsidDel="00000000" w:rsidR="00000000" w:rsidRPr="00000000">
        <w:rPr>
          <w:b w:val="1"/>
          <w:rtl w:val="0"/>
        </w:rPr>
        <w:t xml:space="preserve"> Quels sont les critères de validité d’une étude de cas multiple? Comment passe-t-on des résultats à l’articulation d’une théorie? Quelle est la portée d’une théorie construite à partir d’une étude de cas multiple? A quelles conditions s’opère la généralisation?  </w:t>
      </w:r>
    </w:p>
    <w:p w:rsidR="00000000" w:rsidDel="00000000" w:rsidP="00000000" w:rsidRDefault="00000000" w:rsidRPr="00000000" w14:paraId="0000002F">
      <w:pPr>
        <w:spacing w:after="240" w:lineRule="auto"/>
        <w:ind w:left="425" w:hanging="425"/>
        <w:rPr/>
      </w:pPr>
      <w:bookmarkStart w:colFirst="0" w:colLast="0" w:name="_heading=h.30j0zll" w:id="1"/>
      <w:bookmarkEnd w:id="1"/>
      <w:r w:rsidDel="00000000" w:rsidR="00000000" w:rsidRPr="00000000">
        <w:rPr>
          <w:rtl w:val="0"/>
        </w:rPr>
        <w:t xml:space="preserve">Eisenhardt, K. M. (2021). What is the Eisenhardt Method, really? </w:t>
      </w:r>
      <w:r w:rsidDel="00000000" w:rsidR="00000000" w:rsidRPr="00000000">
        <w:rPr>
          <w:i w:val="1"/>
          <w:rtl w:val="0"/>
        </w:rPr>
        <w:t xml:space="preserve">Strategic Organization</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 147–160. https://doi.org/10.1177/1476127020982866</w:t>
      </w:r>
    </w:p>
    <w:p w:rsidR="00000000" w:rsidDel="00000000" w:rsidP="00000000" w:rsidRDefault="00000000" w:rsidRPr="00000000" w14:paraId="00000030">
      <w:pPr>
        <w:spacing w:after="240" w:lineRule="auto"/>
        <w:ind w:left="425" w:hanging="425"/>
        <w:rPr/>
      </w:pPr>
      <w:r w:rsidDel="00000000" w:rsidR="00000000" w:rsidRPr="00000000">
        <w:rPr>
          <w:rtl w:val="0"/>
        </w:rPr>
        <w:t xml:space="preserve">Gibbert, M., Ruigrok, W., &amp; Wicki, B. (2008). What passes as a rigorous case study? </w:t>
      </w:r>
      <w:r w:rsidDel="00000000" w:rsidR="00000000" w:rsidRPr="00000000">
        <w:rPr>
          <w:i w:val="1"/>
          <w:rtl w:val="0"/>
        </w:rPr>
        <w:t xml:space="preserve">Strategic Management Journal</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(13), 1465–1474. </w:t>
      </w:r>
      <w:hyperlink r:id="rId13">
        <w:r w:rsidDel="00000000" w:rsidR="00000000" w:rsidRPr="00000000">
          <w:rPr>
            <w:color w:val="1155cc"/>
            <w:u w:val="single"/>
            <w:rtl w:val="0"/>
          </w:rPr>
          <w:t xml:space="preserve">https://doi.org/10.1002/smj.722</w:t>
        </w:r>
      </w:hyperlink>
      <w:r w:rsidDel="00000000" w:rsidR="00000000" w:rsidRPr="00000000">
        <w:rPr>
          <w:rtl w:val="0"/>
        </w:rPr>
      </w:r>
    </w:p>
    <w:p w:rsidR="00000000" w:rsidDel="00000000" w:rsidP="00000000" w:rsidRDefault="00000000" w:rsidRPr="00000000" w14:paraId="00000031">
      <w:pPr>
        <w:spacing w:after="240" w:lineRule="auto"/>
        <w:ind w:left="425" w:hanging="425"/>
        <w:rPr/>
      </w:pPr>
      <w:r w:rsidDel="00000000" w:rsidR="00000000" w:rsidRPr="00000000">
        <w:rPr>
          <w:rtl w:val="0"/>
        </w:rPr>
        <w:t xml:space="preserve">Gioia, D. A., Corley, K. G., &amp; Hamilton, A. L. (2013). Seeking Qualitative Rigor in Inductive Research: Notes on the Gioia Methodology. </w:t>
      </w:r>
      <w:r w:rsidDel="00000000" w:rsidR="00000000" w:rsidRPr="00000000">
        <w:rPr>
          <w:i w:val="1"/>
          <w:rtl w:val="0"/>
        </w:rPr>
        <w:t xml:space="preserve">Organizational Research Methods</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(1), 15–31. https://doi.org/10.1177/1094428112452151</w:t>
      </w:r>
    </w:p>
    <w:p w:rsidR="00000000" w:rsidDel="00000000" w:rsidP="00000000" w:rsidRDefault="00000000" w:rsidRPr="00000000" w14:paraId="00000032">
      <w:pPr>
        <w:rPr>
          <w:sz w:val="26"/>
          <w:szCs w:val="26"/>
        </w:rPr>
      </w:pPr>
      <w:r w:rsidDel="00000000" w:rsidR="00000000" w:rsidRPr="00000000">
        <w:rPr>
          <w:rtl w:val="0"/>
        </w:rPr>
      </w:r>
    </w:p>
    <w:sectPr>
      <w:pgSz w:h="16834" w:w="11909"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itre1">
    <w:name w:val="heading 1"/>
    <w:basedOn w:val="Normal"/>
    <w:next w:val="Normal"/>
    <w:pPr>
      <w:keepNext w:val="1"/>
      <w:keepLines w:val="1"/>
      <w:spacing w:after="120" w:before="400"/>
      <w:outlineLvl w:val="0"/>
    </w:pPr>
    <w:rPr>
      <w:sz w:val="40"/>
      <w:szCs w:val="40"/>
    </w:rPr>
  </w:style>
  <w:style w:type="paragraph" w:styleId="Titre2">
    <w:name w:val="heading 2"/>
    <w:basedOn w:val="Normal"/>
    <w:next w:val="Normal"/>
    <w:pPr>
      <w:keepNext w:val="1"/>
      <w:keepLines w:val="1"/>
      <w:spacing w:after="120" w:before="360"/>
      <w:outlineLvl w:val="1"/>
    </w:pPr>
    <w:rPr>
      <w:sz w:val="32"/>
      <w:szCs w:val="32"/>
    </w:rPr>
  </w:style>
  <w:style w:type="paragraph" w:styleId="Titre3">
    <w:name w:val="heading 3"/>
    <w:basedOn w:val="Normal"/>
    <w:next w:val="Normal"/>
    <w:pPr>
      <w:keepNext w:val="1"/>
      <w:keepLines w:val="1"/>
      <w:spacing w:after="80" w:before="320"/>
      <w:outlineLvl w:val="2"/>
    </w:pPr>
    <w:rPr>
      <w:color w:val="434343"/>
      <w:sz w:val="28"/>
      <w:szCs w:val="28"/>
    </w:rPr>
  </w:style>
  <w:style w:type="paragraph" w:styleId="Titre4">
    <w:name w:val="heading 4"/>
    <w:basedOn w:val="Normal"/>
    <w:next w:val="Normal"/>
    <w:pPr>
      <w:keepNext w:val="1"/>
      <w:keepLines w:val="1"/>
      <w:spacing w:after="80" w:before="280"/>
      <w:outlineLvl w:val="3"/>
    </w:pPr>
    <w:rPr>
      <w:color w:val="666666"/>
      <w:sz w:val="24"/>
      <w:szCs w:val="24"/>
    </w:rPr>
  </w:style>
  <w:style w:type="paragraph" w:styleId="Titre5">
    <w:name w:val="heading 5"/>
    <w:basedOn w:val="Normal"/>
    <w:next w:val="Normal"/>
    <w:pPr>
      <w:keepNext w:val="1"/>
      <w:keepLines w:val="1"/>
      <w:spacing w:after="80" w:before="240"/>
      <w:outlineLvl w:val="4"/>
    </w:pPr>
    <w:rPr>
      <w:color w:val="666666"/>
    </w:rPr>
  </w:style>
  <w:style w:type="paragraph" w:styleId="Titre6">
    <w:name w:val="heading 6"/>
    <w:basedOn w:val="Normal"/>
    <w:next w:val="Normal"/>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60"/>
    </w:pPr>
    <w:rPr>
      <w:sz w:val="52"/>
      <w:szCs w:val="52"/>
    </w:rPr>
  </w:style>
  <w:style w:type="paragraph" w:styleId="Sous-titr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77/0170840620950079" TargetMode="External"/><Relationship Id="rId10" Type="http://schemas.openxmlformats.org/officeDocument/2006/relationships/hyperlink" Target="https://www.researchgate.net/publication/235313779_Templates_and_Turns_in_Qualitative_Studies_of_Strategy_and_Management" TargetMode="External"/><Relationship Id="rId13" Type="http://schemas.openxmlformats.org/officeDocument/2006/relationships/hyperlink" Target="https://doi.org/10.1002/smj.722" TargetMode="External"/><Relationship Id="rId12" Type="http://schemas.openxmlformats.org/officeDocument/2006/relationships/hyperlink" Target="https://doi.org/10.17169/fqs-18.1.265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5465/amj.2009.3730802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searchgate.net/publication/287170589_Qu%27est-ce_qu%27un_cas" TargetMode="External"/><Relationship Id="rId8" Type="http://schemas.openxmlformats.org/officeDocument/2006/relationships/hyperlink" Target="https://doi.org/10.1016/j.jbusres.2021.0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x9kZYMwyy1Xvl4U2kV3H9BGNrQ==">AMUW2mVYzIeGVBrMuo0e/MXQvxv9DCwqGDzVxMT0AWuK9t+Bv1OAawAYUFO4cAQaj53F1/S10F9v76sBob20nfCVvk9nBIwHG0E7cu9iINypFHdtx7vd59M5cSQ4INCtCIGWzXAvY6qC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2022-04-06T11:29:00Z</dcterms:created>
</cp:coreProperties>
</file>