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A4EB" w14:textId="2F8A0DF5" w:rsidR="00561A91" w:rsidRDefault="00D6157A">
      <w:r>
        <w:t xml:space="preserve">Fiche Chapitre 14, l’ère des extrêmes </w:t>
      </w:r>
      <w:proofErr w:type="spellStart"/>
      <w:r w:rsidR="00406C7C">
        <w:t>E.Hobsbawm</w:t>
      </w:r>
      <w:proofErr w:type="spellEnd"/>
    </w:p>
    <w:p w14:paraId="55B4035B" w14:textId="5B159C72" w:rsidR="00F56D94" w:rsidRDefault="001821C8">
      <w:r>
        <w:t xml:space="preserve">«  </w:t>
      </w:r>
      <w:r w:rsidR="00561A91">
        <w:t>L</w:t>
      </w:r>
      <w:r>
        <w:t>'état n'est pas la solution mais le problème. » Ronald Reagan</w:t>
      </w:r>
    </w:p>
    <w:p w14:paraId="3D51C155" w14:textId="05945140" w:rsidR="00D81FAD" w:rsidRDefault="00D81FAD">
      <w:r>
        <w:t xml:space="preserve">Alors que des gouvernements ultra-libéraux, comme </w:t>
      </w:r>
      <w:r w:rsidR="00CC07F3">
        <w:t xml:space="preserve">ceux de </w:t>
      </w:r>
      <w:r>
        <w:t xml:space="preserve">Ronald </w:t>
      </w:r>
      <w:r w:rsidR="00CC07F3">
        <w:t>R</w:t>
      </w:r>
      <w:r>
        <w:t xml:space="preserve">eagan, George </w:t>
      </w:r>
      <w:r w:rsidR="000436AD">
        <w:t xml:space="preserve">H.W </w:t>
      </w:r>
      <w:r>
        <w:t xml:space="preserve"> </w:t>
      </w:r>
      <w:r w:rsidR="000436AD">
        <w:t>B</w:t>
      </w:r>
      <w:r>
        <w:t>ush</w:t>
      </w:r>
      <w:r w:rsidR="000436AD">
        <w:t xml:space="preserve"> a</w:t>
      </w:r>
      <w:r>
        <w:t>ux États-Unis ou, la 1</w:t>
      </w:r>
      <w:r w:rsidRPr="00D81FAD">
        <w:rPr>
          <w:vertAlign w:val="superscript"/>
        </w:rPr>
        <w:t>re</w:t>
      </w:r>
      <w:r>
        <w:t xml:space="preserve"> ministre Margaret </w:t>
      </w:r>
      <w:r w:rsidR="000436AD">
        <w:t>Thatcher</w:t>
      </w:r>
      <w:r>
        <w:t xml:space="preserve"> et John Mayer en </w:t>
      </w:r>
      <w:r w:rsidR="0050580F">
        <w:t>Grande-Bretagne s'installent,</w:t>
      </w:r>
      <w:r w:rsidR="00B54752">
        <w:t xml:space="preserve"> l</w:t>
      </w:r>
      <w:r>
        <w:t>a stabilité de l</w:t>
      </w:r>
      <w:r w:rsidR="00B54752">
        <w:t>’économie mondial s</w:t>
      </w:r>
      <w:r>
        <w:t>’</w:t>
      </w:r>
      <w:r w:rsidR="00801265">
        <w:t>effondre</w:t>
      </w:r>
      <w:r w:rsidR="00D71D93">
        <w:t xml:space="preserve"> au point de devenir </w:t>
      </w:r>
      <w:r>
        <w:t>une</w:t>
      </w:r>
      <w:r w:rsidR="00DF7FEE">
        <w:t xml:space="preserve"> grande </w:t>
      </w:r>
      <w:r w:rsidR="00D71D93">
        <w:t>dépression, d</w:t>
      </w:r>
      <w:r>
        <w:t>ans les années</w:t>
      </w:r>
      <w:r w:rsidR="00D71D93">
        <w:t xml:space="preserve"> 19</w:t>
      </w:r>
      <w:r>
        <w:t xml:space="preserve">70 à </w:t>
      </w:r>
      <w:r w:rsidR="00D71D93">
        <w:t>19</w:t>
      </w:r>
      <w:r>
        <w:t>90.</w:t>
      </w:r>
      <w:r w:rsidR="00D71D93">
        <w:t xml:space="preserve"> </w:t>
      </w:r>
    </w:p>
    <w:p w14:paraId="538EC80E" w14:textId="31A1F368" w:rsidR="00B0503E" w:rsidRDefault="00DA6B75">
      <w:r>
        <w:t>LES CRISES PRINCIPALES</w:t>
      </w:r>
      <w:r w:rsidR="00E242FB">
        <w:t> :</w:t>
      </w:r>
    </w:p>
    <w:p w14:paraId="68F1BF39" w14:textId="2D497290" w:rsidR="00FF2751" w:rsidRDefault="00FF2751" w:rsidP="00E242FB">
      <w:pPr>
        <w:pStyle w:val="Paragraphedeliste"/>
        <w:numPr>
          <w:ilvl w:val="0"/>
          <w:numId w:val="1"/>
        </w:numPr>
      </w:pPr>
      <w:r>
        <w:t>Fin de l’âge d’or</w:t>
      </w:r>
      <w:r w:rsidR="009B4797">
        <w:t xml:space="preserve"> e</w:t>
      </w:r>
      <w:r>
        <w:t>ntre 1973 et 1975</w:t>
      </w:r>
      <w:r w:rsidR="00A60B2C">
        <w:t> :</w:t>
      </w:r>
      <w:r w:rsidR="00484801">
        <w:t xml:space="preserve"> </w:t>
      </w:r>
      <w:r>
        <w:t>la production industrielle mondiale </w:t>
      </w:r>
      <w:r w:rsidR="00484801">
        <w:t>diminue</w:t>
      </w:r>
      <w:r>
        <w:t xml:space="preserve"> de 10% en un an et le </w:t>
      </w:r>
      <w:r w:rsidR="00A92DE0">
        <w:t>commerce</w:t>
      </w:r>
      <w:r>
        <w:t xml:space="preserve"> </w:t>
      </w:r>
      <w:r w:rsidR="00A92DE0">
        <w:t>inter</w:t>
      </w:r>
      <w:r>
        <w:t>national de 13%.</w:t>
      </w:r>
    </w:p>
    <w:p w14:paraId="58FE8B06" w14:textId="1E4C336B" w:rsidR="00F31877" w:rsidRDefault="00F31877" w:rsidP="00E242FB">
      <w:pPr>
        <w:pStyle w:val="Paragraphedeliste"/>
        <w:numPr>
          <w:ilvl w:val="0"/>
          <w:numId w:val="1"/>
        </w:numPr>
      </w:pPr>
      <w:r>
        <w:t>Endettement des pays d’Amérique Latine</w:t>
      </w:r>
      <w:r w:rsidR="002C758F">
        <w:t> : a</w:t>
      </w:r>
      <w:r w:rsidR="000E495B">
        <w:t>u début des années 80</w:t>
      </w:r>
      <w:r w:rsidR="00C50B92">
        <w:t>, ils</w:t>
      </w:r>
      <w:r w:rsidR="000E495B">
        <w:t xml:space="preserve"> n</w:t>
      </w:r>
      <w:r w:rsidR="00C50B92">
        <w:t>e sont</w:t>
      </w:r>
      <w:r w:rsidR="000E495B">
        <w:t xml:space="preserve"> plus en état de payer. Le système bancaire occidental</w:t>
      </w:r>
      <w:r w:rsidR="00CC25CE">
        <w:t xml:space="preserve"> est </w:t>
      </w:r>
      <w:r w:rsidR="000E495B">
        <w:t xml:space="preserve">au bord du gouffre  </w:t>
      </w:r>
      <w:r w:rsidR="00CC25CE">
        <w:t>c</w:t>
      </w:r>
      <w:r w:rsidR="000E495B">
        <w:t>ar elle avait prêté avec</w:t>
      </w:r>
      <w:r w:rsidR="00081005">
        <w:t xml:space="preserve"> b</w:t>
      </w:r>
      <w:r w:rsidR="000E495B">
        <w:t>eaucoup de laxisme dans les années 1970</w:t>
      </w:r>
      <w:r w:rsidR="00081005">
        <w:t>.</w:t>
      </w:r>
      <w:r w:rsidR="000E495B">
        <w:t xml:space="preserve"> Les 3 géants latins</w:t>
      </w:r>
      <w:r w:rsidR="00081005">
        <w:t xml:space="preserve"> (</w:t>
      </w:r>
      <w:r w:rsidR="00816B86">
        <w:t xml:space="preserve">Mexique, Brésil, Argentine) </w:t>
      </w:r>
      <w:r w:rsidR="000E495B">
        <w:t xml:space="preserve">ont conclu un accord de </w:t>
      </w:r>
      <w:r w:rsidR="00F73DD8">
        <w:t>rééchelonnements</w:t>
      </w:r>
      <w:r w:rsidR="000E495B">
        <w:t xml:space="preserve"> de leur</w:t>
      </w:r>
      <w:r w:rsidR="00EA29A2">
        <w:t>s</w:t>
      </w:r>
      <w:r w:rsidR="000E495B">
        <w:t xml:space="preserve"> </w:t>
      </w:r>
      <w:r w:rsidR="00EA29A2">
        <w:t>dettes</w:t>
      </w:r>
      <w:r w:rsidR="000E495B">
        <w:t>. Les banques</w:t>
      </w:r>
      <w:r w:rsidR="00EA29A2">
        <w:t>,</w:t>
      </w:r>
      <w:r w:rsidR="000E495B">
        <w:t xml:space="preserve"> épaulées par les états et les organismes internationaux ont été autorisés à défalquer progressivement leurs mauvaises créances</w:t>
      </w:r>
      <w:r w:rsidR="00EA29A2">
        <w:t>.</w:t>
      </w:r>
      <w:r w:rsidR="000E495B">
        <w:t xml:space="preserve"> Ils sont donc restés </w:t>
      </w:r>
      <w:r w:rsidR="00EA29A2">
        <w:t>solvables</w:t>
      </w:r>
      <w:r w:rsidR="000E495B">
        <w:t>. La crise de la dette persistait, mais elle n’était plus potentiellement fatale. Ce fut la phase la plus dangereuse pour l’économie</w:t>
      </w:r>
      <w:r w:rsidR="006D7E30">
        <w:t xml:space="preserve"> </w:t>
      </w:r>
      <w:r w:rsidR="000E495B">
        <w:t xml:space="preserve">capitaliste depuis 1929. </w:t>
      </w:r>
    </w:p>
    <w:p w14:paraId="138BC068" w14:textId="079BE77C" w:rsidR="00AA76CB" w:rsidRDefault="00C86040" w:rsidP="00E242FB">
      <w:pPr>
        <w:pStyle w:val="Paragraphedeliste"/>
        <w:numPr>
          <w:ilvl w:val="0"/>
          <w:numId w:val="1"/>
        </w:numPr>
      </w:pPr>
      <w:r>
        <w:t xml:space="preserve">Le </w:t>
      </w:r>
      <w:r w:rsidR="00A831A4">
        <w:t>chômage</w:t>
      </w:r>
      <w:r>
        <w:t xml:space="preserve"> passe de 1,5% dans les années 60 à 4,</w:t>
      </w:r>
      <w:r w:rsidR="008D748B">
        <w:t xml:space="preserve">2 </w:t>
      </w:r>
      <w:r>
        <w:t>%</w:t>
      </w:r>
      <w:r w:rsidR="008D748B">
        <w:t xml:space="preserve"> dans les 70’s en Europe occidentale</w:t>
      </w:r>
    </w:p>
    <w:p w14:paraId="7BCC37DC" w14:textId="5F267B84" w:rsidR="000C551A" w:rsidRDefault="000C551A" w:rsidP="00E242FB">
      <w:pPr>
        <w:pStyle w:val="Paragraphedeliste"/>
        <w:numPr>
          <w:ilvl w:val="0"/>
          <w:numId w:val="1"/>
        </w:numPr>
      </w:pPr>
      <w:r>
        <w:t>Crises pétrolières des années 1970</w:t>
      </w:r>
    </w:p>
    <w:p w14:paraId="6982D097" w14:textId="17D8884D" w:rsidR="00595A73" w:rsidRDefault="00D53D94" w:rsidP="00E242FB">
      <w:pPr>
        <w:pStyle w:val="Paragraphedeliste"/>
        <w:numPr>
          <w:ilvl w:val="0"/>
          <w:numId w:val="1"/>
        </w:numPr>
      </w:pPr>
      <w:r>
        <w:t>Crise boursière Américaine et mondial</w:t>
      </w:r>
      <w:r w:rsidR="00496C8E">
        <w:t xml:space="preserve"> d</w:t>
      </w:r>
      <w:r>
        <w:t xml:space="preserve">e 1987. </w:t>
      </w:r>
    </w:p>
    <w:p w14:paraId="261180F1" w14:textId="1BEF8C73" w:rsidR="00110550" w:rsidRDefault="006E4EA8" w:rsidP="00E242FB">
      <w:pPr>
        <w:pStyle w:val="Paragraphedeliste"/>
        <w:numPr>
          <w:ilvl w:val="0"/>
          <w:numId w:val="1"/>
        </w:numPr>
      </w:pPr>
      <w:r>
        <w:t>Effondrement</w:t>
      </w:r>
      <w:r w:rsidR="00A831A4">
        <w:t xml:space="preserve"> d</w:t>
      </w:r>
      <w:r>
        <w:t>e l’économie</w:t>
      </w:r>
      <w:r w:rsidR="007314F3">
        <w:t> </w:t>
      </w:r>
      <w:r w:rsidR="00F31877">
        <w:t>d</w:t>
      </w:r>
      <w:r>
        <w:t xml:space="preserve">es pays de l’est de </w:t>
      </w:r>
      <w:r w:rsidR="00A831A4">
        <w:t>l’Europe</w:t>
      </w:r>
      <w:r w:rsidR="00BC4B05">
        <w:t>.</w:t>
      </w:r>
      <w:r>
        <w:t xml:space="preserve"> </w:t>
      </w:r>
      <w:r w:rsidR="00BC4B05">
        <w:t>S</w:t>
      </w:r>
      <w:r>
        <w:t>uite</w:t>
      </w:r>
      <w:r w:rsidR="000B2AD9">
        <w:t xml:space="preserve"> à</w:t>
      </w:r>
      <w:r>
        <w:t xml:space="preserve"> 1989</w:t>
      </w:r>
      <w:r w:rsidR="000B2AD9">
        <w:t xml:space="preserve"> </w:t>
      </w:r>
      <w:r w:rsidR="00BC4B05">
        <w:t xml:space="preserve">ils </w:t>
      </w:r>
      <w:r w:rsidR="000B2AD9">
        <w:t xml:space="preserve">se </w:t>
      </w:r>
      <w:r w:rsidR="00CA66B8">
        <w:t xml:space="preserve">séparent </w:t>
      </w:r>
      <w:r w:rsidR="00621D19">
        <w:t xml:space="preserve">progressivement </w:t>
      </w:r>
      <w:r w:rsidR="00CA66B8">
        <w:t>de</w:t>
      </w:r>
      <w:r>
        <w:t xml:space="preserve"> la Russie</w:t>
      </w:r>
      <w:r w:rsidR="00CA66B8">
        <w:t>, q</w:t>
      </w:r>
      <w:r>
        <w:t>ui perd 17% de son PIB</w:t>
      </w:r>
      <w:r w:rsidR="00CA66B8">
        <w:t xml:space="preserve"> e</w:t>
      </w:r>
      <w:r>
        <w:t>n un an</w:t>
      </w:r>
      <w:r w:rsidR="00CA66B8">
        <w:t>,</w:t>
      </w:r>
      <w:r>
        <w:t xml:space="preserve"> 19% l’année suivante</w:t>
      </w:r>
      <w:r w:rsidR="00CA66B8">
        <w:t xml:space="preserve"> e</w:t>
      </w:r>
      <w:r>
        <w:t>t 11</w:t>
      </w:r>
      <w:r w:rsidR="00CA66B8">
        <w:t xml:space="preserve"> </w:t>
      </w:r>
      <w:r w:rsidR="000C3CD5">
        <w:t xml:space="preserve">% </w:t>
      </w:r>
      <w:r>
        <w:t>de 1992 à 1993. En 19</w:t>
      </w:r>
      <w:r w:rsidR="000C3CD5">
        <w:t>90</w:t>
      </w:r>
      <w:r>
        <w:t>, la Pologne perd 21% de son PIB</w:t>
      </w:r>
      <w:r w:rsidR="00CC3ECB">
        <w:t xml:space="preserve"> tandis que</w:t>
      </w:r>
      <w:r w:rsidR="000A797D">
        <w:t xml:space="preserve"> l</w:t>
      </w:r>
      <w:r>
        <w:t>a Roumanie et la Bulgarie</w:t>
      </w:r>
      <w:r w:rsidR="00CC3ECB">
        <w:t xml:space="preserve"> en perdent</w:t>
      </w:r>
      <w:r>
        <w:t xml:space="preserve"> 30%.</w:t>
      </w:r>
    </w:p>
    <w:p w14:paraId="42402DDE" w14:textId="57D3AF01" w:rsidR="00E242FB" w:rsidRDefault="00496C8E" w:rsidP="00E242FB">
      <w:pPr>
        <w:pStyle w:val="Paragraphedeliste"/>
        <w:numPr>
          <w:ilvl w:val="0"/>
          <w:numId w:val="1"/>
        </w:numPr>
      </w:pPr>
      <w:r>
        <w:t>L</w:t>
      </w:r>
      <w:r w:rsidR="00D53D94">
        <w:t>a grande crise internationale des changes de 1992.</w:t>
      </w:r>
    </w:p>
    <w:p w14:paraId="11BF17D3" w14:textId="60F7A16C" w:rsidR="00465026" w:rsidRDefault="00DA6B75" w:rsidP="00465026">
      <w:r>
        <w:t>SOURCES DES CRISES</w:t>
      </w:r>
      <w:r w:rsidR="00465026">
        <w:t xml:space="preserve">: </w:t>
      </w:r>
    </w:p>
    <w:p w14:paraId="6D6EC301" w14:textId="7011F95D" w:rsidR="00E61AD5" w:rsidRDefault="009B1E6B" w:rsidP="00465026">
      <w:r>
        <w:t xml:space="preserve">Keynésien </w:t>
      </w:r>
      <w:r w:rsidR="00E61AD5">
        <w:t>vs Néolibéraux :</w:t>
      </w:r>
    </w:p>
    <w:p w14:paraId="24C4FF7E" w14:textId="1D84098A" w:rsidR="000E2D40" w:rsidRDefault="003A2309" w:rsidP="00465026">
      <w:r>
        <w:t xml:space="preserve">            </w:t>
      </w:r>
      <w:r w:rsidR="00880B53">
        <w:t>Durant</w:t>
      </w:r>
      <w:r w:rsidR="0054405D">
        <w:t xml:space="preserve"> u</w:t>
      </w:r>
      <w:r w:rsidR="00880B53">
        <w:t>ne bonne partie des années</w:t>
      </w:r>
      <w:r w:rsidR="009E5307">
        <w:t xml:space="preserve"> 1970</w:t>
      </w:r>
      <w:r w:rsidR="00880B53">
        <w:t xml:space="preserve">, les pays capitalistes les plus avancés </w:t>
      </w:r>
      <w:r w:rsidR="009E5307">
        <w:t>s</w:t>
      </w:r>
      <w:r w:rsidR="00880B53">
        <w:t>ont conduits par des gouvernements socio-démocrates, parfois revenus au pouvoir après d'infructueux inter</w:t>
      </w:r>
      <w:r w:rsidR="009E5307">
        <w:t>mèdes</w:t>
      </w:r>
      <w:r w:rsidR="00880B53">
        <w:t xml:space="preserve"> conservateurs</w:t>
      </w:r>
      <w:r w:rsidR="00DD5560">
        <w:t xml:space="preserve"> c</w:t>
      </w:r>
      <w:r w:rsidR="00880B53">
        <w:t xml:space="preserve">omme en </w:t>
      </w:r>
      <w:r w:rsidR="00DD5560">
        <w:t>1974</w:t>
      </w:r>
      <w:r w:rsidR="00880B53">
        <w:t xml:space="preserve">, en </w:t>
      </w:r>
      <w:r w:rsidR="009E5307">
        <w:t>Grande-Bretagne</w:t>
      </w:r>
      <w:r w:rsidR="00880B53">
        <w:t xml:space="preserve"> .</w:t>
      </w:r>
      <w:r w:rsidR="000A348D">
        <w:t xml:space="preserve"> </w:t>
      </w:r>
      <w:r w:rsidR="006B547F">
        <w:t>C’est le début d’une bataille entre keynésien et néolibéraux. Pour les keynésiens, les hauts salaires, le plein emploi et l’état providence alimentent</w:t>
      </w:r>
      <w:r w:rsidR="003422CD">
        <w:t xml:space="preserve"> l</w:t>
      </w:r>
      <w:r w:rsidR="006B547F">
        <w:t>a demand</w:t>
      </w:r>
      <w:r w:rsidR="003422CD">
        <w:t xml:space="preserve">e </w:t>
      </w:r>
      <w:r w:rsidR="00DF12CA">
        <w:t>et</w:t>
      </w:r>
      <w:r w:rsidR="006B547F">
        <w:t xml:space="preserve"> nourri</w:t>
      </w:r>
      <w:r w:rsidR="00DF12CA">
        <w:t>t</w:t>
      </w:r>
      <w:r w:rsidR="006B547F">
        <w:t xml:space="preserve"> l’expansio</w:t>
      </w:r>
      <w:r w:rsidR="00DF12CA">
        <w:t>n</w:t>
      </w:r>
      <w:r w:rsidR="006B547F">
        <w:t xml:space="preserve"> pour sortir de la crise. </w:t>
      </w:r>
      <w:r w:rsidR="006B0EE7">
        <w:t>Le modèle keynésien souffre</w:t>
      </w:r>
      <w:r w:rsidR="002E5CDD">
        <w:t xml:space="preserve"> d</w:t>
      </w:r>
      <w:r w:rsidR="006B0EE7">
        <w:t>e la mondialisation de l</w:t>
      </w:r>
      <w:r w:rsidR="002E5CDD">
        <w:t>’économie</w:t>
      </w:r>
      <w:r w:rsidR="006B0EE7">
        <w:t>. En effet à partir de 19</w:t>
      </w:r>
      <w:r w:rsidR="002E5CDD">
        <w:t>70</w:t>
      </w:r>
      <w:r w:rsidR="006B0EE7">
        <w:t>, celle-ci met les gouvernements de tous les états à la merci d'un marché mondial</w:t>
      </w:r>
      <w:r w:rsidR="00BB1313">
        <w:t xml:space="preserve"> i</w:t>
      </w:r>
      <w:r w:rsidR="006B0EE7">
        <w:t xml:space="preserve">ncontrôlable. </w:t>
      </w:r>
      <w:r w:rsidR="006B0EE7">
        <w:t>E</w:t>
      </w:r>
      <w:r w:rsidR="006B547F">
        <w:t>n revanche</w:t>
      </w:r>
      <w:r w:rsidR="00B42408">
        <w:t xml:space="preserve">, </w:t>
      </w:r>
      <w:r w:rsidR="006B547F">
        <w:t>pour les néolibéraux </w:t>
      </w:r>
      <w:r>
        <w:t>l</w:t>
      </w:r>
      <w:r w:rsidR="006B547F">
        <w:t>e système économique et politique de l’âge d’or</w:t>
      </w:r>
      <w:r w:rsidR="003B6560">
        <w:t xml:space="preserve"> empêchait</w:t>
      </w:r>
      <w:r w:rsidR="006B547F">
        <w:t xml:space="preserve"> de maîtriser l’inflation et de </w:t>
      </w:r>
      <w:r w:rsidR="006B547F">
        <w:lastRenderedPageBreak/>
        <w:t>réduire les coûts des entreprises</w:t>
      </w:r>
      <w:r w:rsidR="003B6560">
        <w:t>, a</w:t>
      </w:r>
      <w:r w:rsidR="006B547F">
        <w:t>ussi bien publics que privés</w:t>
      </w:r>
      <w:r w:rsidR="00926144">
        <w:t>. Il</w:t>
      </w:r>
      <w:r w:rsidR="006B547F">
        <w:t>s travaillaient ainsi l’augmentation des profits, seul véritable moteur de la croissance. Dans une économie capitaliste</w:t>
      </w:r>
      <w:r w:rsidR="00AE66A8">
        <w:t>, p</w:t>
      </w:r>
      <w:r w:rsidR="006B547F">
        <w:t xml:space="preserve">our eux, la main invisible d’Adam Smith </w:t>
      </w:r>
      <w:r w:rsidR="00DD326D">
        <w:t>(</w:t>
      </w:r>
      <w:r w:rsidR="00B40725">
        <w:t>théorie selon laquelle l’ensemble des actions individuelles des acteurs économiques, guidées uniquement par l’intérêt personnel de chacun, contribuent à la richesse et au bien commun</w:t>
      </w:r>
      <w:r w:rsidR="004513CA">
        <w:t xml:space="preserve"> )</w:t>
      </w:r>
      <w:r w:rsidR="00B40725">
        <w:t xml:space="preserve"> </w:t>
      </w:r>
      <w:r w:rsidR="006B547F">
        <w:t>était de nature à engendrer la plus forte croissance possible</w:t>
      </w:r>
      <w:r w:rsidR="00AE66A8">
        <w:t>,</w:t>
      </w:r>
      <w:r w:rsidR="006B547F">
        <w:t xml:space="preserve"> </w:t>
      </w:r>
      <w:r w:rsidR="00AE66A8">
        <w:t>d</w:t>
      </w:r>
      <w:r w:rsidR="006B547F">
        <w:t>e la richesse des nations</w:t>
      </w:r>
      <w:r w:rsidR="00C65FD1">
        <w:t xml:space="preserve">, </w:t>
      </w:r>
      <w:r w:rsidR="006B547F">
        <w:t xml:space="preserve">dans le cadre de la meilleure distribution envisageable de la prospérité et des revenus. </w:t>
      </w:r>
      <w:r w:rsidR="00071B75">
        <w:t xml:space="preserve"> </w:t>
      </w:r>
      <w:r w:rsidR="00BE3C0A">
        <w:t>Cependant</w:t>
      </w:r>
      <w:r w:rsidR="003C0E04">
        <w:t xml:space="preserve">, </w:t>
      </w:r>
      <w:r w:rsidR="009B212E">
        <w:t xml:space="preserve">les néolibéraux </w:t>
      </w:r>
      <w:r w:rsidR="00071B75">
        <w:t xml:space="preserve">se </w:t>
      </w:r>
      <w:r w:rsidR="009B212E">
        <w:t xml:space="preserve">retrouvent </w:t>
      </w:r>
      <w:r w:rsidR="00FD7661">
        <w:t>bloqués entre</w:t>
      </w:r>
      <w:r w:rsidR="00071B75">
        <w:t xml:space="preserve"> les exigences du capital et celle du travail, alors que la croissance de l’âge d’or n’est plus là pour permettre aux profits et aux revenus salariaux d’augmenter simultanément sans se nuire.</w:t>
      </w:r>
      <w:r w:rsidR="00A74E6C">
        <w:t xml:space="preserve"> La </w:t>
      </w:r>
      <w:r w:rsidR="00674F6F">
        <w:t>plupart des gouvernements néolibéraux ont été obligés de gérer et de diriger leur économie tout en affirmant qu'il ne faisait qu'encourager les forces du marché.</w:t>
      </w:r>
      <w:r w:rsidR="001642B9">
        <w:t xml:space="preserve"> </w:t>
      </w:r>
    </w:p>
    <w:p w14:paraId="7BE0213E" w14:textId="1BDF8FFB" w:rsidR="00E61AD5" w:rsidRDefault="00833F25" w:rsidP="00465026">
      <w:r>
        <w:t xml:space="preserve">Chômage : </w:t>
      </w:r>
    </w:p>
    <w:p w14:paraId="1BD1A741" w14:textId="20D636C8" w:rsidR="00986DE1" w:rsidRDefault="00147882" w:rsidP="00465026">
      <w:r>
        <w:t xml:space="preserve">              </w:t>
      </w:r>
      <w:r w:rsidR="00A72F07">
        <w:t>De plus</w:t>
      </w:r>
      <w:r>
        <w:t xml:space="preserve"> l</w:t>
      </w:r>
      <w:r w:rsidR="00A72F07">
        <w:t xml:space="preserve">a production </w:t>
      </w:r>
      <w:r w:rsidR="005663BD">
        <w:t xml:space="preserve">industrielle </w:t>
      </w:r>
      <w:r w:rsidR="00220D3D">
        <w:t xml:space="preserve">a </w:t>
      </w:r>
      <w:r w:rsidR="00A72F07">
        <w:t>éliminé</w:t>
      </w:r>
      <w:r w:rsidR="00220D3D">
        <w:t xml:space="preserve"> le travail des </w:t>
      </w:r>
      <w:r w:rsidR="00A72F07">
        <w:t>êtres humains plus rapidement que l’économie de marché ne leur a trouvé de nouveaux emplois dans emplois. De surcroît divers facteurs ont accéléré ce processus</w:t>
      </w:r>
      <w:r w:rsidR="003951A6">
        <w:t> :</w:t>
      </w:r>
      <w:r w:rsidR="00A72F07">
        <w:t xml:space="preserve"> </w:t>
      </w:r>
      <w:r w:rsidR="003951A6">
        <w:t>l</w:t>
      </w:r>
      <w:r w:rsidR="00A72F07">
        <w:t>a concurrence mondiale</w:t>
      </w:r>
      <w:r w:rsidR="005663BD">
        <w:t xml:space="preserve"> et </w:t>
      </w:r>
      <w:r w:rsidR="00A72F07">
        <w:t>les pressions financières pesant sur les pouvoirs publics</w:t>
      </w:r>
      <w:r w:rsidR="005663BD">
        <w:t xml:space="preserve">. </w:t>
      </w:r>
      <w:r w:rsidR="00A72F07">
        <w:t>Après 1980</w:t>
      </w:r>
      <w:r w:rsidR="00B00881">
        <w:t>,</w:t>
      </w:r>
      <w:r w:rsidR="00A72F07">
        <w:t xml:space="preserve"> la </w:t>
      </w:r>
      <w:r w:rsidR="00B00881">
        <w:t>théorie de</w:t>
      </w:r>
      <w:r w:rsidR="00A72F07">
        <w:t xml:space="preserve"> marché </w:t>
      </w:r>
      <w:r w:rsidR="00B00881">
        <w:t>q</w:t>
      </w:r>
      <w:r w:rsidR="00A72F07">
        <w:t>ui prône le transfert d’emplois vers les formes d’entreprise maximisant le profit</w:t>
      </w:r>
      <w:r w:rsidR="00C20944">
        <w:t>,</w:t>
      </w:r>
      <w:r w:rsidR="00A72F07">
        <w:t> </w:t>
      </w:r>
      <w:r w:rsidR="00DB62CD">
        <w:t>c</w:t>
      </w:r>
      <w:r w:rsidR="00A72F07">
        <w:t xml:space="preserve">e qui signifie notamment que les </w:t>
      </w:r>
      <w:r w:rsidR="00510522">
        <w:t>états</w:t>
      </w:r>
      <w:r w:rsidR="00A72F07">
        <w:t xml:space="preserve"> </w:t>
      </w:r>
      <w:r w:rsidR="00510522">
        <w:t>cessent</w:t>
      </w:r>
      <w:r w:rsidR="00A72F07">
        <w:t xml:space="preserve"> d’être</w:t>
      </w:r>
      <w:r w:rsidR="00510522">
        <w:t xml:space="preserve"> u</w:t>
      </w:r>
      <w:r w:rsidR="00A72F07">
        <w:t>n employeur de la dernière chance. Ce processus est excellé</w:t>
      </w:r>
      <w:r w:rsidR="00400785">
        <w:t xml:space="preserve"> </w:t>
      </w:r>
      <w:r w:rsidR="00AF6A42">
        <w:t>par l</w:t>
      </w:r>
      <w:r w:rsidR="00400785">
        <w:t>es</w:t>
      </w:r>
      <w:r w:rsidR="00A72F07">
        <w:t xml:space="preserve"> syndicats</w:t>
      </w:r>
      <w:r w:rsidR="00AF6A42">
        <w:t>, dont</w:t>
      </w:r>
      <w:r w:rsidR="00A72F07">
        <w:t xml:space="preserve"> l’une des fonctions essentielles </w:t>
      </w:r>
      <w:r w:rsidR="00AF6A42">
        <w:t xml:space="preserve">est </w:t>
      </w:r>
      <w:r w:rsidR="00A72F07">
        <w:t>la protection de l’emploi</w:t>
      </w:r>
      <w:r w:rsidR="00543FFD">
        <w:t xml:space="preserve">. Cependant,  ils </w:t>
      </w:r>
      <w:r w:rsidR="00A72F07">
        <w:t>sont affaiblis par la crise et l’hostilité des gouvernements néolibéraux. L’économie mondiale est</w:t>
      </w:r>
      <w:r w:rsidR="00992CEB">
        <w:t xml:space="preserve"> </w:t>
      </w:r>
      <w:r w:rsidR="00A72F07">
        <w:t>en expansion</w:t>
      </w:r>
      <w:r w:rsidR="00992CEB">
        <w:t xml:space="preserve"> mais</w:t>
      </w:r>
      <w:r w:rsidR="00A72F07">
        <w:t xml:space="preserve"> le mécanisme automatique par lequel elle créait des emplois pour les personnes</w:t>
      </w:r>
      <w:r w:rsidR="00A147C0">
        <w:t xml:space="preserve"> qu</w:t>
      </w:r>
      <w:r w:rsidR="00A72F07">
        <w:t xml:space="preserve">i </w:t>
      </w:r>
      <w:r w:rsidR="00A147C0">
        <w:t>entrent</w:t>
      </w:r>
      <w:r w:rsidR="00A72F07">
        <w:t xml:space="preserve"> sur le marché du travail sans qualifications spéciales </w:t>
      </w:r>
      <w:r w:rsidR="00A147C0">
        <w:t>es</w:t>
      </w:r>
      <w:r w:rsidR="00A72F07">
        <w:t>t brisé.</w:t>
      </w:r>
      <w:r w:rsidR="0083063E">
        <w:t xml:space="preserve"> </w:t>
      </w:r>
    </w:p>
    <w:p w14:paraId="1891EC17" w14:textId="6AC8ACFA" w:rsidR="00833F25" w:rsidRDefault="00454CC2" w:rsidP="00465026">
      <w:r>
        <w:t>La concurrence étrangère</w:t>
      </w:r>
      <w:r w:rsidR="002F35FB">
        <w:t> :</w:t>
      </w:r>
    </w:p>
    <w:p w14:paraId="299B544A" w14:textId="2287FE21" w:rsidR="00465026" w:rsidRDefault="00986DE1" w:rsidP="00465026">
      <w:r>
        <w:t xml:space="preserve">              D</w:t>
      </w:r>
      <w:r w:rsidR="0083063E">
        <w:t>ans la nouvelle économie transnationale, les salaires domestiques sont bien plus directement exposés à la concurrence étrangère qu’auparavant. Tandis que les gouvernements ont beaucoup moins de moyens de les préserver.</w:t>
      </w:r>
      <w:r w:rsidR="00843771">
        <w:t xml:space="preserve"> L’entrée massive de </w:t>
      </w:r>
      <w:r w:rsidR="008C6FBD">
        <w:t>l’URSS</w:t>
      </w:r>
      <w:r w:rsidR="00843771">
        <w:t xml:space="preserve"> sur le marché international des céréales </w:t>
      </w:r>
      <w:r w:rsidR="008C6FBD">
        <w:t>et</w:t>
      </w:r>
      <w:r w:rsidR="00843771">
        <w:t xml:space="preserve"> l’impact des crises pétrolières des années 1970 marque la fin du camp socialiste </w:t>
      </w:r>
      <w:r w:rsidR="001D23B7">
        <w:t>e</w:t>
      </w:r>
      <w:r w:rsidR="00843771">
        <w:t>n tant qu’économie régionale pratiquement autonome et préservée des aléas de l’économie mondiale.</w:t>
      </w:r>
      <w:r w:rsidR="008674F7">
        <w:t xml:space="preserve"> </w:t>
      </w:r>
      <w:r w:rsidR="00087655">
        <w:t>D'autre part</w:t>
      </w:r>
      <w:r w:rsidR="001D23B7">
        <w:t>,</w:t>
      </w:r>
      <w:r w:rsidR="00087655">
        <w:t xml:space="preserve"> les pays d'Amérique l</w:t>
      </w:r>
      <w:r w:rsidR="00A406CF">
        <w:t xml:space="preserve">atine </w:t>
      </w:r>
      <w:r w:rsidR="00FA3EA9">
        <w:t>s’endette</w:t>
      </w:r>
      <w:r w:rsidR="00A406CF">
        <w:t xml:space="preserve">nt </w:t>
      </w:r>
      <w:r w:rsidR="00087655">
        <w:t>de plus en plus auprès de la banque mondiale</w:t>
      </w:r>
      <w:r w:rsidR="008406AD">
        <w:t xml:space="preserve">. </w:t>
      </w:r>
      <w:r w:rsidR="00087655">
        <w:t xml:space="preserve">En particulier le </w:t>
      </w:r>
      <w:r w:rsidR="008406AD">
        <w:t>B</w:t>
      </w:r>
      <w:r w:rsidR="00087655">
        <w:t>résil, le Mexique et l'</w:t>
      </w:r>
      <w:r w:rsidR="008406AD">
        <w:t>A</w:t>
      </w:r>
      <w:r w:rsidR="00087655">
        <w:t xml:space="preserve">rgentine </w:t>
      </w:r>
      <w:r w:rsidR="002C758F">
        <w:t>e</w:t>
      </w:r>
      <w:r w:rsidR="00087655">
        <w:t>ntre 60 à 110</w:t>
      </w:r>
      <w:r w:rsidR="008406AD">
        <w:t xml:space="preserve"> milliards </w:t>
      </w:r>
      <w:r w:rsidR="00087655">
        <w:t>de</w:t>
      </w:r>
      <w:r w:rsidR="008406AD">
        <w:t xml:space="preserve"> dollars</w:t>
      </w:r>
      <w:r w:rsidR="00087655">
        <w:t xml:space="preserve">. Ces pays </w:t>
      </w:r>
      <w:r w:rsidR="006B4C66">
        <w:t>subissent</w:t>
      </w:r>
      <w:r w:rsidR="00087655">
        <w:t xml:space="preserve"> également des problèmes politiques</w:t>
      </w:r>
      <w:r w:rsidR="00117DFA">
        <w:t xml:space="preserve"> c</w:t>
      </w:r>
      <w:r w:rsidR="00087655">
        <w:t xml:space="preserve">omme la corruption </w:t>
      </w:r>
      <w:r w:rsidR="00117DFA">
        <w:t>m</w:t>
      </w:r>
      <w:r w:rsidR="00087655">
        <w:t>ais</w:t>
      </w:r>
      <w:r w:rsidR="00117DFA">
        <w:t xml:space="preserve"> s'industrialisent et d</w:t>
      </w:r>
      <w:r w:rsidR="00087655">
        <w:t>eviennent les plus gros consommateurs d'acier</w:t>
      </w:r>
      <w:r w:rsidR="00117DFA">
        <w:t xml:space="preserve"> </w:t>
      </w:r>
      <w:r w:rsidR="0033459B">
        <w:t xml:space="preserve">(25% de la </w:t>
      </w:r>
      <w:r w:rsidR="00A406CF">
        <w:t>consommation mondiale</w:t>
      </w:r>
      <w:r w:rsidR="0033459B">
        <w:t>)</w:t>
      </w:r>
      <w:r w:rsidR="00087655">
        <w:t>.</w:t>
      </w:r>
      <w:r w:rsidR="007959E4">
        <w:t xml:space="preserve"> </w:t>
      </w:r>
      <w:r w:rsidR="00A406CF">
        <w:t>Ensuite,</w:t>
      </w:r>
      <w:r w:rsidR="00BA7740">
        <w:t xml:space="preserve"> la</w:t>
      </w:r>
      <w:r w:rsidR="007959E4">
        <w:t xml:space="preserve"> Chine</w:t>
      </w:r>
      <w:r w:rsidR="00A406CF">
        <w:t xml:space="preserve"> d</w:t>
      </w:r>
      <w:r w:rsidR="007959E4">
        <w:t>evient</w:t>
      </w:r>
      <w:r w:rsidR="006C7A85">
        <w:t xml:space="preserve"> </w:t>
      </w:r>
      <w:r w:rsidR="009A0BA2">
        <w:t>parmi</w:t>
      </w:r>
      <w:r w:rsidR="006C7A85">
        <w:t xml:space="preserve"> </w:t>
      </w:r>
      <w:r w:rsidR="007959E4">
        <w:t>les 1ers producteurs mondiaux. Et</w:t>
      </w:r>
      <w:r w:rsidR="00BA7740">
        <w:t xml:space="preserve">, </w:t>
      </w:r>
      <w:r w:rsidR="007959E4">
        <w:t>à contrario </w:t>
      </w:r>
      <w:r w:rsidR="006C7A85">
        <w:t>a</w:t>
      </w:r>
      <w:r w:rsidR="007959E4">
        <w:t>méliore</w:t>
      </w:r>
      <w:r w:rsidR="006C7A85">
        <w:t xml:space="preserve"> sa </w:t>
      </w:r>
      <w:r w:rsidR="007959E4">
        <w:t>situation par rapport au reste du monde</w:t>
      </w:r>
      <w:r w:rsidR="009A0BA2">
        <w:t xml:space="preserve">. Tandis que les </w:t>
      </w:r>
      <w:r w:rsidR="007959E4">
        <w:t xml:space="preserve"> Japon</w:t>
      </w:r>
      <w:r w:rsidR="009A0BA2">
        <w:t xml:space="preserve"> a</w:t>
      </w:r>
      <w:r w:rsidR="007959E4">
        <w:t xml:space="preserve"> subi</w:t>
      </w:r>
      <w:r w:rsidR="009A0BA2">
        <w:t xml:space="preserve">t </w:t>
      </w:r>
      <w:r w:rsidR="007959E4">
        <w:t>une nouvelle crise dans les années 90.</w:t>
      </w:r>
      <w:r w:rsidR="003C08C3">
        <w:t xml:space="preserve"> </w:t>
      </w:r>
      <w:r w:rsidR="003956FB">
        <w:t>Enfin</w:t>
      </w:r>
      <w:r w:rsidR="00331553">
        <w:t>,</w:t>
      </w:r>
      <w:r w:rsidR="003956FB">
        <w:t xml:space="preserve"> L’Afrique subsaharienne</w:t>
      </w:r>
      <w:r w:rsidR="00331553">
        <w:t xml:space="preserve"> s'endette</w:t>
      </w:r>
      <w:r w:rsidR="00647E21">
        <w:t xml:space="preserve">, </w:t>
      </w:r>
      <w:r w:rsidR="003956FB">
        <w:t>doit faire face</w:t>
      </w:r>
      <w:r w:rsidR="002B4E91">
        <w:t xml:space="preserve"> à </w:t>
      </w:r>
      <w:r w:rsidR="003956FB">
        <w:t>la guerre</w:t>
      </w:r>
      <w:r w:rsidR="008C0486">
        <w:t xml:space="preserve"> et devient </w:t>
      </w:r>
      <w:r w:rsidR="003956FB">
        <w:t xml:space="preserve">victimes de l’effondrement </w:t>
      </w:r>
      <w:r w:rsidR="003956FB">
        <w:lastRenderedPageBreak/>
        <w:t>du cours de leurs exportations.</w:t>
      </w:r>
      <w:r w:rsidR="00356DE7">
        <w:t xml:space="preserve"> L</w:t>
      </w:r>
      <w:r w:rsidR="00DF4113">
        <w:t>e principal effet des décennies de crise est de creuser l</w:t>
      </w:r>
      <w:r w:rsidR="007363F3">
        <w:t xml:space="preserve">’écart </w:t>
      </w:r>
      <w:r w:rsidR="00DF4113">
        <w:t>entre les pays riches et les pays pauvres. Entre 1960 et 19</w:t>
      </w:r>
      <w:r w:rsidR="007363F3">
        <w:t>87</w:t>
      </w:r>
      <w:r w:rsidR="00DF4113">
        <w:t>, le PIB par habitant de l’Afrique subsaharienne</w:t>
      </w:r>
      <w:r w:rsidR="001F1BDC">
        <w:t xml:space="preserve"> t</w:t>
      </w:r>
      <w:r w:rsidR="00DF4113">
        <w:t>ombe de 14 à 8%</w:t>
      </w:r>
      <w:r w:rsidR="003C1A36">
        <w:t xml:space="preserve"> pour </w:t>
      </w:r>
      <w:r w:rsidR="00DF4113">
        <w:t xml:space="preserve"> </w:t>
      </w:r>
      <w:r w:rsidR="003C1A36">
        <w:t>l</w:t>
      </w:r>
      <w:r w:rsidR="00DF4113">
        <w:t>es pays industriels</w:t>
      </w:r>
      <w:r w:rsidR="008A71FB">
        <w:t xml:space="preserve"> et les</w:t>
      </w:r>
      <w:r w:rsidR="00DF4113">
        <w:t xml:space="preserve"> pays les moins avancés passe</w:t>
      </w:r>
      <w:r w:rsidR="008A71FB">
        <w:t xml:space="preserve">nt </w:t>
      </w:r>
      <w:r w:rsidR="00DF4113">
        <w:t>de 9 à 5%.</w:t>
      </w:r>
    </w:p>
    <w:p w14:paraId="4905E80D" w14:textId="5B561507" w:rsidR="002F35FB" w:rsidRDefault="002F35FB" w:rsidP="00465026">
      <w:r>
        <w:t>Le modèle d’</w:t>
      </w:r>
      <w:r w:rsidR="000A3DDC">
        <w:t>É</w:t>
      </w:r>
      <w:r>
        <w:t xml:space="preserve">tat-nation : </w:t>
      </w:r>
    </w:p>
    <w:p w14:paraId="398D96C3" w14:textId="35F09AC4" w:rsidR="0088634B" w:rsidRDefault="007034EF" w:rsidP="00465026">
      <w:r>
        <w:t xml:space="preserve">             </w:t>
      </w:r>
      <w:r w:rsidR="008C1F4B">
        <w:t>Pendant « l’ère des révolutions</w:t>
      </w:r>
      <w:r w:rsidR="00520E1C">
        <w:t> » l</w:t>
      </w:r>
      <w:r w:rsidR="00C57124">
        <w:t xml:space="preserve">e seul véritable </w:t>
      </w:r>
      <w:r>
        <w:t xml:space="preserve">modèle </w:t>
      </w:r>
      <w:r w:rsidR="00C57124">
        <w:t>d’</w:t>
      </w:r>
      <w:r w:rsidR="000A3DDC">
        <w:t>É</w:t>
      </w:r>
      <w:r w:rsidR="00FD6665">
        <w:t xml:space="preserve">tat-nation </w:t>
      </w:r>
      <w:r w:rsidR="00C57124">
        <w:t>disponible à la fin du 20</w:t>
      </w:r>
      <w:r w:rsidR="00C57124" w:rsidRPr="00C57124">
        <w:rPr>
          <w:vertAlign w:val="superscript"/>
        </w:rPr>
        <w:t>e</w:t>
      </w:r>
      <w:r w:rsidR="00C57124">
        <w:t xml:space="preserve"> siècle est celui du territoire délimité avec des institutions autonomes. </w:t>
      </w:r>
      <w:r w:rsidR="009A60B5">
        <w:t>D</w:t>
      </w:r>
      <w:r w:rsidR="00C57124">
        <w:t>epuis 19</w:t>
      </w:r>
      <w:r w:rsidR="00520E1C">
        <w:t>18</w:t>
      </w:r>
      <w:r w:rsidR="00C57124">
        <w:t>, tous les régimes ont proclamé leur attachement au principe de l’autodétermination nationale</w:t>
      </w:r>
      <w:r w:rsidR="00520E1C">
        <w:t>, d</w:t>
      </w:r>
      <w:r w:rsidR="00C57124">
        <w:t>e plus en plus définis par des termes ethnico-linguistiques.</w:t>
      </w:r>
      <w:r w:rsidR="00826CF1">
        <w:t xml:space="preserve"> </w:t>
      </w:r>
      <w:r w:rsidR="00E559B7">
        <w:t>Des pays comme la Yougoslavie</w:t>
      </w:r>
      <w:r w:rsidR="00C43F24">
        <w:t xml:space="preserve"> ou</w:t>
      </w:r>
      <w:r w:rsidR="00724040">
        <w:t xml:space="preserve"> la Tchécoslovaquie </w:t>
      </w:r>
      <w:r w:rsidR="00C43F24">
        <w:t xml:space="preserve">se </w:t>
      </w:r>
      <w:r w:rsidR="001D0A95">
        <w:t>séparent</w:t>
      </w:r>
      <w:r w:rsidR="00C43F24">
        <w:t xml:space="preserve"> et s’autodétermin</w:t>
      </w:r>
      <w:r w:rsidR="001D0A95">
        <w:t>ent</w:t>
      </w:r>
      <w:r w:rsidR="0065524B">
        <w:t xml:space="preserve"> suite à la chute du bloc de l’Est.</w:t>
      </w:r>
      <w:r w:rsidR="00C43F24">
        <w:t xml:space="preserve"> </w:t>
      </w:r>
      <w:r w:rsidR="00826CF1">
        <w:t>Cependant face au protectionnisme de l'</w:t>
      </w:r>
      <w:r w:rsidR="000A3DDC">
        <w:t>É</w:t>
      </w:r>
      <w:r w:rsidR="00826CF1">
        <w:t>tat nation</w:t>
      </w:r>
      <w:r w:rsidR="00DF575B">
        <w:t>,</w:t>
      </w:r>
      <w:r w:rsidR="00826CF1">
        <w:t xml:space="preserve"> </w:t>
      </w:r>
      <w:r w:rsidR="00DF575B">
        <w:t>d</w:t>
      </w:r>
      <w:r w:rsidR="00826CF1">
        <w:t xml:space="preserve">es pays tels que </w:t>
      </w:r>
      <w:r w:rsidR="00786F6E">
        <w:t>l’Italie</w:t>
      </w:r>
      <w:r w:rsidR="00826CF1">
        <w:t xml:space="preserve">, le Japon ou la France </w:t>
      </w:r>
      <w:r w:rsidR="00DF575B">
        <w:t xml:space="preserve">essaient </w:t>
      </w:r>
      <w:r w:rsidR="00786F6E">
        <w:t>de</w:t>
      </w:r>
      <w:r w:rsidR="00826CF1">
        <w:t xml:space="preserve"> s’</w:t>
      </w:r>
      <w:r w:rsidR="00786F6E">
        <w:t>équilibrer</w:t>
      </w:r>
      <w:r w:rsidR="006F4F39">
        <w:t xml:space="preserve">. La </w:t>
      </w:r>
      <w:r w:rsidR="00786F6E">
        <w:t xml:space="preserve">France </w:t>
      </w:r>
      <w:r w:rsidR="006F4F39">
        <w:t>favorise</w:t>
      </w:r>
      <w:r w:rsidR="00786F6E">
        <w:t xml:space="preserve"> notamment </w:t>
      </w:r>
      <w:r w:rsidR="006F4F39">
        <w:t xml:space="preserve">la paysannerie française </w:t>
      </w:r>
      <w:r w:rsidR="00F82FDF">
        <w:t>e</w:t>
      </w:r>
      <w:r w:rsidR="006F4F39">
        <w:t xml:space="preserve">t le cinéma </w:t>
      </w:r>
      <w:r w:rsidR="009A60B5">
        <w:t>F</w:t>
      </w:r>
      <w:r w:rsidR="006F4F39">
        <w:t xml:space="preserve">rançais </w:t>
      </w:r>
      <w:r w:rsidR="009A60B5">
        <w:t>face</w:t>
      </w:r>
      <w:r w:rsidR="006F4F39">
        <w:t xml:space="preserve"> à l'exigence américaine de libre-échange</w:t>
      </w:r>
      <w:r w:rsidR="009A60B5">
        <w:t xml:space="preserve"> c</w:t>
      </w:r>
      <w:r w:rsidR="006F4F39">
        <w:t>oncernant les films et les produits de audiovisuels.</w:t>
      </w:r>
    </w:p>
    <w:p w14:paraId="26D6C9A7" w14:textId="28D0CD75" w:rsidR="00DF575B" w:rsidRDefault="00E21E2F" w:rsidP="00465026">
      <w:r>
        <w:t>SITUATIONS</w:t>
      </w:r>
      <w:r w:rsidR="00191E36">
        <w:t xml:space="preserve"> SPÉCIFIQUES</w:t>
      </w:r>
      <w:r>
        <w:t> :</w:t>
      </w:r>
    </w:p>
    <w:p w14:paraId="4F648507" w14:textId="46FB040A" w:rsidR="0011699A" w:rsidRDefault="00C266EE" w:rsidP="00465026">
      <w:r>
        <w:t>France :</w:t>
      </w:r>
    </w:p>
    <w:p w14:paraId="6B491AE1" w14:textId="175DB9FF" w:rsidR="005666FB" w:rsidRDefault="001E6945" w:rsidP="00465026">
      <w:r>
        <w:t>Au début des années 19</w:t>
      </w:r>
      <w:r w:rsidR="00F5478F">
        <w:t>80</w:t>
      </w:r>
      <w:r>
        <w:t xml:space="preserve"> les socialistes découvre</w:t>
      </w:r>
      <w:r w:rsidR="00F5478F">
        <w:t xml:space="preserve">nt </w:t>
      </w:r>
      <w:r>
        <w:t xml:space="preserve">qu’il leur est impossible de </w:t>
      </w:r>
      <w:r w:rsidR="00AB23A0">
        <w:t>relancer l’</w:t>
      </w:r>
      <w:r>
        <w:t xml:space="preserve">économie de manière unilatérale. 2 ans après l’élection de François </w:t>
      </w:r>
      <w:r w:rsidR="00AB23A0">
        <w:t>Mitterrand</w:t>
      </w:r>
      <w:r>
        <w:t>, une crise de la balance des paiements </w:t>
      </w:r>
      <w:r w:rsidR="0094517A">
        <w:t>o</w:t>
      </w:r>
      <w:r>
        <w:t xml:space="preserve">blige le gouvernement à </w:t>
      </w:r>
      <w:r w:rsidR="00C64199">
        <w:t>d</w:t>
      </w:r>
      <w:r>
        <w:t>évaluer la monnaie et à remplacer une politique keynésienne de stimulation de la demande</w:t>
      </w:r>
      <w:r w:rsidR="00803E44">
        <w:t xml:space="preserve"> p</w:t>
      </w:r>
      <w:r>
        <w:t xml:space="preserve">ar une politique d’austérité à visage </w:t>
      </w:r>
      <w:r w:rsidR="00A67671">
        <w:t>humain. La</w:t>
      </w:r>
      <w:r w:rsidR="005666FB">
        <w:t xml:space="preserve"> gauche se disloque en plusieurs pôles, que ce soit avec les féministes ou les écologistes </w:t>
      </w:r>
      <w:r w:rsidR="00C85B5C">
        <w:t>e</w:t>
      </w:r>
      <w:r w:rsidR="005666FB">
        <w:t>t attire moins</w:t>
      </w:r>
      <w:r w:rsidR="00C85B5C">
        <w:t xml:space="preserve"> de</w:t>
      </w:r>
      <w:r w:rsidR="005666FB">
        <w:t xml:space="preserve"> personnes</w:t>
      </w:r>
      <w:r w:rsidR="00C85B5C">
        <w:t>.</w:t>
      </w:r>
      <w:r w:rsidR="005666FB">
        <w:t xml:space="preserve"> </w:t>
      </w:r>
      <w:r w:rsidR="00DC250C">
        <w:t>U</w:t>
      </w:r>
      <w:r w:rsidR="00C85B5C">
        <w:t>ne</w:t>
      </w:r>
      <w:r w:rsidR="00B674AA">
        <w:t xml:space="preserve"> </w:t>
      </w:r>
      <w:r w:rsidR="00C85B5C">
        <w:t>haine</w:t>
      </w:r>
      <w:r w:rsidR="00B674AA">
        <w:t xml:space="preserve"> </w:t>
      </w:r>
      <w:r w:rsidR="005666FB">
        <w:t>viscérale de l'étranger</w:t>
      </w:r>
      <w:r w:rsidR="00B674AA">
        <w:t xml:space="preserve"> </w:t>
      </w:r>
      <w:r w:rsidR="005666FB">
        <w:t>ou du marginal</w:t>
      </w:r>
      <w:r w:rsidR="00194684">
        <w:t xml:space="preserve"> se développe dans l</w:t>
      </w:r>
      <w:r w:rsidR="003E2F0B">
        <w:t>a plupart des mouvements influents</w:t>
      </w:r>
      <w:r w:rsidR="005506F2">
        <w:t xml:space="preserve"> de droite</w:t>
      </w:r>
      <w:r w:rsidR="00194684">
        <w:t xml:space="preserve"> qui</w:t>
      </w:r>
      <w:r w:rsidR="003E2F0B">
        <w:t xml:space="preserve"> rejettent l’universalisme de la vie politique démocratique pour privilégier l</w:t>
      </w:r>
      <w:r w:rsidR="006149B8">
        <w:t>’</w:t>
      </w:r>
      <w:r w:rsidR="003E2F0B">
        <w:t>identité d</w:t>
      </w:r>
      <w:r w:rsidR="006149B8">
        <w:t>’</w:t>
      </w:r>
      <w:r w:rsidR="003E2F0B">
        <w:t xml:space="preserve">un groupe particulier </w:t>
      </w:r>
      <w:r w:rsidR="001541D2">
        <w:t xml:space="preserve">et </w:t>
      </w:r>
      <w:r w:rsidR="003E2F0B">
        <w:t>l’éta</w:t>
      </w:r>
      <w:r w:rsidR="0068467A">
        <w:t xml:space="preserve">t </w:t>
      </w:r>
      <w:r w:rsidR="003E2F0B">
        <w:t xml:space="preserve">nation, rassembleur des traditions révolutionnaires françaises. C’est un effondrement spectaculaire pour le </w:t>
      </w:r>
      <w:r w:rsidR="001541D2">
        <w:t>PS</w:t>
      </w:r>
      <w:r w:rsidR="003E2F0B">
        <w:t xml:space="preserve"> en </w:t>
      </w:r>
      <w:r w:rsidR="001541D2">
        <w:t>France.</w:t>
      </w:r>
    </w:p>
    <w:p w14:paraId="1C4F2F05" w14:textId="325AA2C3" w:rsidR="00194684" w:rsidRDefault="00D652E6" w:rsidP="00465026">
      <w:r>
        <w:t>Grande-Bretagne :</w:t>
      </w:r>
    </w:p>
    <w:p w14:paraId="58FD481C" w14:textId="7C81A89C" w:rsidR="004D0600" w:rsidRDefault="003C09D1" w:rsidP="00465026">
      <w:r>
        <w:t xml:space="preserve">Le gouvernement de Margaret </w:t>
      </w:r>
      <w:r w:rsidR="00D652E6">
        <w:t>Thatcher a</w:t>
      </w:r>
      <w:r>
        <w:t xml:space="preserve"> une mauvaise réputation à gauche parce qu’il s’appuie sur un égoïsme asocial.</w:t>
      </w:r>
      <w:r w:rsidR="00F56D94">
        <w:t xml:space="preserve"> </w:t>
      </w:r>
      <w:r w:rsidR="00AE478F">
        <w:t>Cependant,</w:t>
      </w:r>
      <w:r w:rsidR="00A94A8D">
        <w:t xml:space="preserve"> </w:t>
      </w:r>
      <w:r w:rsidR="00AE478F">
        <w:t>l</w:t>
      </w:r>
      <w:r w:rsidR="00F56D94">
        <w:t>a gauche britannique</w:t>
      </w:r>
      <w:r w:rsidR="00AE478F">
        <w:t xml:space="preserve"> admet</w:t>
      </w:r>
      <w:r w:rsidR="00F56D94">
        <w:t xml:space="preserve"> </w:t>
      </w:r>
      <w:r w:rsidR="00AE478F">
        <w:t>q</w:t>
      </w:r>
      <w:r w:rsidR="00F56D94">
        <w:t xml:space="preserve">ue certains des chocs impitoyables </w:t>
      </w:r>
      <w:r w:rsidR="00A94A8D">
        <w:t>que Mme</w:t>
      </w:r>
      <w:r w:rsidR="00F56D94">
        <w:t xml:space="preserve"> </w:t>
      </w:r>
      <w:r w:rsidR="00A94A8D">
        <w:t>Thatcher</w:t>
      </w:r>
      <w:r w:rsidR="00F56D94">
        <w:t xml:space="preserve"> avait administré à l'économie</w:t>
      </w:r>
      <w:r w:rsidR="002F3D6E">
        <w:t xml:space="preserve"> étaient</w:t>
      </w:r>
      <w:r w:rsidR="00F56D94">
        <w:t xml:space="preserve"> probablement</w:t>
      </w:r>
      <w:r w:rsidR="002F3D6E">
        <w:t xml:space="preserve"> </w:t>
      </w:r>
      <w:r w:rsidR="00204833">
        <w:t xml:space="preserve">nécessaires. </w:t>
      </w:r>
      <w:r w:rsidR="008A740C">
        <w:t xml:space="preserve">Malgré </w:t>
      </w:r>
      <w:r w:rsidR="0044711F">
        <w:t xml:space="preserve">tout, de </w:t>
      </w:r>
      <w:r w:rsidR="0047562B">
        <w:t>nombreux cols blancs et diplômés découvrent au début de la décennie 1980</w:t>
      </w:r>
      <w:r w:rsidR="00204833">
        <w:t xml:space="preserve"> q</w:t>
      </w:r>
      <w:r w:rsidR="0047562B">
        <w:t>ue ni l</w:t>
      </w:r>
      <w:r w:rsidR="0044711F">
        <w:t>’</w:t>
      </w:r>
      <w:r w:rsidR="0047562B">
        <w:t>emploi, ni leur avenir ne leur sont assurés. Dans les régions les plus prospères du pays, près de la moitié des habitants, imaginent</w:t>
      </w:r>
      <w:r w:rsidR="00CB3C82">
        <w:t xml:space="preserve"> </w:t>
      </w:r>
      <w:r w:rsidR="0047562B">
        <w:t xml:space="preserve">pouvoir perdre leur travail. </w:t>
      </w:r>
    </w:p>
    <w:p w14:paraId="67172155" w14:textId="713D9D40" w:rsidR="0009766C" w:rsidRDefault="0084775E" w:rsidP="00465026">
      <w:r>
        <w:t xml:space="preserve"> </w:t>
      </w:r>
      <w:r w:rsidR="00CB3C82">
        <w:t>Italie :</w:t>
      </w:r>
    </w:p>
    <w:p w14:paraId="06BB1179" w14:textId="383CA2AB" w:rsidR="0084775E" w:rsidRDefault="001822A4" w:rsidP="00465026">
      <w:r>
        <w:lastRenderedPageBreak/>
        <w:t>Le s</w:t>
      </w:r>
      <w:r w:rsidR="0073738D">
        <w:t xml:space="preserve">ystème politique </w:t>
      </w:r>
      <w:r>
        <w:t xml:space="preserve">est </w:t>
      </w:r>
      <w:r w:rsidR="0073738D">
        <w:t>ébranlé</w:t>
      </w:r>
      <w:r>
        <w:t xml:space="preserve"> pa</w:t>
      </w:r>
      <w:r w:rsidR="0073738D">
        <w:t>r la rébellion des électeurs contre la corruption endémique.</w:t>
      </w:r>
    </w:p>
    <w:p w14:paraId="69E4AE91" w14:textId="34EF1FE3" w:rsidR="00CF2E8B" w:rsidRDefault="00CF2E8B" w:rsidP="00465026">
      <w:r>
        <w:t>Allemagne :</w:t>
      </w:r>
    </w:p>
    <w:p w14:paraId="2B0E9B00" w14:textId="2DFBEA3C" w:rsidR="00CF2E8B" w:rsidRDefault="009E5DF6" w:rsidP="00465026">
      <w:r>
        <w:t>L’Allemagne, première puissance économique européenne</w:t>
      </w:r>
      <w:r w:rsidR="00F3724B">
        <w:t>,</w:t>
      </w:r>
      <w:r>
        <w:t xml:space="preserve"> doit soumettre son économie et ses partenaires communautaires </w:t>
      </w:r>
      <w:r w:rsidR="00767432">
        <w:t xml:space="preserve">à </w:t>
      </w:r>
      <w:r>
        <w:t>de terribles tensions, du seul fait que son gouvernement a</w:t>
      </w:r>
      <w:r w:rsidR="00767432">
        <w:t xml:space="preserve"> </w:t>
      </w:r>
      <w:r>
        <w:t>sous-estimé</w:t>
      </w:r>
      <w:r w:rsidR="00767432">
        <w:t xml:space="preserve"> l</w:t>
      </w:r>
      <w:r>
        <w:t xml:space="preserve">a difficulté </w:t>
      </w:r>
      <w:r w:rsidR="00767432">
        <w:t>et le</w:t>
      </w:r>
      <w:r>
        <w:t xml:space="preserve">s </w:t>
      </w:r>
      <w:r w:rsidR="00767432">
        <w:t>coups de</w:t>
      </w:r>
      <w:r>
        <w:t xml:space="preserve"> l’absorption </w:t>
      </w:r>
      <w:r w:rsidR="0024770A">
        <w:t>d'u</w:t>
      </w:r>
      <w:r>
        <w:t>ne partie de l’économie socialiste</w:t>
      </w:r>
      <w:r w:rsidR="0024770A">
        <w:t xml:space="preserve"> : </w:t>
      </w:r>
      <w:r>
        <w:t xml:space="preserve">la </w:t>
      </w:r>
      <w:r w:rsidR="00A7751B">
        <w:t>R</w:t>
      </w:r>
      <w:r>
        <w:t xml:space="preserve">épublique </w:t>
      </w:r>
      <w:r w:rsidR="00A7751B">
        <w:t>D</w:t>
      </w:r>
      <w:r>
        <w:t xml:space="preserve">émocratique </w:t>
      </w:r>
      <w:r w:rsidR="00A7751B">
        <w:t>A</w:t>
      </w:r>
      <w:r>
        <w:t>llemande avec ses 1</w:t>
      </w:r>
      <w:r w:rsidR="00097954">
        <w:t xml:space="preserve">6 millions </w:t>
      </w:r>
      <w:r>
        <w:t xml:space="preserve"> d’habitants. C’est l’une des conséquences imprévues de l’effondrement soviétique.</w:t>
      </w:r>
      <w:r w:rsidR="00E6079E">
        <w:t xml:space="preserve"> D'un côté sociétal</w:t>
      </w:r>
      <w:r w:rsidR="005714E7">
        <w:t xml:space="preserve">, il </w:t>
      </w:r>
      <w:r w:rsidR="00E6079E">
        <w:t>semble que les valeurs et les traditions germaniques ont été mieux conservées</w:t>
      </w:r>
      <w:r w:rsidR="005714E7">
        <w:t xml:space="preserve"> p</w:t>
      </w:r>
      <w:r w:rsidR="00E6079E">
        <w:t xml:space="preserve">ar </w:t>
      </w:r>
      <w:r w:rsidR="005714E7">
        <w:t>la RDA</w:t>
      </w:r>
      <w:r w:rsidR="00E6079E">
        <w:t xml:space="preserve"> que la </w:t>
      </w:r>
      <w:r w:rsidR="005714E7">
        <w:t xml:space="preserve">RFA </w:t>
      </w:r>
      <w:r w:rsidR="00222E69">
        <w:t>.</w:t>
      </w:r>
    </w:p>
    <w:p w14:paraId="32CBC7FF" w14:textId="77777777" w:rsidR="007A13B4" w:rsidRDefault="007A13B4" w:rsidP="007A13B4"/>
    <w:sectPr w:rsidR="007A1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37A5"/>
    <w:multiLevelType w:val="hybridMultilevel"/>
    <w:tmpl w:val="13C6E5EE"/>
    <w:lvl w:ilvl="0" w:tplc="FFFFFFFF">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45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AD"/>
    <w:rsid w:val="000436AD"/>
    <w:rsid w:val="00071B75"/>
    <w:rsid w:val="00081005"/>
    <w:rsid w:val="00087655"/>
    <w:rsid w:val="0009766C"/>
    <w:rsid w:val="00097954"/>
    <w:rsid w:val="000A348D"/>
    <w:rsid w:val="000A3DDC"/>
    <w:rsid w:val="000A797D"/>
    <w:rsid w:val="000B2AD9"/>
    <w:rsid w:val="000B2E98"/>
    <w:rsid w:val="000C3CD5"/>
    <w:rsid w:val="000C551A"/>
    <w:rsid w:val="000E2D40"/>
    <w:rsid w:val="000E495B"/>
    <w:rsid w:val="00101EF9"/>
    <w:rsid w:val="00110550"/>
    <w:rsid w:val="0011699A"/>
    <w:rsid w:val="00117A06"/>
    <w:rsid w:val="00117DFA"/>
    <w:rsid w:val="00147882"/>
    <w:rsid w:val="001541D2"/>
    <w:rsid w:val="001642B9"/>
    <w:rsid w:val="001821C8"/>
    <w:rsid w:val="001822A4"/>
    <w:rsid w:val="00191E36"/>
    <w:rsid w:val="00194684"/>
    <w:rsid w:val="001A1458"/>
    <w:rsid w:val="001D0A95"/>
    <w:rsid w:val="001D23B7"/>
    <w:rsid w:val="001E6945"/>
    <w:rsid w:val="001F1396"/>
    <w:rsid w:val="001F1BDC"/>
    <w:rsid w:val="001F363E"/>
    <w:rsid w:val="00204833"/>
    <w:rsid w:val="00220D3D"/>
    <w:rsid w:val="00222E69"/>
    <w:rsid w:val="0024770A"/>
    <w:rsid w:val="002B4E91"/>
    <w:rsid w:val="002C758F"/>
    <w:rsid w:val="002D1A1B"/>
    <w:rsid w:val="002E5CDD"/>
    <w:rsid w:val="002F35FB"/>
    <w:rsid w:val="002F3D6E"/>
    <w:rsid w:val="00306F91"/>
    <w:rsid w:val="00331553"/>
    <w:rsid w:val="00332101"/>
    <w:rsid w:val="0033459B"/>
    <w:rsid w:val="003422CD"/>
    <w:rsid w:val="00356DE7"/>
    <w:rsid w:val="003951A6"/>
    <w:rsid w:val="003956FB"/>
    <w:rsid w:val="003A2309"/>
    <w:rsid w:val="003B6560"/>
    <w:rsid w:val="003C08C3"/>
    <w:rsid w:val="003C09D1"/>
    <w:rsid w:val="003C0E04"/>
    <w:rsid w:val="003C1A36"/>
    <w:rsid w:val="003E2F0B"/>
    <w:rsid w:val="00400785"/>
    <w:rsid w:val="00406C7C"/>
    <w:rsid w:val="004104CB"/>
    <w:rsid w:val="0044711F"/>
    <w:rsid w:val="004513CA"/>
    <w:rsid w:val="00454CC2"/>
    <w:rsid w:val="00465026"/>
    <w:rsid w:val="0047562B"/>
    <w:rsid w:val="00484801"/>
    <w:rsid w:val="00496C8E"/>
    <w:rsid w:val="004D0600"/>
    <w:rsid w:val="004D3BD8"/>
    <w:rsid w:val="004D446D"/>
    <w:rsid w:val="0050580F"/>
    <w:rsid w:val="005065EB"/>
    <w:rsid w:val="00510522"/>
    <w:rsid w:val="00520E1C"/>
    <w:rsid w:val="00543FFD"/>
    <w:rsid w:val="0054405D"/>
    <w:rsid w:val="005506F2"/>
    <w:rsid w:val="00561A91"/>
    <w:rsid w:val="0056540E"/>
    <w:rsid w:val="005663BD"/>
    <w:rsid w:val="005666FB"/>
    <w:rsid w:val="005714E7"/>
    <w:rsid w:val="00595A73"/>
    <w:rsid w:val="005C4602"/>
    <w:rsid w:val="00611C8B"/>
    <w:rsid w:val="006149B8"/>
    <w:rsid w:val="00621D03"/>
    <w:rsid w:val="00621D19"/>
    <w:rsid w:val="00647E21"/>
    <w:rsid w:val="0065524B"/>
    <w:rsid w:val="00674F6F"/>
    <w:rsid w:val="0068467A"/>
    <w:rsid w:val="006B0EE7"/>
    <w:rsid w:val="006B4C66"/>
    <w:rsid w:val="006B547F"/>
    <w:rsid w:val="006C7A85"/>
    <w:rsid w:val="006D7E30"/>
    <w:rsid w:val="006E4EA8"/>
    <w:rsid w:val="006F4F39"/>
    <w:rsid w:val="007034EF"/>
    <w:rsid w:val="00724040"/>
    <w:rsid w:val="007314F3"/>
    <w:rsid w:val="007363F3"/>
    <w:rsid w:val="0073738D"/>
    <w:rsid w:val="00746081"/>
    <w:rsid w:val="00765520"/>
    <w:rsid w:val="007672EB"/>
    <w:rsid w:val="00767432"/>
    <w:rsid w:val="00786F6E"/>
    <w:rsid w:val="007959E4"/>
    <w:rsid w:val="007A13B4"/>
    <w:rsid w:val="007B7020"/>
    <w:rsid w:val="00801265"/>
    <w:rsid w:val="00803E44"/>
    <w:rsid w:val="00816B86"/>
    <w:rsid w:val="00826CF1"/>
    <w:rsid w:val="0083063E"/>
    <w:rsid w:val="00833F25"/>
    <w:rsid w:val="008406AD"/>
    <w:rsid w:val="00843771"/>
    <w:rsid w:val="0084775E"/>
    <w:rsid w:val="008674F7"/>
    <w:rsid w:val="00880B53"/>
    <w:rsid w:val="0088634B"/>
    <w:rsid w:val="008A71FB"/>
    <w:rsid w:val="008A740C"/>
    <w:rsid w:val="008B333F"/>
    <w:rsid w:val="008C0486"/>
    <w:rsid w:val="008C1F4B"/>
    <w:rsid w:val="008C6FBD"/>
    <w:rsid w:val="008D748B"/>
    <w:rsid w:val="00926144"/>
    <w:rsid w:val="0094517A"/>
    <w:rsid w:val="00986DE1"/>
    <w:rsid w:val="00992CEB"/>
    <w:rsid w:val="009A0BA2"/>
    <w:rsid w:val="009A19E6"/>
    <w:rsid w:val="009A60B5"/>
    <w:rsid w:val="009B1E6B"/>
    <w:rsid w:val="009B212E"/>
    <w:rsid w:val="009B4797"/>
    <w:rsid w:val="009E5307"/>
    <w:rsid w:val="009E5DF6"/>
    <w:rsid w:val="00A147C0"/>
    <w:rsid w:val="00A406CF"/>
    <w:rsid w:val="00A60B2C"/>
    <w:rsid w:val="00A6145F"/>
    <w:rsid w:val="00A67671"/>
    <w:rsid w:val="00A711B8"/>
    <w:rsid w:val="00A72F07"/>
    <w:rsid w:val="00A74E6C"/>
    <w:rsid w:val="00A7751B"/>
    <w:rsid w:val="00A831A4"/>
    <w:rsid w:val="00A92DE0"/>
    <w:rsid w:val="00A94A8D"/>
    <w:rsid w:val="00AA76CB"/>
    <w:rsid w:val="00AB23A0"/>
    <w:rsid w:val="00AE478F"/>
    <w:rsid w:val="00AE50C7"/>
    <w:rsid w:val="00AE66A8"/>
    <w:rsid w:val="00AF6A42"/>
    <w:rsid w:val="00B00881"/>
    <w:rsid w:val="00B0503E"/>
    <w:rsid w:val="00B40725"/>
    <w:rsid w:val="00B42408"/>
    <w:rsid w:val="00B461EE"/>
    <w:rsid w:val="00B54752"/>
    <w:rsid w:val="00B674AA"/>
    <w:rsid w:val="00B84DF0"/>
    <w:rsid w:val="00BA7740"/>
    <w:rsid w:val="00BB1313"/>
    <w:rsid w:val="00BC45A6"/>
    <w:rsid w:val="00BC4B05"/>
    <w:rsid w:val="00BE3C0A"/>
    <w:rsid w:val="00C00228"/>
    <w:rsid w:val="00C20944"/>
    <w:rsid w:val="00C266EE"/>
    <w:rsid w:val="00C43F24"/>
    <w:rsid w:val="00C502D0"/>
    <w:rsid w:val="00C50B92"/>
    <w:rsid w:val="00C57124"/>
    <w:rsid w:val="00C64199"/>
    <w:rsid w:val="00C65FD1"/>
    <w:rsid w:val="00C85B5C"/>
    <w:rsid w:val="00C86040"/>
    <w:rsid w:val="00CA66B8"/>
    <w:rsid w:val="00CB3C82"/>
    <w:rsid w:val="00CC07F3"/>
    <w:rsid w:val="00CC25CE"/>
    <w:rsid w:val="00CC3ECB"/>
    <w:rsid w:val="00CE60FE"/>
    <w:rsid w:val="00CF23F2"/>
    <w:rsid w:val="00CF2E8B"/>
    <w:rsid w:val="00D00F0F"/>
    <w:rsid w:val="00D04F0F"/>
    <w:rsid w:val="00D53D94"/>
    <w:rsid w:val="00D6157A"/>
    <w:rsid w:val="00D652E6"/>
    <w:rsid w:val="00D71D93"/>
    <w:rsid w:val="00D81FAD"/>
    <w:rsid w:val="00DA6B75"/>
    <w:rsid w:val="00DB62CD"/>
    <w:rsid w:val="00DC250C"/>
    <w:rsid w:val="00DD326D"/>
    <w:rsid w:val="00DD5560"/>
    <w:rsid w:val="00DF12CA"/>
    <w:rsid w:val="00DF4113"/>
    <w:rsid w:val="00DF575B"/>
    <w:rsid w:val="00DF7A0D"/>
    <w:rsid w:val="00DF7D40"/>
    <w:rsid w:val="00DF7FEE"/>
    <w:rsid w:val="00E052A9"/>
    <w:rsid w:val="00E21E2F"/>
    <w:rsid w:val="00E242FB"/>
    <w:rsid w:val="00E313E8"/>
    <w:rsid w:val="00E40B7E"/>
    <w:rsid w:val="00E5248C"/>
    <w:rsid w:val="00E559B7"/>
    <w:rsid w:val="00E6079E"/>
    <w:rsid w:val="00E61AD5"/>
    <w:rsid w:val="00E865C9"/>
    <w:rsid w:val="00EA29A2"/>
    <w:rsid w:val="00EA450D"/>
    <w:rsid w:val="00EE51E3"/>
    <w:rsid w:val="00F31877"/>
    <w:rsid w:val="00F3724B"/>
    <w:rsid w:val="00F5478F"/>
    <w:rsid w:val="00F56D94"/>
    <w:rsid w:val="00F73DD8"/>
    <w:rsid w:val="00F75398"/>
    <w:rsid w:val="00F82FDF"/>
    <w:rsid w:val="00FA3EA9"/>
    <w:rsid w:val="00FD6665"/>
    <w:rsid w:val="00FD7661"/>
    <w:rsid w:val="00FF2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CB1748"/>
  <w15:chartTrackingRefBased/>
  <w15:docId w15:val="{D057068C-C439-E948-AF9B-E076AFFE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1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1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1F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1FA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1FA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1F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1F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1F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1F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1F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1F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1F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1F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1F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1F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1F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1F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1FAD"/>
    <w:rPr>
      <w:rFonts w:eastAsiaTheme="majorEastAsia" w:cstheme="majorBidi"/>
      <w:color w:val="272727" w:themeColor="text1" w:themeTint="D8"/>
    </w:rPr>
  </w:style>
  <w:style w:type="paragraph" w:styleId="Titre">
    <w:name w:val="Title"/>
    <w:basedOn w:val="Normal"/>
    <w:next w:val="Normal"/>
    <w:link w:val="TitreCar"/>
    <w:uiPriority w:val="10"/>
    <w:qFormat/>
    <w:rsid w:val="00D81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1F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1F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1F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1FAD"/>
    <w:pPr>
      <w:spacing w:before="160"/>
      <w:jc w:val="center"/>
    </w:pPr>
    <w:rPr>
      <w:i/>
      <w:iCs/>
      <w:color w:val="404040" w:themeColor="text1" w:themeTint="BF"/>
    </w:rPr>
  </w:style>
  <w:style w:type="character" w:customStyle="1" w:styleId="CitationCar">
    <w:name w:val="Citation Car"/>
    <w:basedOn w:val="Policepardfaut"/>
    <w:link w:val="Citation"/>
    <w:uiPriority w:val="29"/>
    <w:rsid w:val="00D81FAD"/>
    <w:rPr>
      <w:i/>
      <w:iCs/>
      <w:color w:val="404040" w:themeColor="text1" w:themeTint="BF"/>
    </w:rPr>
  </w:style>
  <w:style w:type="paragraph" w:styleId="Paragraphedeliste">
    <w:name w:val="List Paragraph"/>
    <w:basedOn w:val="Normal"/>
    <w:uiPriority w:val="34"/>
    <w:qFormat/>
    <w:rsid w:val="00D81FAD"/>
    <w:pPr>
      <w:ind w:left="720"/>
      <w:contextualSpacing/>
    </w:pPr>
  </w:style>
  <w:style w:type="character" w:styleId="Accentuationintense">
    <w:name w:val="Intense Emphasis"/>
    <w:basedOn w:val="Policepardfaut"/>
    <w:uiPriority w:val="21"/>
    <w:qFormat/>
    <w:rsid w:val="00D81FAD"/>
    <w:rPr>
      <w:i/>
      <w:iCs/>
      <w:color w:val="0F4761" w:themeColor="accent1" w:themeShade="BF"/>
    </w:rPr>
  </w:style>
  <w:style w:type="paragraph" w:styleId="Citationintense">
    <w:name w:val="Intense Quote"/>
    <w:basedOn w:val="Normal"/>
    <w:next w:val="Normal"/>
    <w:link w:val="CitationintenseCar"/>
    <w:uiPriority w:val="30"/>
    <w:qFormat/>
    <w:rsid w:val="00D81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1FAD"/>
    <w:rPr>
      <w:i/>
      <w:iCs/>
      <w:color w:val="0F4761" w:themeColor="accent1" w:themeShade="BF"/>
    </w:rPr>
  </w:style>
  <w:style w:type="character" w:styleId="Rfrenceintense">
    <w:name w:val="Intense Reference"/>
    <w:basedOn w:val="Policepardfaut"/>
    <w:uiPriority w:val="32"/>
    <w:qFormat/>
    <w:rsid w:val="00D81F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7555</Characters>
  <Application>Microsoft Office Word</Application>
  <DocSecurity>0</DocSecurity>
  <Lines>62</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Magniez</dc:creator>
  <cp:keywords/>
  <dc:description/>
  <cp:lastModifiedBy>Sophie Magniez</cp:lastModifiedBy>
  <cp:revision>2</cp:revision>
  <dcterms:created xsi:type="dcterms:W3CDTF">2025-11-03T00:20:00Z</dcterms:created>
  <dcterms:modified xsi:type="dcterms:W3CDTF">2025-11-03T00:20:00Z</dcterms:modified>
</cp:coreProperties>
</file>