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360" w:lineRule="auto"/>
        <w:ind w:right="-13.937007874014284"/>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D">
      <w:pPr>
        <w:spacing w:line="360" w:lineRule="auto"/>
        <w:ind w:right="-13.937007874014284"/>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E">
      <w:pPr>
        <w:spacing w:line="360" w:lineRule="auto"/>
        <w:ind w:right="-13.937007874014284"/>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F">
      <w:pPr>
        <w:spacing w:line="360" w:lineRule="auto"/>
        <w:ind w:right="-13.937007874014284"/>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0">
      <w:pPr>
        <w:spacing w:line="360" w:lineRule="auto"/>
        <w:ind w:right="-13.937007874014284"/>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1">
      <w:pPr>
        <w:spacing w:line="360" w:lineRule="auto"/>
        <w:ind w:right="-13.93700787401428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Note de Lecture 1.</w:t>
      </w:r>
      <w:r w:rsidDel="00000000" w:rsidR="00000000" w:rsidRPr="00000000">
        <w:rPr>
          <w:rtl w:val="0"/>
        </w:rPr>
      </w:r>
    </w:p>
    <w:p w:rsidR="00000000" w:rsidDel="00000000" w:rsidP="00000000" w:rsidRDefault="00000000" w:rsidRPr="00000000" w14:paraId="00000012">
      <w:pPr>
        <w:spacing w:line="360" w:lineRule="auto"/>
        <w:ind w:right="-13.937007874014284"/>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after="240" w:before="240" w:line="36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after="240" w:before="24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Hobsbawm Eric,</w:t>
      </w:r>
      <w:r w:rsidDel="00000000" w:rsidR="00000000" w:rsidRPr="00000000">
        <w:rPr>
          <w:rFonts w:ascii="Times New Roman" w:cs="Times New Roman" w:eastAsia="Times New Roman" w:hAnsi="Times New Roman"/>
          <w:i w:val="1"/>
          <w:rtl w:val="0"/>
        </w:rPr>
        <w:t xml:space="preserve"> L' Ere des extrêmes Histoire du court XXe siècle</w:t>
      </w:r>
      <w:r w:rsidDel="00000000" w:rsidR="00000000" w:rsidRPr="00000000">
        <w:rPr>
          <w:rFonts w:ascii="Times New Roman" w:cs="Times New Roman" w:eastAsia="Times New Roman" w:hAnsi="Times New Roman"/>
          <w:rtl w:val="0"/>
        </w:rPr>
        <w:t xml:space="preserve">, Marseille, Agone, « Elements», 2020, Chapitre XII,  pp. 616- 662</w:t>
      </w:r>
    </w:p>
    <w:p w:rsidR="00000000" w:rsidDel="00000000" w:rsidP="00000000" w:rsidRDefault="00000000" w:rsidRPr="00000000" w14:paraId="00000015">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360" w:lineRule="auto"/>
        <w:ind w:right="-13.937007874014284"/>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360" w:lineRule="auto"/>
        <w:ind w:right="-13.937007874014284"/>
        <w:rPr>
          <w:rFonts w:ascii="Times New Roman" w:cs="Times New Roman" w:eastAsia="Times New Roman" w:hAnsi="Times New Roman"/>
          <w:b w:val="1"/>
          <w:color w:val="990000"/>
          <w:sz w:val="26"/>
          <w:szCs w:val="26"/>
          <w:u w:val="single"/>
        </w:rPr>
      </w:pPr>
      <w:bookmarkStart w:colFirst="0" w:colLast="0" w:name="_555i4ahjn9nz" w:id="0"/>
      <w:bookmarkEnd w:id="0"/>
      <w:r w:rsidDel="00000000" w:rsidR="00000000" w:rsidRPr="00000000">
        <w:rPr>
          <w:rFonts w:ascii="Times New Roman" w:cs="Times New Roman" w:eastAsia="Times New Roman" w:hAnsi="Times New Roman"/>
          <w:b w:val="1"/>
          <w:color w:val="990000"/>
          <w:sz w:val="26"/>
          <w:szCs w:val="26"/>
          <w:u w:val="single"/>
          <w:rtl w:val="0"/>
        </w:rPr>
        <w:t xml:space="preserve">I ] Introduction à l’ouvrage et aux chapitres : </w:t>
      </w:r>
    </w:p>
    <w:p w:rsidR="00000000" w:rsidDel="00000000" w:rsidP="00000000" w:rsidRDefault="00000000" w:rsidRPr="00000000" w14:paraId="00000023">
      <w:pPr>
        <w:numPr>
          <w:ilvl w:val="0"/>
          <w:numId w:val="4"/>
        </w:numPr>
        <w:spacing w:after="240" w:before="24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L’auteur de l’ouvrage est Eric Hobsbawm, né en 1917 et décédé en 2012</w:t>
      </w:r>
      <w:r w:rsidDel="00000000" w:rsidR="00000000" w:rsidRPr="00000000">
        <w:rPr>
          <w:rFonts w:ascii="Times New Roman" w:cs="Times New Roman" w:eastAsia="Times New Roman" w:hAnsi="Times New Roman"/>
          <w:rtl w:val="0"/>
        </w:rPr>
        <w:t xml:space="preserve">. Il était un historien britannique qui fut professeur au Birkbeck College, spécialiste des XIXème et XXème siècles notamment des questions liées au nationalisme, la révolution, au système capitaliste et aux transformations socials. Son ouvrage pour cette note de lecture est le suivant : Hobsbawm Eric,</w:t>
      </w:r>
      <w:r w:rsidDel="00000000" w:rsidR="00000000" w:rsidRPr="00000000">
        <w:rPr>
          <w:rFonts w:ascii="Times New Roman" w:cs="Times New Roman" w:eastAsia="Times New Roman" w:hAnsi="Times New Roman"/>
          <w:i w:val="1"/>
          <w:rtl w:val="0"/>
        </w:rPr>
        <w:t xml:space="preserve"> L' Ere des extrêmes Histoire du court XXe siècle</w:t>
      </w:r>
      <w:r w:rsidDel="00000000" w:rsidR="00000000" w:rsidRPr="00000000">
        <w:rPr>
          <w:rFonts w:ascii="Times New Roman" w:cs="Times New Roman" w:eastAsia="Times New Roman" w:hAnsi="Times New Roman"/>
          <w:rtl w:val="0"/>
        </w:rPr>
        <w:t xml:space="preserve">, Marseille, Agone, « Elements», 2020, Chapitre XII,  pp. 616- 662. Nous allons ainsi nous rendre compte du Chapitre XII, page 616-662, intitulé </w:t>
      </w:r>
      <w:r w:rsidDel="00000000" w:rsidR="00000000" w:rsidRPr="00000000">
        <w:rPr>
          <w:rFonts w:ascii="Times New Roman" w:cs="Times New Roman" w:eastAsia="Times New Roman" w:hAnsi="Times New Roman"/>
          <w:i w:val="1"/>
          <w:rtl w:val="0"/>
        </w:rPr>
        <w:t xml:space="preserve">« Le Tiers-Monde »</w:t>
      </w:r>
      <w:r w:rsidDel="00000000" w:rsidR="00000000" w:rsidRPr="00000000">
        <w:rPr>
          <w:rFonts w:ascii="Times New Roman" w:cs="Times New Roman" w:eastAsia="Times New Roman" w:hAnsi="Times New Roman"/>
          <w:rtl w:val="0"/>
        </w:rPr>
        <w:t xml:space="preserve">. Le chapitre met en lumière la manière dont les mutations des sociétés post coloniales se bâtissent à la fois grâce à leur passé colonial, de l’importation de modèles extérieurs et de l’intégration progressive à la mondialisation.</w:t>
      </w:r>
    </w:p>
    <w:p w:rsidR="00000000" w:rsidDel="00000000" w:rsidP="00000000" w:rsidRDefault="00000000" w:rsidRPr="00000000" w14:paraId="00000024">
      <w:pPr>
        <w:pStyle w:val="Heading3"/>
        <w:keepNext w:val="0"/>
        <w:keepLines w:val="0"/>
        <w:spacing w:before="280" w:line="360" w:lineRule="auto"/>
        <w:ind w:right="-13.937007874014284"/>
        <w:rPr>
          <w:rFonts w:ascii="Times New Roman" w:cs="Times New Roman" w:eastAsia="Times New Roman" w:hAnsi="Times New Roman"/>
          <w:b w:val="1"/>
          <w:color w:val="990000"/>
          <w:sz w:val="26"/>
          <w:szCs w:val="26"/>
          <w:u w:val="single"/>
        </w:rPr>
      </w:pPr>
      <w:bookmarkStart w:colFirst="0" w:colLast="0" w:name="_lhxi7z4wibkd" w:id="1"/>
      <w:bookmarkEnd w:id="1"/>
      <w:r w:rsidDel="00000000" w:rsidR="00000000" w:rsidRPr="00000000">
        <w:rPr>
          <w:rFonts w:ascii="Times New Roman" w:cs="Times New Roman" w:eastAsia="Times New Roman" w:hAnsi="Times New Roman"/>
          <w:b w:val="1"/>
          <w:color w:val="990000"/>
          <w:sz w:val="26"/>
          <w:szCs w:val="26"/>
          <w:u w:val="single"/>
          <w:rtl w:val="0"/>
        </w:rPr>
        <w:t xml:space="preserve">II ] Paradoxe &amp; Problématique</w:t>
      </w:r>
    </w:p>
    <w:p w:rsidR="00000000" w:rsidDel="00000000" w:rsidP="00000000" w:rsidRDefault="00000000" w:rsidRPr="00000000" w14:paraId="00000025">
      <w:pPr>
        <w:numPr>
          <w:ilvl w:val="0"/>
          <w:numId w:val="3"/>
        </w:numPr>
        <w:spacing w:after="240" w:before="240" w:line="36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 et par quels moyens les nouveaux états post coloniaux, héritiers de structures coloniales, peuvent-ils tenter de se développer, s’affirmer politiquement et économiquement, tout en étant soumis à des pressions démographiques, institutionnelles et externes ? </w:t>
      </w:r>
    </w:p>
    <w:p w:rsidR="00000000" w:rsidDel="00000000" w:rsidP="00000000" w:rsidRDefault="00000000" w:rsidRPr="00000000" w14:paraId="00000026">
      <w:pPr>
        <w:spacing w:after="240" w:before="240" w:line="36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360" w:lineRule="auto"/>
        <w:ind w:right="-13.937007874014284"/>
        <w:rPr>
          <w:rFonts w:ascii="Times New Roman" w:cs="Times New Roman" w:eastAsia="Times New Roman" w:hAnsi="Times New Roman"/>
        </w:rPr>
      </w:pPr>
      <w:bookmarkStart w:colFirst="0" w:colLast="0" w:name="_ltv4u6cb4ohp" w:id="2"/>
      <w:bookmarkEnd w:id="2"/>
      <w:r w:rsidDel="00000000" w:rsidR="00000000" w:rsidRPr="00000000">
        <w:rPr>
          <w:rFonts w:ascii="Times New Roman" w:cs="Times New Roman" w:eastAsia="Times New Roman" w:hAnsi="Times New Roman"/>
          <w:b w:val="1"/>
          <w:color w:val="990000"/>
          <w:sz w:val="26"/>
          <w:szCs w:val="26"/>
          <w:u w:val="single"/>
          <w:rtl w:val="0"/>
        </w:rPr>
        <w:t xml:space="preserve">III ] Résumé</w:t>
      </w:r>
      <w:r w:rsidDel="00000000" w:rsidR="00000000" w:rsidRPr="00000000">
        <w:rPr>
          <w:rtl w:val="0"/>
        </w:rPr>
      </w:r>
    </w:p>
    <w:p w:rsidR="00000000" w:rsidDel="00000000" w:rsidP="00000000" w:rsidRDefault="00000000" w:rsidRPr="00000000" w14:paraId="00000028">
      <w:pPr>
        <w:numPr>
          <w:ilvl w:val="0"/>
          <w:numId w:val="2"/>
        </w:numPr>
        <w:spacing w:after="0" w:afterAutospacing="0" w:before="240" w:line="360" w:lineRule="auto"/>
        <w:ind w:left="720" w:hanging="360"/>
        <w:rPr>
          <w:rFonts w:ascii="Times New Roman" w:cs="Times New Roman" w:eastAsia="Times New Roman" w:hAnsi="Times New Roman"/>
          <w:color w:val="38761d"/>
        </w:rPr>
      </w:pPr>
      <w:r w:rsidDel="00000000" w:rsidR="00000000" w:rsidRPr="00000000">
        <w:rPr>
          <w:rFonts w:ascii="Times New Roman" w:cs="Times New Roman" w:eastAsia="Times New Roman" w:hAnsi="Times New Roman"/>
          <w:b w:val="1"/>
          <w:color w:val="38761d"/>
          <w:rtl w:val="0"/>
        </w:rPr>
        <w:t xml:space="preserve">Contexte  (page 616 à 617)</w:t>
        <w:br w:type="textWrapping"/>
      </w:r>
    </w:p>
    <w:p w:rsidR="00000000" w:rsidDel="00000000" w:rsidP="00000000" w:rsidRDefault="00000000" w:rsidRPr="00000000" w14:paraId="00000029">
      <w:pPr>
        <w:numPr>
          <w:ilvl w:val="0"/>
          <w:numId w:val="6"/>
        </w:numPr>
        <w:spacing w:after="240" w:before="0" w:before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Eric </w:t>
      </w:r>
      <w:r w:rsidDel="00000000" w:rsidR="00000000" w:rsidRPr="00000000">
        <w:rPr>
          <w:rFonts w:ascii="Times New Roman" w:cs="Times New Roman" w:eastAsia="Times New Roman" w:hAnsi="Times New Roman"/>
          <w:rtl w:val="0"/>
        </w:rPr>
        <w:t xml:space="preserve">Hobsbawm lance son chapitre par une conversation sous une véranda en Égypte qui exprime la nostalgie d’un “temps d’avant“, d’une solidarité perdue. Il nous présente également la transformation globale : les révolutions, les indépendances, la reconnaissance de nouveaux états en Afrique, Asie, Amérique latine après 1945.</w:t>
        <w:br w:type="textWrapping"/>
      </w:r>
    </w:p>
    <w:p w:rsidR="00000000" w:rsidDel="00000000" w:rsidP="00000000" w:rsidRDefault="00000000" w:rsidRPr="00000000" w14:paraId="0000002A">
      <w:pPr>
        <w:spacing w:after="240" w:before="24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2"/>
        </w:numPr>
        <w:spacing w:after="0" w:afterAutospacing="0" w:before="240" w:line="360" w:lineRule="auto"/>
        <w:ind w:left="720" w:hanging="360"/>
        <w:rPr>
          <w:rFonts w:ascii="Times New Roman" w:cs="Times New Roman" w:eastAsia="Times New Roman" w:hAnsi="Times New Roman"/>
          <w:color w:val="38761d"/>
        </w:rPr>
      </w:pPr>
      <w:r w:rsidDel="00000000" w:rsidR="00000000" w:rsidRPr="00000000">
        <w:rPr>
          <w:rFonts w:ascii="Times New Roman" w:cs="Times New Roman" w:eastAsia="Times New Roman" w:hAnsi="Times New Roman"/>
          <w:b w:val="1"/>
          <w:color w:val="38761d"/>
          <w:rtl w:val="0"/>
        </w:rPr>
        <w:t xml:space="preserve">Explosion démographique et la mise en place d’une transition (page 618 à 619)</w:t>
        <w:br w:type="textWrapping"/>
      </w:r>
    </w:p>
    <w:p w:rsidR="00000000" w:rsidDel="00000000" w:rsidP="00000000" w:rsidRDefault="00000000" w:rsidRPr="00000000" w14:paraId="0000002C">
      <w:pPr>
        <w:numPr>
          <w:ilvl w:val="0"/>
          <w:numId w:val="1"/>
        </w:numPr>
        <w:spacing w:after="0" w:afterAutospacing="0" w:before="0" w:before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 succès de la médecine contemporaine entraîne la c</w:t>
      </w:r>
      <w:r w:rsidDel="00000000" w:rsidR="00000000" w:rsidRPr="00000000">
        <w:rPr>
          <w:rFonts w:ascii="Times New Roman" w:cs="Times New Roman" w:eastAsia="Times New Roman" w:hAnsi="Times New Roman"/>
          <w:rtl w:val="0"/>
        </w:rPr>
        <w:t xml:space="preserve">hute de la mortalité dans le monde. En grande partie dans les anciennes colonies ce qui permet de maintenir une natalité élevé, qui entrainera une croissance rapide de la population dans les états nouvellement indépendants. Par exemple, on peut noter une baisse importante de la mortalité au Mexique après 1944. Mais cette explosion démographique va entraîner de nouvelles problématiques propres aux pays post coloniaux. Par exemple : une pression sur les infrastructures majeures des états comme les institutions, la santé et l’éducation. Les états post coloniaux vont par eux même tenter de réduire les effets négatifs de cette explosion démographique en mettant en place certaines politiques de contrôle démographique. Par exemple, on peut citer l’exemple de l'Inde qui va mettre en place des campagnes de stérilisation pendant l’état d’urgence 1975-1977. On peut également présenter le cas de la Chine qui met en place en 1979 la politique de l’enfant unique.</w:t>
        <w:br w:type="textWrapping"/>
      </w:r>
    </w:p>
    <w:p w:rsidR="00000000" w:rsidDel="00000000" w:rsidP="00000000" w:rsidRDefault="00000000" w:rsidRPr="00000000" w14:paraId="0000002D">
      <w:pPr>
        <w:numPr>
          <w:ilvl w:val="0"/>
          <w:numId w:val="2"/>
        </w:numPr>
        <w:spacing w:after="0" w:afterAutospacing="0" w:before="0" w:beforeAutospacing="0" w:line="360" w:lineRule="auto"/>
        <w:ind w:left="720" w:hanging="360"/>
        <w:rPr>
          <w:rFonts w:ascii="Times New Roman" w:cs="Times New Roman" w:eastAsia="Times New Roman" w:hAnsi="Times New Roman"/>
          <w:color w:val="38761d"/>
        </w:rPr>
      </w:pPr>
      <w:r w:rsidDel="00000000" w:rsidR="00000000" w:rsidRPr="00000000">
        <w:rPr>
          <w:rFonts w:ascii="Times New Roman" w:cs="Times New Roman" w:eastAsia="Times New Roman" w:hAnsi="Times New Roman"/>
          <w:b w:val="1"/>
          <w:color w:val="38761d"/>
          <w:rtl w:val="0"/>
        </w:rPr>
        <w:t xml:space="preserve">Institutions politiques, coups d’état (page 620 à 624)</w:t>
        <w:br w:type="textWrapping"/>
      </w:r>
    </w:p>
    <w:p w:rsidR="00000000" w:rsidDel="00000000" w:rsidP="00000000" w:rsidRDefault="00000000" w:rsidRPr="00000000" w14:paraId="0000002E">
      <w:pPr>
        <w:numPr>
          <w:ilvl w:val="0"/>
          <w:numId w:val="7"/>
        </w:numPr>
        <w:spacing w:after="0" w:afterAutospacing="0" w:before="0" w:beforeAutospacing="0" w:line="360" w:lineRule="auto"/>
        <w:ind w:left="1417.3228346456694"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Les états post coloniaux tentent d’établir des </w:t>
      </w:r>
      <w:r w:rsidDel="00000000" w:rsidR="00000000" w:rsidRPr="00000000">
        <w:rPr>
          <w:rFonts w:ascii="Times New Roman" w:cs="Times New Roman" w:eastAsia="Times New Roman" w:hAnsi="Times New Roman"/>
          <w:rtl w:val="0"/>
        </w:rPr>
        <w:t xml:space="preserve">républiques parlementaires mais souvent fragiles. En effet, ces nouveaux états manquent de tradition démocratique, faiblesse de l’état, faiblesse économique. De plus, on voit apparaître sur la plupart des états post coloniaux des coups d’État militaires. En effet, l’armée s’impose dans de nombreux pays comme acteur de gouvernement avec une volonté de stabilisation de l'état. Cependant certains pays comme la Thaïlande connaissent une alternance répété entre des régimes militaires et civils. Cela nous permet de montrer la fragilité institutionnelle des états post coloniaux.</w:t>
        <w:br w:type="textWrapping"/>
      </w:r>
    </w:p>
    <w:p w:rsidR="00000000" w:rsidDel="00000000" w:rsidP="00000000" w:rsidRDefault="00000000" w:rsidRPr="00000000" w14:paraId="0000002F">
      <w:pPr>
        <w:numPr>
          <w:ilvl w:val="0"/>
          <w:numId w:val="2"/>
        </w:numPr>
        <w:spacing w:after="0" w:afterAutospacing="0" w:before="0" w:beforeAutospacing="0" w:line="360" w:lineRule="auto"/>
        <w:ind w:left="720" w:hanging="360"/>
        <w:rPr>
          <w:rFonts w:ascii="Times New Roman" w:cs="Times New Roman" w:eastAsia="Times New Roman" w:hAnsi="Times New Roman"/>
          <w:color w:val="38761d"/>
        </w:rPr>
      </w:pPr>
      <w:r w:rsidDel="00000000" w:rsidR="00000000" w:rsidRPr="00000000">
        <w:rPr>
          <w:rFonts w:ascii="Times New Roman" w:cs="Times New Roman" w:eastAsia="Times New Roman" w:hAnsi="Times New Roman"/>
          <w:b w:val="1"/>
          <w:color w:val="38761d"/>
          <w:rtl w:val="0"/>
        </w:rPr>
        <w:t xml:space="preserve">Modèles importés de développement, planification, industrialisation (page 625 à 628)</w:t>
        <w:br w:type="textWrapping"/>
      </w:r>
    </w:p>
    <w:p w:rsidR="00000000" w:rsidDel="00000000" w:rsidP="00000000" w:rsidRDefault="00000000" w:rsidRPr="00000000" w14:paraId="00000030">
      <w:pPr>
        <w:numPr>
          <w:ilvl w:val="0"/>
          <w:numId w:val="5"/>
        </w:numPr>
        <w:spacing w:after="0" w:afterAutospacing="0" w:before="0" w:before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 nombreux états post coloniaux adoptent après leur indépendance des stratégies de développement inspirés des modèles étrangées : planification économique, industrialisation, substitution aux importations et système de  nationalisation. Certaines de ces politiques, d’inspiration socialiste ou nationaliste s’aligne avec l’apprentissage des expériences d’autres post coloniales comme celle du Mexique en 1938 mais se diffusent majoritairement de 1950 à 1970. Cependant, ces politiques rencontrent rapidement leurs limites : coûts de mise en œuvre élevés, lourdeurs bureaucratiques, corruption et dépendance technologique envers les pays industrialisés. Ces trajectoires différentes entraînent une division au sein du “ Tiers monde”. En effet, certains pays comme le Brésil ou la Corée du Sud mettent en place une industrialisation soutenue et deviennent des économies émergentes, tandis que d’autres demeurent marqués par des faiblesses structurelles toujours présentes.</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1">
      <w:pPr>
        <w:numPr>
          <w:ilvl w:val="0"/>
          <w:numId w:val="2"/>
        </w:numPr>
        <w:spacing w:after="0" w:afterAutospacing="0" w:before="0" w:beforeAutospacing="0" w:line="360" w:lineRule="auto"/>
        <w:ind w:left="720" w:hanging="360"/>
        <w:rPr>
          <w:rFonts w:ascii="Times New Roman" w:cs="Times New Roman" w:eastAsia="Times New Roman" w:hAnsi="Times New Roman"/>
          <w:color w:val="38761d"/>
        </w:rPr>
      </w:pPr>
      <w:r w:rsidDel="00000000" w:rsidR="00000000" w:rsidRPr="00000000">
        <w:rPr>
          <w:rFonts w:ascii="Times New Roman" w:cs="Times New Roman" w:eastAsia="Times New Roman" w:hAnsi="Times New Roman"/>
          <w:b w:val="1"/>
          <w:color w:val="38761d"/>
          <w:rtl w:val="0"/>
        </w:rPr>
        <w:t xml:space="preserve">Réformes agraires, exode rural, fractures étatiques internes (page 629 à 637)</w:t>
        <w:br w:type="textWrapping"/>
      </w:r>
    </w:p>
    <w:p w:rsidR="00000000" w:rsidDel="00000000" w:rsidP="00000000" w:rsidRDefault="00000000" w:rsidRPr="00000000" w14:paraId="00000032">
      <w:pPr>
        <w:numPr>
          <w:ilvl w:val="0"/>
          <w:numId w:val="9"/>
        </w:numPr>
        <w:spacing w:after="0" w:afterAutospacing="0" w:before="0" w:before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Le bouleversement liée à l'émergence de ses nouveaux états entraîne un lot de réformes et notamment les réformes</w:t>
      </w:r>
      <w:r w:rsidDel="00000000" w:rsidR="00000000" w:rsidRPr="00000000">
        <w:rPr>
          <w:rFonts w:ascii="Times New Roman" w:cs="Times New Roman" w:eastAsia="Times New Roman" w:hAnsi="Times New Roman"/>
          <w:rtl w:val="0"/>
        </w:rPr>
        <w:t xml:space="preserve"> agraires comme moyen de redistribution, de légitimation, de rupture avec des structures terriennes héritées. Par exemple au Pérou en 1969 ou encore à Cuba après les années 1959. Les réformes agraires vont permettre de mettre en place la “Révolution verte”. Cette révolution verte entraîne la modernisation agricole à partir des années 1950, 1960 avec notamment des semences plus résistantes, une irrigation des sols et l’arrivée de fertilisants. Ces bouleversements entraînent un exode rural pour l’éducation, le travail, en grande partie dû au réforme agraire qui libère le nombre d’individus qui était nécessaire au maintien des terres agricoles entraînant des déséquilibres régionaux, culturels et sociaux. </w:t>
        <w:br w:type="textWrapping"/>
      </w:r>
    </w:p>
    <w:p w:rsidR="00000000" w:rsidDel="00000000" w:rsidP="00000000" w:rsidRDefault="00000000" w:rsidRPr="00000000" w14:paraId="00000033">
      <w:pPr>
        <w:numPr>
          <w:ilvl w:val="0"/>
          <w:numId w:val="2"/>
        </w:numPr>
        <w:spacing w:after="0" w:afterAutospacing="0" w:before="0" w:beforeAutospacing="0" w:line="360" w:lineRule="auto"/>
        <w:ind w:left="720" w:hanging="360"/>
        <w:rPr>
          <w:rFonts w:ascii="Times New Roman" w:cs="Times New Roman" w:eastAsia="Times New Roman" w:hAnsi="Times New Roman"/>
          <w:color w:val="38761d"/>
        </w:rPr>
      </w:pPr>
      <w:r w:rsidDel="00000000" w:rsidR="00000000" w:rsidRPr="00000000">
        <w:rPr>
          <w:rFonts w:ascii="Times New Roman" w:cs="Times New Roman" w:eastAsia="Times New Roman" w:hAnsi="Times New Roman"/>
          <w:b w:val="1"/>
          <w:color w:val="38761d"/>
          <w:rtl w:val="0"/>
        </w:rPr>
        <w:t xml:space="preserve">Mondialisation, redéfinition du “Tiers monde”, trajectoires différentes (page 638 662)</w:t>
        <w:br w:type="textWrapping"/>
      </w:r>
    </w:p>
    <w:p w:rsidR="00000000" w:rsidDel="00000000" w:rsidP="00000000" w:rsidRDefault="00000000" w:rsidRPr="00000000" w14:paraId="00000034">
      <w:pPr>
        <w:numPr>
          <w:ilvl w:val="0"/>
          <w:numId w:val="8"/>
        </w:numPr>
        <w:spacing w:after="240" w:before="0" w:beforeAutospacing="0" w:line="36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 dit précédemment, le terme “Tiers monde” possède une histoire particulière. A l’origine, durant la guerre froide, il désignait les pays non alignés aux blocs. C’est à dire ni allié à l’occident, ni à l’URSS. Ce terme a commencé à être utilisé dans les années 1950.  Petit à petit, il a évolué pour désigner “les pays du sud”,” les pays en développement” ou encore “les pays à faible revenus”. Par la mondialisation qui entraîne l’ouverture aux échanges économiques, de nouvelles cultures et aux migrations certains pays parviennent à s’intégrer dans le cercle mondial ou à en tirer profit via le commerce d’exportation ou d’importation.  Mais comme les généralités ne font jamais sens, certains pays connaissent des progrès tandis que d’autres ne progressent pas.</w:t>
      </w: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35">
      <w:pPr>
        <w:pStyle w:val="Heading3"/>
        <w:keepNext w:val="0"/>
        <w:keepLines w:val="0"/>
        <w:spacing w:before="280" w:line="360" w:lineRule="auto"/>
        <w:ind w:right="-13.937007874014284"/>
        <w:rPr>
          <w:rFonts w:ascii="Times New Roman" w:cs="Times New Roman" w:eastAsia="Times New Roman" w:hAnsi="Times New Roman"/>
          <w:b w:val="1"/>
          <w:color w:val="990000"/>
          <w:sz w:val="26"/>
          <w:szCs w:val="26"/>
          <w:u w:val="single"/>
        </w:rPr>
      </w:pPr>
      <w:bookmarkStart w:colFirst="0" w:colLast="0" w:name="_cmg0o4wwsoid" w:id="3"/>
      <w:bookmarkEnd w:id="3"/>
      <w:r w:rsidDel="00000000" w:rsidR="00000000" w:rsidRPr="00000000">
        <w:rPr>
          <w:rFonts w:ascii="Times New Roman" w:cs="Times New Roman" w:eastAsia="Times New Roman" w:hAnsi="Times New Roman"/>
          <w:b w:val="1"/>
          <w:color w:val="990000"/>
          <w:sz w:val="26"/>
          <w:szCs w:val="26"/>
          <w:u w:val="single"/>
          <w:rtl w:val="0"/>
        </w:rPr>
        <w:t xml:space="preserve">VI ] Conclusion</w:t>
      </w:r>
    </w:p>
    <w:p w:rsidR="00000000" w:rsidDel="00000000" w:rsidP="00000000" w:rsidRDefault="00000000" w:rsidRPr="00000000" w14:paraId="00000036">
      <w:pPr>
        <w:numPr>
          <w:ilvl w:val="0"/>
          <w:numId w:val="10"/>
        </w:numPr>
        <w:spacing w:after="240" w:before="240" w:line="36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conclure Eric Hobsbawm montre que les états post coloniaux sont confrontés à deux défis majeurs. Le premier est la gestion de l’héritage de la colonisation tout en adoptant des modèles étrangers pour se développer. Cette tension explique pourquoi leurs trajectoires sont si différentes : certains pays réussissent à progresser et à s’intégrer dans la mondialisation, tandis que d’autres restent dépendants et fragiles. Et la deuxième est que malgré les efforts pour se moderniser, les inégalités et les difficultés structurelles continuent de marquer le Tiers monde montrant la difficulté de ces pays à réussir leur transformation.</w:t>
      </w:r>
      <w:r w:rsidDel="00000000" w:rsidR="00000000" w:rsidRPr="00000000">
        <w:rPr>
          <w:rtl w:val="0"/>
        </w:rPr>
      </w:r>
    </w:p>
    <w:p w:rsidR="00000000" w:rsidDel="00000000" w:rsidP="00000000" w:rsidRDefault="00000000" w:rsidRPr="00000000" w14:paraId="00000037">
      <w:pPr>
        <w:spacing w:line="360" w:lineRule="auto"/>
        <w:ind w:left="0" w:right="-13.937007874014284"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360" w:lineRule="auto"/>
        <w:ind w:right="-13.937007874014284"/>
        <w:rPr>
          <w:rFonts w:ascii="Times New Roman" w:cs="Times New Roman" w:eastAsia="Times New Roman" w:hAnsi="Times New Roman"/>
        </w:rPr>
      </w:pPr>
      <w:r w:rsidDel="00000000" w:rsidR="00000000" w:rsidRPr="00000000">
        <w:rPr>
          <w:rtl w:val="0"/>
        </w:rPr>
      </w:r>
    </w:p>
    <w:sectPr>
      <w:headerReference r:id="rId6" w:type="default"/>
      <w:headerReference r:id="rId7" w:type="first"/>
      <w:footerReference r:id="rId8" w:type="default"/>
      <w:footerReference r:id="rId9" w:type="first"/>
      <w:pgSz w:h="16834" w:w="11909" w:orient="portrait"/>
      <w:pgMar w:bottom="1440" w:top="1440" w:left="1984.251968503937"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CARON DE CHOCQUEUSE</w:t>
    </w:r>
  </w:p>
  <w:p w:rsidR="00000000" w:rsidDel="00000000" w:rsidP="00000000" w:rsidRDefault="00000000" w:rsidRPr="00000000" w14:paraId="0000003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Adrien</w:t>
    </w:r>
    <w:r w:rsidDel="00000000" w:rsidR="00000000" w:rsidRPr="00000000">
      <w:rPr>
        <w:rtl w:val="0"/>
      </w:rPr>
    </w:r>
  </w:p>
  <w:p w:rsidR="00000000" w:rsidDel="00000000" w:rsidP="00000000" w:rsidRDefault="00000000" w:rsidRPr="00000000" w14:paraId="0000003D">
    <w:pPr>
      <w:spacing w:line="360" w:lineRule="auto"/>
      <w:ind w:right="-13.937007874014284"/>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12518340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