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3E5F" w14:textId="737A08DE" w:rsidR="003D7628" w:rsidRDefault="00636A20" w:rsidP="003D76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A20">
        <w:rPr>
          <w:rFonts w:ascii="Times New Roman" w:hAnsi="Times New Roman" w:cs="Times New Roman"/>
          <w:b/>
          <w:bCs/>
          <w:sz w:val="28"/>
          <w:szCs w:val="28"/>
        </w:rPr>
        <w:t xml:space="preserve">Fiche de lecture </w:t>
      </w:r>
    </w:p>
    <w:p w14:paraId="13C99900" w14:textId="77777777" w:rsidR="003D7628" w:rsidRDefault="003D7628" w:rsidP="003D76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24FEA" w14:textId="2A891924" w:rsidR="003D7628" w:rsidRPr="003D7628" w:rsidRDefault="003D7628" w:rsidP="00601A79">
      <w:pPr>
        <w:rPr>
          <w:rFonts w:ascii="Times New Roman" w:hAnsi="Times New Roman" w:cs="Times New Roman"/>
        </w:rPr>
      </w:pPr>
      <w:r w:rsidRPr="003D7628">
        <w:rPr>
          <w:rFonts w:ascii="Times New Roman" w:hAnsi="Times New Roman" w:cs="Times New Roman"/>
          <w:b/>
          <w:bCs/>
        </w:rPr>
        <w:t xml:space="preserve">Auteur : </w:t>
      </w:r>
      <w:r w:rsidR="003E5C48" w:rsidRPr="003D7628">
        <w:rPr>
          <w:rFonts w:ascii="Times New Roman" w:hAnsi="Times New Roman" w:cs="Times New Roman"/>
        </w:rPr>
        <w:t>Éric</w:t>
      </w:r>
      <w:r w:rsidRPr="003D7628">
        <w:rPr>
          <w:rFonts w:ascii="Times New Roman" w:hAnsi="Times New Roman" w:cs="Times New Roman"/>
        </w:rPr>
        <w:t xml:space="preserve"> Hobsbawm</w:t>
      </w:r>
    </w:p>
    <w:p w14:paraId="6333AB8F" w14:textId="77777777" w:rsidR="003D7628" w:rsidRPr="003D7628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Titre :</w:t>
      </w:r>
      <w:r w:rsidRPr="003D7628">
        <w:rPr>
          <w:rFonts w:ascii="Times New Roman" w:hAnsi="Times New Roman" w:cs="Times New Roman"/>
          <w:kern w:val="0"/>
        </w:rPr>
        <w:t xml:space="preserve"> </w:t>
      </w:r>
      <w:r w:rsidRPr="003D7628">
        <w:rPr>
          <w:rFonts w:ascii="Times New Roman" w:hAnsi="Times New Roman" w:cs="Times New Roman"/>
          <w:i/>
          <w:iCs/>
          <w:kern w:val="0"/>
        </w:rPr>
        <w:t>L’Ère des extrêmes, histoire du court XXe siècle (1914-1991)</w:t>
      </w:r>
    </w:p>
    <w:p w14:paraId="5049801D" w14:textId="77777777" w:rsidR="003D7628" w:rsidRPr="003D7628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Lieu de publication :</w:t>
      </w:r>
      <w:r w:rsidRPr="003D7628">
        <w:rPr>
          <w:rFonts w:ascii="Times New Roman" w:hAnsi="Times New Roman" w:cs="Times New Roman"/>
          <w:kern w:val="0"/>
        </w:rPr>
        <w:t xml:space="preserve"> Marseille</w:t>
      </w:r>
    </w:p>
    <w:p w14:paraId="2EC4B958" w14:textId="77777777" w:rsidR="003D7628" w:rsidRPr="003D7628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Maison d’édition :</w:t>
      </w:r>
      <w:r w:rsidRPr="003D7628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3D7628">
        <w:rPr>
          <w:rFonts w:ascii="Times New Roman" w:hAnsi="Times New Roman" w:cs="Times New Roman"/>
          <w:kern w:val="0"/>
        </w:rPr>
        <w:t>Agone</w:t>
      </w:r>
      <w:proofErr w:type="spellEnd"/>
      <w:r w:rsidRPr="003D7628">
        <w:rPr>
          <w:rFonts w:ascii="Times New Roman" w:hAnsi="Times New Roman" w:cs="Times New Roman"/>
          <w:kern w:val="0"/>
        </w:rPr>
        <w:t xml:space="preserve"> / Le Monde diplomatique</w:t>
      </w:r>
    </w:p>
    <w:p w14:paraId="4C073285" w14:textId="452A1542" w:rsidR="003D7628" w:rsidRPr="003D7628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Date de publication :</w:t>
      </w:r>
      <w:r w:rsidRPr="003D7628">
        <w:rPr>
          <w:rFonts w:ascii="Times New Roman" w:hAnsi="Times New Roman" w:cs="Times New Roman"/>
          <w:kern w:val="0"/>
        </w:rPr>
        <w:t xml:space="preserve"> 2020 (</w:t>
      </w:r>
      <w:r>
        <w:rPr>
          <w:rFonts w:ascii="Times New Roman" w:hAnsi="Times New Roman" w:cs="Times New Roman"/>
          <w:kern w:val="0"/>
        </w:rPr>
        <w:t>1è</w:t>
      </w:r>
      <w:r w:rsidRPr="003D7628">
        <w:rPr>
          <w:rFonts w:ascii="Times New Roman" w:hAnsi="Times New Roman" w:cs="Times New Roman"/>
          <w:kern w:val="0"/>
        </w:rPr>
        <w:t xml:space="preserve">re édition anglaise </w:t>
      </w:r>
      <w:r w:rsidRPr="003D7628">
        <w:rPr>
          <w:rFonts w:ascii="Times New Roman" w:hAnsi="Times New Roman" w:cs="Times New Roman"/>
          <w:i/>
          <w:iCs/>
          <w:kern w:val="0"/>
        </w:rPr>
        <w:t xml:space="preserve">The Age of </w:t>
      </w:r>
      <w:proofErr w:type="spellStart"/>
      <w:r w:rsidRPr="003D7628">
        <w:rPr>
          <w:rFonts w:ascii="Times New Roman" w:hAnsi="Times New Roman" w:cs="Times New Roman"/>
          <w:i/>
          <w:iCs/>
          <w:kern w:val="0"/>
        </w:rPr>
        <w:t>Extremes</w:t>
      </w:r>
      <w:proofErr w:type="spellEnd"/>
      <w:r w:rsidR="00601A79">
        <w:rPr>
          <w:rFonts w:ascii="Times New Roman" w:hAnsi="Times New Roman" w:cs="Times New Roman"/>
          <w:kern w:val="0"/>
        </w:rPr>
        <w:t xml:space="preserve"> </w:t>
      </w:r>
      <w:r w:rsidRPr="003D7628">
        <w:rPr>
          <w:rFonts w:ascii="Times New Roman" w:hAnsi="Times New Roman" w:cs="Times New Roman"/>
          <w:kern w:val="0"/>
        </w:rPr>
        <w:t xml:space="preserve"> en 1994)</w:t>
      </w:r>
    </w:p>
    <w:p w14:paraId="4B29F215" w14:textId="77777777" w:rsidR="003D7628" w:rsidRPr="003D7628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Préface :</w:t>
      </w:r>
      <w:r w:rsidRPr="003D7628">
        <w:rPr>
          <w:rFonts w:ascii="Times New Roman" w:hAnsi="Times New Roman" w:cs="Times New Roman"/>
          <w:kern w:val="0"/>
        </w:rPr>
        <w:t xml:space="preserve"> Serge Halimi</w:t>
      </w:r>
    </w:p>
    <w:p w14:paraId="013F4010" w14:textId="2338DA56" w:rsidR="00636A20" w:rsidRDefault="003D7628" w:rsidP="00601A79">
      <w:pPr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b/>
          <w:bCs/>
          <w:kern w:val="0"/>
        </w:rPr>
        <w:t>Chapitre :</w:t>
      </w:r>
      <w:r w:rsidRPr="003D7628">
        <w:rPr>
          <w:rFonts w:ascii="Times New Roman" w:hAnsi="Times New Roman" w:cs="Times New Roman"/>
          <w:kern w:val="0"/>
        </w:rPr>
        <w:t xml:space="preserve"> XIX « Vers le nouveau millénaire »</w:t>
      </w:r>
    </w:p>
    <w:p w14:paraId="29BF7751" w14:textId="77777777" w:rsidR="00601A79" w:rsidRDefault="00601A79" w:rsidP="00601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061C2FD" w14:textId="77777777" w:rsidR="00601A79" w:rsidRDefault="00601A79" w:rsidP="00601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D409FCE" w14:textId="315120BD" w:rsidR="00601A79" w:rsidRPr="00601A79" w:rsidRDefault="00601A79" w:rsidP="00601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01A79">
        <w:rPr>
          <w:rFonts w:ascii="Times New Roman" w:hAnsi="Times New Roman" w:cs="Times New Roman"/>
          <w:b/>
          <w:bCs/>
          <w:kern w:val="0"/>
        </w:rPr>
        <w:t xml:space="preserve">Résumé du chapitre : </w:t>
      </w:r>
    </w:p>
    <w:p w14:paraId="2E909D0E" w14:textId="77777777" w:rsidR="00601A79" w:rsidRDefault="00601A79" w:rsidP="00601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75E0C98" w14:textId="033F4D99" w:rsidR="003D7628" w:rsidRPr="003D7628" w:rsidRDefault="003D7628" w:rsidP="00601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D7628">
        <w:rPr>
          <w:rFonts w:ascii="Times New Roman" w:hAnsi="Times New Roman" w:cs="Times New Roman"/>
          <w:kern w:val="0"/>
        </w:rPr>
        <w:t>Dans ce dernier chapitre, Hobsbawm dresse un bilan du XX</w:t>
      </w:r>
      <w:r>
        <w:rPr>
          <w:rFonts w:ascii="Times New Roman" w:hAnsi="Times New Roman" w:cs="Times New Roman"/>
          <w:kern w:val="0"/>
        </w:rPr>
        <w:t>ème</w:t>
      </w:r>
      <w:r w:rsidRPr="003D7628">
        <w:rPr>
          <w:rFonts w:ascii="Times New Roman" w:hAnsi="Times New Roman" w:cs="Times New Roman"/>
          <w:kern w:val="0"/>
        </w:rPr>
        <w:t xml:space="preserve"> siècle et s’interroge sur les perspectives qui s’ouvrent à l’humanité à la veille du nouveau millénaire. Après l’effondrement du bloc soviétique et la fin de la guerre froide, le monde entre dans une </w:t>
      </w:r>
      <w:r w:rsidR="003E5C48">
        <w:rPr>
          <w:rFonts w:ascii="Times New Roman" w:hAnsi="Times New Roman" w:cs="Times New Roman"/>
          <w:kern w:val="0"/>
        </w:rPr>
        <w:t>phase d’incertitude. Les anciens équilibres politiques, économiques et idéologiques qui structuraient le siècle disparaissent, laissant place à une ère marquée p</w:t>
      </w:r>
      <w:r w:rsidRPr="003D7628">
        <w:rPr>
          <w:rFonts w:ascii="Times New Roman" w:hAnsi="Times New Roman" w:cs="Times New Roman"/>
          <w:kern w:val="0"/>
        </w:rPr>
        <w:t xml:space="preserve">ar l’instabilité et les inégalités croissantes. </w:t>
      </w:r>
      <w:r w:rsidR="003E5C48">
        <w:rPr>
          <w:rFonts w:ascii="Times New Roman" w:hAnsi="Times New Roman" w:cs="Times New Roman"/>
          <w:kern w:val="0"/>
        </w:rPr>
        <w:t xml:space="preserve">L’auteur </w:t>
      </w:r>
      <w:r w:rsidRPr="003D7628">
        <w:rPr>
          <w:rFonts w:ascii="Times New Roman" w:hAnsi="Times New Roman" w:cs="Times New Roman"/>
          <w:kern w:val="0"/>
        </w:rPr>
        <w:t>souligne que la puissance des États s’affaiblit face à la mondialisation et à l’expansion du capitalisme libéral. Les États riches, stables et favorisés, ne doivent leur prospérité qu’à la domination économique mondiale, tandis que les pays pauvres restent dépendants, e</w:t>
      </w:r>
      <w:r w:rsidR="002344CB">
        <w:rPr>
          <w:rFonts w:ascii="Times New Roman" w:hAnsi="Times New Roman" w:cs="Times New Roman"/>
          <w:kern w:val="0"/>
        </w:rPr>
        <w:t xml:space="preserve">xclus du </w:t>
      </w:r>
      <w:r w:rsidRPr="003D7628">
        <w:rPr>
          <w:rFonts w:ascii="Times New Roman" w:hAnsi="Times New Roman" w:cs="Times New Roman"/>
          <w:kern w:val="0"/>
        </w:rPr>
        <w:t>développement. Cette fracture Nord-Sud, héritée de la décolonisation et de la guerre froide, s’approfondit à mesure que les flux financiers et l</w:t>
      </w:r>
      <w:r w:rsidR="002344CB">
        <w:rPr>
          <w:rFonts w:ascii="Times New Roman" w:hAnsi="Times New Roman" w:cs="Times New Roman"/>
          <w:kern w:val="0"/>
        </w:rPr>
        <w:t>es</w:t>
      </w:r>
      <w:r w:rsidRPr="003D7628">
        <w:rPr>
          <w:rFonts w:ascii="Times New Roman" w:hAnsi="Times New Roman" w:cs="Times New Roman"/>
          <w:kern w:val="0"/>
        </w:rPr>
        <w:t xml:space="preserve"> logique</w:t>
      </w:r>
      <w:r w:rsidR="002344CB">
        <w:rPr>
          <w:rFonts w:ascii="Times New Roman" w:hAnsi="Times New Roman" w:cs="Times New Roman"/>
          <w:kern w:val="0"/>
        </w:rPr>
        <w:t xml:space="preserve">s </w:t>
      </w:r>
      <w:r w:rsidRPr="003D7628">
        <w:rPr>
          <w:rFonts w:ascii="Times New Roman" w:hAnsi="Times New Roman" w:cs="Times New Roman"/>
          <w:kern w:val="0"/>
        </w:rPr>
        <w:t>de marché priment sur la politique et le social. Il insiste également sur la crise idéologique qu</w:t>
      </w:r>
      <w:r w:rsidR="002344CB">
        <w:rPr>
          <w:rFonts w:ascii="Times New Roman" w:hAnsi="Times New Roman" w:cs="Times New Roman"/>
          <w:kern w:val="0"/>
        </w:rPr>
        <w:t>i</w:t>
      </w:r>
      <w:r w:rsidRPr="003D7628">
        <w:rPr>
          <w:rFonts w:ascii="Times New Roman" w:hAnsi="Times New Roman" w:cs="Times New Roman"/>
          <w:kern w:val="0"/>
        </w:rPr>
        <w:t xml:space="preserve"> traverse la fin du siècle</w:t>
      </w:r>
      <w:r w:rsidR="002344CB">
        <w:rPr>
          <w:rFonts w:ascii="Times New Roman" w:hAnsi="Times New Roman" w:cs="Times New Roman"/>
          <w:kern w:val="0"/>
        </w:rPr>
        <w:t xml:space="preserve"> : marxisme, nationalisme, libéralisme </w:t>
      </w:r>
      <w:r w:rsidRPr="003D7628">
        <w:rPr>
          <w:rFonts w:ascii="Times New Roman" w:hAnsi="Times New Roman" w:cs="Times New Roman"/>
          <w:kern w:val="0"/>
        </w:rPr>
        <w:t>s’effritent</w:t>
      </w:r>
      <w:r w:rsidR="002344CB">
        <w:rPr>
          <w:rFonts w:ascii="Times New Roman" w:hAnsi="Times New Roman" w:cs="Times New Roman"/>
          <w:kern w:val="0"/>
        </w:rPr>
        <w:t>.</w:t>
      </w:r>
      <w:r w:rsidRPr="003D7628">
        <w:rPr>
          <w:rFonts w:ascii="Times New Roman" w:hAnsi="Times New Roman" w:cs="Times New Roman"/>
          <w:kern w:val="0"/>
        </w:rPr>
        <w:t xml:space="preserve"> </w:t>
      </w:r>
      <w:r w:rsidR="002344CB" w:rsidRPr="003D7628">
        <w:rPr>
          <w:rFonts w:ascii="Times New Roman" w:hAnsi="Times New Roman" w:cs="Times New Roman"/>
          <w:kern w:val="0"/>
        </w:rPr>
        <w:t>Les</w:t>
      </w:r>
      <w:r w:rsidRPr="003D7628">
        <w:rPr>
          <w:rFonts w:ascii="Times New Roman" w:hAnsi="Times New Roman" w:cs="Times New Roman"/>
          <w:kern w:val="0"/>
        </w:rPr>
        <w:t xml:space="preserve"> religions traditionnelles reculent en Europe. Par ailleurs, Hobsbawm évoque les défis majeurs qui menacent l’avenir : la crise démographique, l’épuisement écologique, la difficulté </w:t>
      </w:r>
      <w:r w:rsidR="002344CB">
        <w:rPr>
          <w:rFonts w:ascii="Times New Roman" w:hAnsi="Times New Roman" w:cs="Times New Roman"/>
          <w:kern w:val="0"/>
        </w:rPr>
        <w:t>d’</w:t>
      </w:r>
      <w:r w:rsidRPr="003D7628">
        <w:rPr>
          <w:rFonts w:ascii="Times New Roman" w:hAnsi="Times New Roman" w:cs="Times New Roman"/>
          <w:kern w:val="0"/>
        </w:rPr>
        <w:t>intégrer les progrès techn</w:t>
      </w:r>
      <w:r w:rsidR="002344CB">
        <w:rPr>
          <w:rFonts w:ascii="Times New Roman" w:hAnsi="Times New Roman" w:cs="Times New Roman"/>
          <w:kern w:val="0"/>
        </w:rPr>
        <w:t xml:space="preserve">iques à des sociétés inégalitaires. </w:t>
      </w:r>
      <w:r w:rsidRPr="003D7628">
        <w:rPr>
          <w:rFonts w:ascii="Times New Roman" w:hAnsi="Times New Roman" w:cs="Times New Roman"/>
          <w:kern w:val="0"/>
        </w:rPr>
        <w:t xml:space="preserve">Enfin, </w:t>
      </w:r>
      <w:r w:rsidR="002344CB">
        <w:rPr>
          <w:rFonts w:ascii="Times New Roman" w:hAnsi="Times New Roman" w:cs="Times New Roman"/>
          <w:kern w:val="0"/>
        </w:rPr>
        <w:t xml:space="preserve">l’auteur conclut sur une note </w:t>
      </w:r>
      <w:r w:rsidRPr="003D7628">
        <w:rPr>
          <w:rFonts w:ascii="Times New Roman" w:hAnsi="Times New Roman" w:cs="Times New Roman"/>
          <w:kern w:val="0"/>
        </w:rPr>
        <w:t xml:space="preserve">à la fois lucide et </w:t>
      </w:r>
      <w:r w:rsidR="002344CB" w:rsidRPr="003D7628">
        <w:rPr>
          <w:rFonts w:ascii="Times New Roman" w:hAnsi="Times New Roman" w:cs="Times New Roman"/>
          <w:kern w:val="0"/>
        </w:rPr>
        <w:t>inquièt</w:t>
      </w:r>
      <w:r w:rsidR="002344CB">
        <w:rPr>
          <w:rFonts w:ascii="Times New Roman" w:hAnsi="Times New Roman" w:cs="Times New Roman"/>
          <w:kern w:val="0"/>
        </w:rPr>
        <w:t>e</w:t>
      </w:r>
      <w:r w:rsidRPr="003D7628">
        <w:rPr>
          <w:rFonts w:ascii="Times New Roman" w:hAnsi="Times New Roman" w:cs="Times New Roman"/>
          <w:kern w:val="0"/>
        </w:rPr>
        <w:t xml:space="preserve"> : le </w:t>
      </w:r>
      <w:r w:rsidR="002344CB" w:rsidRPr="003D7628">
        <w:rPr>
          <w:rFonts w:ascii="Times New Roman" w:hAnsi="Times New Roman" w:cs="Times New Roman"/>
          <w:kern w:val="0"/>
        </w:rPr>
        <w:t>XXè</w:t>
      </w:r>
      <w:r w:rsidR="002344CB">
        <w:rPr>
          <w:rFonts w:ascii="Times New Roman" w:hAnsi="Times New Roman" w:cs="Times New Roman"/>
          <w:kern w:val="0"/>
        </w:rPr>
        <w:t xml:space="preserve">me </w:t>
      </w:r>
      <w:r w:rsidRPr="003D7628">
        <w:rPr>
          <w:rFonts w:ascii="Times New Roman" w:hAnsi="Times New Roman" w:cs="Times New Roman"/>
          <w:kern w:val="0"/>
        </w:rPr>
        <w:t>siècle a été le plus meurtrier de l’histoire humaine, mais il n’a pas produit un modèle durable d’organisation du monde. L’avenir dépendra de la capacité des sociétés à recréer du collectif, à maîtriser la logique du marché et à éviter que le XXI</w:t>
      </w:r>
      <w:r w:rsidR="002344CB">
        <w:rPr>
          <w:rFonts w:ascii="Times New Roman" w:hAnsi="Times New Roman" w:cs="Times New Roman"/>
          <w:kern w:val="0"/>
        </w:rPr>
        <w:t xml:space="preserve">ème </w:t>
      </w:r>
      <w:r w:rsidRPr="003D7628">
        <w:rPr>
          <w:rFonts w:ascii="Times New Roman" w:hAnsi="Times New Roman" w:cs="Times New Roman"/>
          <w:kern w:val="0"/>
        </w:rPr>
        <w:t>siècle ne soit celui d’une nouvelle barbarie.</w:t>
      </w:r>
      <w:r w:rsidR="002344CB">
        <w:rPr>
          <w:rFonts w:ascii="Times New Roman" w:hAnsi="Times New Roman" w:cs="Times New Roman"/>
          <w:kern w:val="0"/>
        </w:rPr>
        <w:t xml:space="preserve"> </w:t>
      </w:r>
    </w:p>
    <w:p w14:paraId="58191BA7" w14:textId="77777777" w:rsidR="003D7628" w:rsidRPr="003E5C48" w:rsidRDefault="003D7628" w:rsidP="003D7628">
      <w:pPr>
        <w:rPr>
          <w:rFonts w:ascii="Times New Roman" w:hAnsi="Times New Roman" w:cs="Times New Roman"/>
        </w:rPr>
      </w:pPr>
    </w:p>
    <w:sectPr w:rsidR="003D7628" w:rsidRPr="003E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0"/>
    <w:rsid w:val="002344CB"/>
    <w:rsid w:val="003D7628"/>
    <w:rsid w:val="003E5C48"/>
    <w:rsid w:val="00601A79"/>
    <w:rsid w:val="00636A20"/>
    <w:rsid w:val="006E70FB"/>
    <w:rsid w:val="008538EE"/>
    <w:rsid w:val="00E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41BBF"/>
  <w15:chartTrackingRefBased/>
  <w15:docId w15:val="{801819EF-7E75-5E44-90CC-9DA87A67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A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A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A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A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A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A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A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A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A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Paunovic</dc:creator>
  <cp:keywords/>
  <dc:description/>
  <cp:lastModifiedBy>Sofija Paunovic</cp:lastModifiedBy>
  <cp:revision>2</cp:revision>
  <cp:lastPrinted>2025-10-22T14:15:00Z</cp:lastPrinted>
  <dcterms:created xsi:type="dcterms:W3CDTF">2025-10-22T14:27:00Z</dcterms:created>
  <dcterms:modified xsi:type="dcterms:W3CDTF">2025-10-22T14:27:00Z</dcterms:modified>
</cp:coreProperties>
</file>