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i3w1qmfcf34" w:id="0"/>
      <w:bookmarkEnd w:id="0"/>
      <w:r w:rsidDel="00000000" w:rsidR="00000000" w:rsidRPr="00000000">
        <w:rPr>
          <w:b w:val="1"/>
          <w:bCs w:val="1"/>
          <w:sz w:val="46"/>
          <w:szCs w:val="46"/>
          <w:rtl w:val="0"/>
        </w:rPr>
        <w:t xml:space="preserve">Fiche de Lecture : L'Ère des Extrêmes – Eric Hobsbawm</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xoy55vsjb0u1" w:id="1"/>
      <w:bookmarkEnd w:id="1"/>
      <w:r w:rsidDel="00000000" w:rsidR="00000000" w:rsidRPr="00000000">
        <w:rPr>
          <w:b w:val="1"/>
          <w:bCs w:val="1"/>
          <w:sz w:val="34"/>
          <w:szCs w:val="34"/>
          <w:rtl w:val="0"/>
        </w:rPr>
        <w:t xml:space="preserve">Chapitre VII : La fin des empires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Auteur :</w:t>
      </w:r>
      <w:r w:rsidDel="00000000" w:rsidR="00000000" w:rsidRPr="00000000">
        <w:rPr>
          <w:rtl w:val="0"/>
        </w:rPr>
        <w:t xml:space="preserve"> Eric Hobsbawm</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Ouvrage :</w:t>
      </w:r>
      <w:r w:rsidDel="00000000" w:rsidR="00000000" w:rsidRPr="00000000">
        <w:rPr>
          <w:rtl w:val="0"/>
        </w:rPr>
        <w:t xml:space="preserve"> </w:t>
      </w:r>
      <w:r w:rsidDel="00000000" w:rsidR="00000000" w:rsidRPr="00000000">
        <w:rPr>
          <w:i w:val="1"/>
          <w:iCs w:val="1"/>
          <w:rtl w:val="0"/>
        </w:rPr>
        <w:t xml:space="preserve">L'Ère des extrêmes (Histoire du court XXe siècle</w:t>
      </w:r>
      <w:r w:rsidDel="00000000" w:rsidR="00000000" w:rsidRPr="00000000">
        <w:rPr>
          <w:rtl w:val="0"/>
        </w:rPr>
        <w:t xml:space="preserve">, 1914-1991</w:t>
      </w:r>
      <w:r w:rsidDel="00000000" w:rsidR="00000000" w:rsidRPr="00000000">
        <w:rPr>
          <w:i w:val="1"/>
          <w:iCs w:val="1"/>
          <w:rtl w:val="0"/>
        </w:rPr>
        <w:t xml:space="preserve">)</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Objet :</w:t>
      </w:r>
      <w:r w:rsidDel="00000000" w:rsidR="00000000" w:rsidRPr="00000000">
        <w:rPr>
          <w:rtl w:val="0"/>
        </w:rPr>
        <w:t xml:space="preserve"> Analyse des dynamiques politiques et économiques ayant mené à la chute des empires coloniaux.</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jsp6chtxvoyz" w:id="2"/>
      <w:bookmarkEnd w:id="2"/>
      <w:r w:rsidDel="00000000" w:rsidR="00000000" w:rsidRPr="00000000">
        <w:rPr>
          <w:b w:val="1"/>
          <w:bCs w:val="1"/>
          <w:color w:val="000000"/>
          <w:sz w:val="26"/>
          <w:szCs w:val="26"/>
          <w:rtl w:val="0"/>
        </w:rPr>
        <w:t xml:space="preserve">1. Synthèse des thèses principales</w:t>
      </w:r>
    </w:p>
    <w:p w:rsidR="00000000" w:rsidDel="00000000" w:rsidP="00000000" w:rsidRDefault="00000000" w:rsidRPr="00000000" w14:paraId="00000007">
      <w:pPr>
        <w:spacing w:after="240" w:before="240" w:lineRule="auto"/>
        <w:rPr/>
      </w:pPr>
      <w:r w:rsidDel="00000000" w:rsidR="00000000" w:rsidRPr="00000000">
        <w:rPr>
          <w:rtl w:val="0"/>
        </w:rPr>
        <w:t xml:space="preserve">Dans ce chapitre, Eric Hobsbawm ne se contente pas de raconter la décolonisation ; il cherche à démontrer que </w:t>
      </w:r>
      <w:r w:rsidDel="00000000" w:rsidR="00000000" w:rsidRPr="00000000">
        <w:rPr>
          <w:rtl w:val="0"/>
        </w:rPr>
        <w:t xml:space="preserve">l'émancipation du Tiers-Monde est passée paradoxalement par son occidentalisation</w:t>
      </w:r>
      <w:r w:rsidDel="00000000" w:rsidR="00000000" w:rsidRPr="00000000">
        <w:rPr>
          <w:rtl w:val="0"/>
        </w:rPr>
        <w:t xml:space="preserve">. Pour se libérer de la tutelle impériale, les pays dépendants ont dû adopter les outils de leurs maîtres : l'État-nation, le parti politique et l'idéologie du développement.</w:t>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pyxlbmsh1ycg" w:id="3"/>
      <w:bookmarkEnd w:id="3"/>
      <w:r w:rsidDel="00000000" w:rsidR="00000000" w:rsidRPr="00000000">
        <w:rPr>
          <w:b w:val="1"/>
          <w:bCs w:val="1"/>
          <w:color w:val="000000"/>
          <w:sz w:val="22"/>
          <w:szCs w:val="22"/>
          <w:rtl w:val="0"/>
        </w:rPr>
        <w:t xml:space="preserve">A) Le paradoxe des élites modernisatrices</w:t>
      </w:r>
    </w:p>
    <w:p w:rsidR="00000000" w:rsidDel="00000000" w:rsidP="00000000" w:rsidRDefault="00000000" w:rsidRPr="00000000" w14:paraId="00000009">
      <w:pPr>
        <w:spacing w:after="240" w:before="240" w:lineRule="auto"/>
        <w:rPr>
          <w:i w:val="1"/>
          <w:iCs w:val="1"/>
        </w:rPr>
      </w:pPr>
      <w:r w:rsidDel="00000000" w:rsidR="00000000" w:rsidRPr="00000000">
        <w:rPr>
          <w:rtl w:val="0"/>
        </w:rPr>
        <w:t xml:space="preserve">L'auteur souligne une tension fondamentale au cœur des mouvements de libération. Ces derniers étaient dirigés non pas par les masses populaires, mais par une infime minorité d'élites ultra-éduquées, souvent formées en Occident (les "évolués"). Il existe un </w:t>
      </w:r>
      <w:r w:rsidDel="00000000" w:rsidR="00000000" w:rsidRPr="00000000">
        <w:rPr>
          <w:rtl w:val="0"/>
        </w:rPr>
        <w:t xml:space="preserve">décalage culturel frappant</w:t>
      </w:r>
      <w:r w:rsidDel="00000000" w:rsidR="00000000" w:rsidRPr="00000000">
        <w:rPr>
          <w:rtl w:val="0"/>
        </w:rPr>
        <w:t xml:space="preserve"> entre ces leaders (comme Gandhi, Nehru ou Jinnah), imprégnés de culture occidentale, et les masses rurales traditionnelles qu'ils prétendent guider. Pour Hobsbawm, le "développement" impliquait nécessairement de bousculer les traditions locales, ce qui a créé une friction interne majeure : </w:t>
      </w:r>
      <w:r w:rsidDel="00000000" w:rsidR="00000000" w:rsidRPr="00000000">
        <w:rPr>
          <w:i w:val="1"/>
          <w:iCs w:val="1"/>
          <w:rtl w:val="0"/>
        </w:rPr>
        <w:t xml:space="preserve">comment moderniser le pays tout en s'appuyant sur des forces traditionalistes pour chasser le colonisateur ?</w:t>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76mtg5rpqv0o" w:id="4"/>
      <w:bookmarkEnd w:id="4"/>
      <w:r w:rsidDel="00000000" w:rsidR="00000000" w:rsidRPr="00000000">
        <w:rPr>
          <w:b w:val="1"/>
          <w:bCs w:val="1"/>
          <w:color w:val="000000"/>
          <w:sz w:val="22"/>
          <w:szCs w:val="22"/>
          <w:rtl w:val="0"/>
        </w:rPr>
        <w:t xml:space="preserve">B) La Grande Dépression comme catalyseur</w:t>
      </w:r>
    </w:p>
    <w:p w:rsidR="00000000" w:rsidDel="00000000" w:rsidP="00000000" w:rsidRDefault="00000000" w:rsidRPr="00000000" w14:paraId="0000000B">
      <w:pPr>
        <w:spacing w:after="240" w:before="240" w:lineRule="auto"/>
        <w:rPr/>
      </w:pPr>
      <w:r w:rsidDel="00000000" w:rsidR="00000000" w:rsidRPr="00000000">
        <w:rPr>
          <w:rtl w:val="0"/>
        </w:rPr>
        <w:t xml:space="preserve">Si la Première Guerre mondiale a ébranlé les empires, c'est la </w:t>
      </w:r>
      <w:r w:rsidDel="00000000" w:rsidR="00000000" w:rsidRPr="00000000">
        <w:rPr>
          <w:rtl w:val="0"/>
        </w:rPr>
        <w:t xml:space="preserve">crise économique de 1929</w:t>
      </w:r>
      <w:r w:rsidDel="00000000" w:rsidR="00000000" w:rsidRPr="00000000">
        <w:rPr>
          <w:rtl w:val="0"/>
        </w:rPr>
        <w:t xml:space="preserve"> qui a véritablement changé la donne. Jusqu'alors, la domination coloniale ne bouleversait pas fondamentalement la vie quotidienne de l'immense majorité paysanne. L'effondrement des prix des matières premières a eu deux effets décisifs :</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Il a ruiné les campagnes, rendant les masses rurales disponibles pour la révolte.</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Il a forcé le développement d'industries locales (pour remplacer les importations trop chères), créant ainsi une bourgeoisie nationale aux intérêts divergents de la métropole.</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b6ulhfwijah5" w:id="5"/>
      <w:bookmarkEnd w:id="5"/>
      <w:r w:rsidDel="00000000" w:rsidR="00000000" w:rsidRPr="00000000">
        <w:rPr>
          <w:b w:val="1"/>
          <w:bCs w:val="1"/>
          <w:color w:val="000000"/>
          <w:sz w:val="22"/>
          <w:szCs w:val="22"/>
          <w:rtl w:val="0"/>
        </w:rPr>
        <w:t xml:space="preserve">C) La stratégie de mobilisation</w:t>
      </w:r>
    </w:p>
    <w:p w:rsidR="00000000" w:rsidDel="00000000" w:rsidP="00000000" w:rsidRDefault="00000000" w:rsidRPr="00000000" w14:paraId="0000000F">
      <w:pPr>
        <w:spacing w:after="240" w:before="240" w:lineRule="auto"/>
        <w:rPr/>
      </w:pPr>
      <w:r w:rsidDel="00000000" w:rsidR="00000000" w:rsidRPr="00000000">
        <w:rPr>
          <w:rtl w:val="0"/>
        </w:rPr>
        <w:t xml:space="preserve">Le génie politique de figures comme Gandhi a été de réussir une </w:t>
      </w:r>
      <w:r w:rsidDel="00000000" w:rsidR="00000000" w:rsidRPr="00000000">
        <w:rPr>
          <w:rtl w:val="0"/>
        </w:rPr>
        <w:t xml:space="preserve">synthèse improbable</w:t>
      </w:r>
      <w:r w:rsidDel="00000000" w:rsidR="00000000" w:rsidRPr="00000000">
        <w:rPr>
          <w:rtl w:val="0"/>
        </w:rPr>
        <w:t xml:space="preserve">. Hobsbawm explique qu'ils ont su utiliser des symboles traditionnels ou religieux (le retour au rouet, la protection de la vache sacrée) pour servir un objectif résolument moderne : l'indépendance politique. Cependant, cette alliance était fragile. L'auteur note que l'incapacité à maintenir l'unité entre modernistes et traditionalistes, ou entre communautés religieuses, a parfois mené à des tragédies, comme la partition sanglante de l'Inde et du Pakistan.</w:t>
      </w:r>
    </w:p>
    <w:p w:rsidR="00000000" w:rsidDel="00000000" w:rsidP="00000000" w:rsidRDefault="00000000" w:rsidRPr="00000000" w14:paraId="00000010">
      <w:pPr>
        <w:pStyle w:val="Heading4"/>
        <w:keepNext w:val="0"/>
        <w:keepLines w:val="0"/>
        <w:spacing w:after="40" w:before="240" w:lineRule="auto"/>
        <w:rPr>
          <w:b w:val="1"/>
          <w:bCs w:val="1"/>
          <w:color w:val="000000"/>
          <w:sz w:val="22"/>
          <w:szCs w:val="22"/>
        </w:rPr>
      </w:pPr>
      <w:bookmarkStart w:colFirst="0" w:colLast="0" w:name="_bz7wvw8gcpq2" w:id="6"/>
      <w:bookmarkEnd w:id="6"/>
      <w:r w:rsidDel="00000000" w:rsidR="00000000" w:rsidRPr="00000000">
        <w:rPr>
          <w:b w:val="1"/>
          <w:bCs w:val="1"/>
          <w:color w:val="000000"/>
          <w:sz w:val="22"/>
          <w:szCs w:val="22"/>
          <w:rtl w:val="0"/>
        </w:rPr>
        <w:t xml:space="preserve">D) L'impact fatal de la Seconde Guerre mondiale</w:t>
      </w:r>
    </w:p>
    <w:p w:rsidR="00000000" w:rsidDel="00000000" w:rsidP="00000000" w:rsidRDefault="00000000" w:rsidRPr="00000000" w14:paraId="00000011">
      <w:pPr>
        <w:spacing w:after="240" w:before="240" w:lineRule="auto"/>
        <w:rPr/>
      </w:pPr>
      <w:r w:rsidDel="00000000" w:rsidR="00000000" w:rsidRPr="00000000">
        <w:rPr>
          <w:rtl w:val="0"/>
        </w:rPr>
        <w:t xml:space="preserve">Le conflit de 39-45 a porté le coup de grâce aux vieux empires européens (britannique, français, hollandais). Leur défaite humiliante face au Japon en Asie a détruit le mythe de l'invincibilité de "l'homme blanc". De plus, le nouveau contexte géopolitique de l'après-guerre était hostile au colonialisme classique : les deux </w:t>
      </w:r>
      <w:r w:rsidDel="00000000" w:rsidR="00000000" w:rsidRPr="00000000">
        <w:rPr>
          <w:rtl w:val="0"/>
        </w:rPr>
        <w:t xml:space="preserve">superpuissances</w:t>
      </w:r>
      <w:r w:rsidDel="00000000" w:rsidR="00000000" w:rsidRPr="00000000">
        <w:rPr>
          <w:rtl w:val="0"/>
        </w:rPr>
        <w:t xml:space="preserve"> victorieuses, les États-Unis et l'URSS, étaient toutes deux anticolonialistes, bien que pour des raisons idéologiques opposées.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7hxuh8quv438" w:id="7"/>
      <w:bookmarkEnd w:id="7"/>
      <w:r w:rsidDel="00000000" w:rsidR="00000000" w:rsidRPr="00000000">
        <w:rPr>
          <w:b w:val="1"/>
          <w:bCs w:val="1"/>
          <w:color w:val="000000"/>
          <w:sz w:val="26"/>
          <w:szCs w:val="26"/>
          <w:rtl w:val="0"/>
        </w:rPr>
        <w:t xml:space="preserve">2. Notions et dates clés</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b w:val="1"/>
          <w:bCs w:val="1"/>
          <w:rtl w:val="0"/>
        </w:rPr>
        <w:t xml:space="preserve">L'occidentalisation nécessaire :</w:t>
      </w:r>
      <w:r w:rsidDel="00000000" w:rsidR="00000000" w:rsidRPr="00000000">
        <w:rPr>
          <w:rtl w:val="0"/>
        </w:rPr>
        <w:t xml:space="preserve"> Idée centrale selon laquelle pour résister à l'impérialisme, les peuples colonisés ont dû imiter le modèle occidental (organisation étatique, industrielle et militaire).</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b w:val="1"/>
          <w:bCs w:val="1"/>
          <w:rtl w:val="0"/>
        </w:rPr>
        <w:t xml:space="preserve">Le "fossé</w:t>
      </w:r>
      <w:r w:rsidDel="00000000" w:rsidR="00000000" w:rsidRPr="00000000">
        <w:rPr>
          <w:b w:val="1"/>
          <w:bCs w:val="1"/>
          <w:rtl w:val="0"/>
        </w:rPr>
        <w:t xml:space="preserve">" culturel</w:t>
      </w:r>
      <w:r w:rsidDel="00000000" w:rsidR="00000000" w:rsidRPr="00000000">
        <w:rPr>
          <w:b w:val="1"/>
          <w:bCs w:val="1"/>
          <w:rtl w:val="0"/>
        </w:rPr>
        <w:t xml:space="preserve"> :</w:t>
      </w:r>
      <w:r w:rsidDel="00000000" w:rsidR="00000000" w:rsidRPr="00000000">
        <w:rPr>
          <w:rtl w:val="0"/>
        </w:rPr>
        <w:t xml:space="preserve"> La distance sociale séparant les leaders indépendantistes (souvent laïques et progressistes) de leurs propres peuples (souvent religieux et conservateurs).</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b w:val="1"/>
          <w:bCs w:val="1"/>
          <w:rtl w:val="0"/>
        </w:rPr>
        <w:t xml:space="preserve">Grande Dépression (1929-1933) :</w:t>
      </w:r>
      <w:r w:rsidDel="00000000" w:rsidR="00000000" w:rsidRPr="00000000">
        <w:rPr>
          <w:rtl w:val="0"/>
        </w:rPr>
        <w:t xml:space="preserve"> Moment charnière où le malaise colonial cesse d'être une affaire d'élite pour devenir un mouvement de masse, sous la pression économique.</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b w:val="1"/>
          <w:bCs w:val="1"/>
          <w:rtl w:val="0"/>
        </w:rPr>
        <w:t xml:space="preserve">"Quit India" (1942) :</w:t>
      </w:r>
      <w:r w:rsidDel="00000000" w:rsidR="00000000" w:rsidRPr="00000000">
        <w:rPr>
          <w:rtl w:val="0"/>
        </w:rPr>
        <w:t xml:space="preserve"> Campagne de désobéissance civile massive. Bien que réprimée, elle a prouvé aux Britanniques que le coût du maintien de l'ordre en Inde dépassait désormais ses bénéfices.</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b w:val="1"/>
          <w:bCs w:val="1"/>
          <w:rtl w:val="0"/>
        </w:rPr>
        <w:t xml:space="preserve">La partition (1947) :</w:t>
      </w:r>
      <w:r w:rsidDel="00000000" w:rsidR="00000000" w:rsidRPr="00000000">
        <w:rPr>
          <w:rtl w:val="0"/>
        </w:rPr>
        <w:t xml:space="preserve"> L'échec du nationalisme unitaire en Inde, menant à la création du Pakistan sur des bases religieuses, un événement que Hobsbawm analyse comme une dérive des mouvements de masse.</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q524e0r7vsl9" w:id="8"/>
      <w:bookmarkEnd w:id="8"/>
      <w:r w:rsidDel="00000000" w:rsidR="00000000" w:rsidRPr="00000000">
        <w:rPr>
          <w:b w:val="1"/>
          <w:bCs w:val="1"/>
          <w:color w:val="000000"/>
          <w:sz w:val="26"/>
          <w:szCs w:val="26"/>
          <w:rtl w:val="0"/>
        </w:rPr>
        <w:t xml:space="preserve">3. Éléments d'analyse et réflexions personnelles</w:t>
      </w:r>
    </w:p>
    <w:p w:rsidR="00000000" w:rsidDel="00000000" w:rsidP="00000000" w:rsidRDefault="00000000" w:rsidRPr="00000000" w14:paraId="00000019">
      <w:pPr>
        <w:spacing w:after="240" w:before="240" w:lineRule="auto"/>
        <w:rPr/>
      </w:pPr>
      <w:r w:rsidDel="00000000" w:rsidR="00000000" w:rsidRPr="00000000">
        <w:rPr>
          <w:rtl w:val="0"/>
        </w:rPr>
        <w:t xml:space="preserve">Ce qui frappe à la lecture de ce chapitre, c'est la manière dont Hobsbawm déconstruit l'image d'Épinal des luttes anticoloniales :</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b w:val="1"/>
          <w:bCs w:val="1"/>
          <w:rtl w:val="0"/>
        </w:rPr>
        <w:t xml:space="preserve">Le profil des leaders :</w:t>
      </w:r>
      <w:r w:rsidDel="00000000" w:rsidR="00000000" w:rsidRPr="00000000">
        <w:rPr>
          <w:rtl w:val="0"/>
        </w:rPr>
        <w:t xml:space="preserve"> Il est surprenant de constater à quel point les pères des indépendances étaient des produits de l'élite occidentale. L'exemple de la famille Nehru est éloquent : des enfants formés à Cambridge, dont certains deviennent ministres et d'autres communistes, illustrant une assimilation culturelle quasi totale.</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b w:val="1"/>
          <w:bCs w:val="1"/>
          <w:rtl w:val="0"/>
        </w:rPr>
        <w:t xml:space="preserve">Le rôle ambigu du Japon :</w:t>
      </w:r>
      <w:r w:rsidDel="00000000" w:rsidR="00000000" w:rsidRPr="00000000">
        <w:rPr>
          <w:rtl w:val="0"/>
        </w:rPr>
        <w:t xml:space="preserve"> L'auteur apporte une nuance intéressante sur le Japon impérialiste. Bien qu'étant une puissance occupante brutale, le Japon a joué un rôle de "libérateur involontaire" en Asie, en prouvant que des Asiatiques pouvaient vaincre des armées occidentales et en armant des mouvements nationalistes locaux.</w:t>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b w:val="1"/>
          <w:bCs w:val="1"/>
          <w:rtl w:val="0"/>
        </w:rPr>
        <w:t xml:space="preserve">L'indifférence initiale :</w:t>
      </w:r>
      <w:r w:rsidDel="00000000" w:rsidR="00000000" w:rsidRPr="00000000">
        <w:rPr>
          <w:rtl w:val="0"/>
        </w:rPr>
        <w:t xml:space="preserve"> Hobsbawm rappelle avec réalisme qu'avant les années 30, la présence coloniale était souvent tolérée par indifférence. C'est la faim et la crise économique, plus que des idéaux abstraits de liberté, qui ont d'abord poussé les paysans à se révolter.</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cdonsoh4dvf" w:id="9"/>
      <w:bookmarkEnd w:id="9"/>
      <w:r w:rsidDel="00000000" w:rsidR="00000000" w:rsidRPr="00000000">
        <w:rPr>
          <w:b w:val="1"/>
          <w:bCs w:val="1"/>
          <w:color w:val="000000"/>
          <w:sz w:val="26"/>
          <w:szCs w:val="26"/>
          <w:rtl w:val="0"/>
        </w:rPr>
        <w:t xml:space="preserve">4. Exemples significatifs cités par l'auteur</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bCs w:val="1"/>
          <w:rtl w:val="0"/>
        </w:rPr>
        <w:t xml:space="preserve">Mohandas K. Gandhi (Inde) :</w:t>
      </w:r>
      <w:r w:rsidDel="00000000" w:rsidR="00000000" w:rsidRPr="00000000">
        <w:rPr>
          <w:rtl w:val="0"/>
        </w:rPr>
        <w:t xml:space="preserve"> Présenté moins comme un saint que comme un stratège politique hors pair, capable de naviguer entre la bourgeoisie du Congrès et la spiritualité paysanne.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bCs w:val="1"/>
          <w:rtl w:val="0"/>
        </w:rPr>
        <w:t xml:space="preserve">La Ligue Musulmane &amp; Jinnah :</w:t>
      </w:r>
      <w:r w:rsidDel="00000000" w:rsidR="00000000" w:rsidRPr="00000000">
        <w:rPr>
          <w:rtl w:val="0"/>
        </w:rPr>
        <w:t xml:space="preserve"> L'exemple typique du dérapage communautaire. Jinnah, un avocat laïque et occidentalisé (qui consommait porc et alcool, note Hobsbawm), se retrouve à porter un projet d'État religieux (le Pakistan) par pure tactique politique face au Congrès.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b w:val="1"/>
          <w:bCs w:val="1"/>
          <w:rtl w:val="0"/>
        </w:rPr>
        <w:t xml:space="preserve">Sékou Touré (Guinée) :</w:t>
      </w:r>
      <w:r w:rsidDel="00000000" w:rsidR="00000000" w:rsidRPr="00000000">
        <w:rPr>
          <w:rtl w:val="0"/>
        </w:rPr>
        <w:t xml:space="preserve"> Cité pour illustrer la rupture radicale en 1958, préférant l'indépendance immédiate, même dans la pauvreté, au néocolonialisme de </w:t>
      </w:r>
      <w:r w:rsidDel="00000000" w:rsidR="00000000" w:rsidRPr="00000000">
        <w:rPr>
          <w:rtl w:val="0"/>
        </w:rPr>
        <w:t xml:space="preserve">la "Communauté</w:t>
      </w:r>
      <w:r w:rsidDel="00000000" w:rsidR="00000000" w:rsidRPr="00000000">
        <w:rPr>
          <w:rtl w:val="0"/>
        </w:rPr>
        <w:t xml:space="preserve"> </w:t>
      </w:r>
      <w:r w:rsidDel="00000000" w:rsidR="00000000" w:rsidRPr="00000000">
        <w:rPr>
          <w:rtl w:val="0"/>
        </w:rPr>
        <w:t xml:space="preserve">française" proposé</w:t>
      </w:r>
      <w:r w:rsidDel="00000000" w:rsidR="00000000" w:rsidRPr="00000000">
        <w:rPr>
          <w:rtl w:val="0"/>
        </w:rPr>
        <w:t xml:space="preserve"> par De Gaulle.</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b w:val="1"/>
          <w:bCs w:val="1"/>
          <w:rtl w:val="0"/>
        </w:rPr>
        <w:t xml:space="preserve">L'usage de la torture en Algérie :</w:t>
      </w:r>
      <w:r w:rsidDel="00000000" w:rsidR="00000000" w:rsidRPr="00000000">
        <w:rPr>
          <w:rtl w:val="0"/>
        </w:rPr>
        <w:t xml:space="preserve"> L'auteur mentionne explicitement l'usage de la "gégène" par l'armée française, soulignant comment cette brutalité a fini par délégitimer moralement la République française et précipiter la chute de la IVe République.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