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9397" w14:textId="5912F7BB" w:rsidR="471B0062" w:rsidRDefault="471B0062" w:rsidP="471B0062">
      <w:pPr>
        <w:spacing w:after="0"/>
        <w:jc w:val="center"/>
      </w:pPr>
      <w:r w:rsidRPr="471B0062">
        <w:rPr>
          <w:rFonts w:ascii="Tahoma" w:eastAsia="Tahoma" w:hAnsi="Tahoma" w:cs="Tahoma"/>
          <w:b/>
          <w:bCs/>
          <w:color w:val="0D3B5E"/>
          <w:sz w:val="28"/>
          <w:szCs w:val="28"/>
        </w:rPr>
        <w:t>UE 1 – Gouvernance, éthique et conformité – 30 heures</w:t>
      </w:r>
    </w:p>
    <w:p w14:paraId="7AA278DD" w14:textId="70AA312F" w:rsidR="471B0062" w:rsidRDefault="471B0062" w:rsidP="471B0062">
      <w:pPr>
        <w:spacing w:after="0"/>
        <w:jc w:val="center"/>
      </w:pPr>
      <w:r w:rsidRPr="471B0062">
        <w:rPr>
          <w:rFonts w:ascii="Tahoma" w:eastAsia="Tahoma" w:hAnsi="Tahoma" w:cs="Tahoma"/>
          <w:color w:val="E78925"/>
          <w:sz w:val="24"/>
          <w:szCs w:val="24"/>
        </w:rPr>
        <w:t>Nathalie Lallemand-Stempak, Maîtresse de Conférences | IAE Paris - Sorbonne</w:t>
      </w:r>
    </w:p>
    <w:p w14:paraId="73DC447A" w14:textId="341C035C" w:rsidR="471B0062" w:rsidRDefault="471B0062" w:rsidP="471B0062">
      <w:pPr>
        <w:spacing w:after="0"/>
        <w:jc w:val="center"/>
      </w:pPr>
      <w:r w:rsidRPr="471B0062">
        <w:rPr>
          <w:rFonts w:ascii="Tahoma" w:eastAsia="Tahoma" w:hAnsi="Tahoma" w:cs="Tahoma"/>
          <w:color w:val="000000" w:themeColor="text1"/>
          <w:sz w:val="20"/>
          <w:szCs w:val="20"/>
        </w:rPr>
        <w:t xml:space="preserve"> </w:t>
      </w:r>
    </w:p>
    <w:p w14:paraId="082CA255" w14:textId="7FFC50DF" w:rsidR="471B0062" w:rsidRDefault="471B0062" w:rsidP="471B0062">
      <w:pPr>
        <w:spacing w:after="0"/>
        <w:jc w:val="center"/>
      </w:pPr>
      <w:r w:rsidRPr="471B0062">
        <w:rPr>
          <w:rFonts w:ascii="Tahoma" w:eastAsia="Tahoma" w:hAnsi="Tahoma" w:cs="Tahoma"/>
          <w:color w:val="000000" w:themeColor="text1"/>
          <w:sz w:val="20"/>
          <w:szCs w:val="20"/>
        </w:rPr>
        <w:t xml:space="preserve"> </w:t>
      </w:r>
    </w:p>
    <w:p w14:paraId="17082290" w14:textId="6926F8E3" w:rsidR="471B0062" w:rsidRDefault="471B0062" w:rsidP="471B0062">
      <w:pPr>
        <w:spacing w:after="0"/>
      </w:pPr>
      <w:r w:rsidRPr="471B0062">
        <w:rPr>
          <w:rFonts w:ascii="Tahoma" w:eastAsia="Tahoma" w:hAnsi="Tahoma" w:cs="Tahoma"/>
          <w:b/>
          <w:bCs/>
          <w:color w:val="0D3B5E"/>
          <w:sz w:val="20"/>
          <w:szCs w:val="20"/>
        </w:rPr>
        <w:t xml:space="preserve">OBJECTIFS </w:t>
      </w:r>
    </w:p>
    <w:p w14:paraId="60EFE0D8" w14:textId="407A693F" w:rsidR="471B0062" w:rsidRDefault="471B0062" w:rsidP="471B0062">
      <w:pPr>
        <w:spacing w:after="0"/>
        <w:jc w:val="both"/>
      </w:pPr>
      <w:r w:rsidRPr="471B0062">
        <w:rPr>
          <w:rFonts w:ascii="Tahoma" w:eastAsia="Tahoma" w:hAnsi="Tahoma" w:cs="Tahoma"/>
          <w:color w:val="000000" w:themeColor="text1"/>
          <w:sz w:val="20"/>
          <w:szCs w:val="20"/>
        </w:rPr>
        <w:t xml:space="preserve">Cette UE introductive est consacrée au développement d’une culture managériale et organisationnelle. </w:t>
      </w:r>
    </w:p>
    <w:p w14:paraId="6741F125" w14:textId="4EF17443" w:rsidR="471B0062" w:rsidRDefault="471B0062" w:rsidP="471B0062">
      <w:pPr>
        <w:spacing w:after="0"/>
        <w:jc w:val="both"/>
      </w:pPr>
      <w:r w:rsidRPr="471B0062">
        <w:rPr>
          <w:rFonts w:ascii="Tahoma" w:eastAsia="Tahoma" w:hAnsi="Tahoma" w:cs="Tahoma"/>
          <w:color w:val="000000" w:themeColor="text1"/>
          <w:sz w:val="20"/>
          <w:szCs w:val="20"/>
        </w:rPr>
        <w:t xml:space="preserve">Dans un premier temps, nous reviendrons sur la notion d’organisation, ses différentes formes, sa raison d’être et ses diverses instances de gouvernance. L’affirmation des valeurs et la maîtrise des risques éthiques constituent des enjeux managériaux majeurs. Nous aborderons les formes d’engagement des entreprises, les systèmes d’alerte et de contrôle permettant de piloter une organisation et d’en apprécier la performance. Nous nous intéresserons enfin à la compliance en tant que processus mis en œuvre pour assurer le respect de normes et de règles définies en vue de prévenir les risques identifiés en amont par le management. Nous interrogerons la pertinence et la robustesse des mesures de contrôle mises en œuvre.  </w:t>
      </w:r>
    </w:p>
    <w:p w14:paraId="52E65C19" w14:textId="098C101A" w:rsidR="471B0062" w:rsidRDefault="471B0062" w:rsidP="471B0062">
      <w:pPr>
        <w:spacing w:after="0"/>
        <w:jc w:val="both"/>
      </w:pPr>
      <w:r w:rsidRPr="471B0062">
        <w:rPr>
          <w:rFonts w:ascii="Tahoma" w:eastAsia="Tahoma" w:hAnsi="Tahoma" w:cs="Tahoma"/>
          <w:color w:val="000000" w:themeColor="text1"/>
          <w:sz w:val="20"/>
          <w:szCs w:val="20"/>
        </w:rPr>
        <w:t>Cette UE est commune au Master Contrôle de gestion et au Master Management transversal des risques.</w:t>
      </w:r>
    </w:p>
    <w:tbl>
      <w:tblPr>
        <w:tblStyle w:val="Grilledutableau"/>
        <w:tblW w:w="9121" w:type="dxa"/>
        <w:tblInd w:w="90" w:type="dxa"/>
        <w:tblLayout w:type="fixed"/>
        <w:tblLook w:val="06A0" w:firstRow="1" w:lastRow="0" w:firstColumn="1" w:lastColumn="0" w:noHBand="1" w:noVBand="1"/>
      </w:tblPr>
      <w:tblGrid>
        <w:gridCol w:w="958"/>
        <w:gridCol w:w="1375"/>
        <w:gridCol w:w="6788"/>
      </w:tblGrid>
      <w:tr w:rsidR="471B0062" w14:paraId="3EC8ADDC" w14:textId="77777777" w:rsidTr="000573DF">
        <w:trPr>
          <w:trHeight w:val="285"/>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8925"/>
            <w:tcMar>
              <w:left w:w="108" w:type="dxa"/>
              <w:right w:w="108" w:type="dxa"/>
            </w:tcMar>
            <w:vAlign w:val="center"/>
          </w:tcPr>
          <w:p w14:paraId="6635B7DC" w14:textId="4BA98A21" w:rsidR="471B0062" w:rsidRDefault="471B0062" w:rsidP="471B0062">
            <w:r w:rsidRPr="471B0062">
              <w:rPr>
                <w:rFonts w:ascii="Calibri" w:eastAsia="Calibri" w:hAnsi="Calibri" w:cs="Calibri"/>
                <w:color w:val="FFFFFF" w:themeColor="background1"/>
                <w:sz w:val="18"/>
                <w:szCs w:val="18"/>
              </w:rPr>
              <w:t>Séances</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8925"/>
            <w:tcMar>
              <w:left w:w="108" w:type="dxa"/>
              <w:right w:w="108" w:type="dxa"/>
            </w:tcMar>
            <w:vAlign w:val="center"/>
          </w:tcPr>
          <w:p w14:paraId="5BFD0504" w14:textId="11E5C6F3" w:rsidR="471B0062" w:rsidRDefault="471B0062" w:rsidP="471B0062">
            <w:r w:rsidRPr="471B0062">
              <w:rPr>
                <w:rFonts w:ascii="Calibri" w:eastAsia="Calibri" w:hAnsi="Calibri" w:cs="Calibri"/>
                <w:color w:val="FFFFFF" w:themeColor="background1"/>
                <w:sz w:val="18"/>
                <w:szCs w:val="18"/>
              </w:rPr>
              <w:t>Intervenants</w:t>
            </w:r>
          </w:p>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8925"/>
            <w:tcMar>
              <w:left w:w="108" w:type="dxa"/>
              <w:right w:w="108" w:type="dxa"/>
            </w:tcMar>
            <w:vAlign w:val="center"/>
          </w:tcPr>
          <w:p w14:paraId="1779A7F4" w14:textId="209B6B25" w:rsidR="471B0062" w:rsidRDefault="471B0062" w:rsidP="471B0062">
            <w:r w:rsidRPr="471B0062">
              <w:rPr>
                <w:rFonts w:ascii="Calibri" w:eastAsia="Calibri" w:hAnsi="Calibri" w:cs="Calibri"/>
                <w:color w:val="FFFFFF" w:themeColor="background1"/>
                <w:sz w:val="18"/>
                <w:szCs w:val="18"/>
              </w:rPr>
              <w:t>Thèmes</w:t>
            </w:r>
          </w:p>
        </w:tc>
      </w:tr>
      <w:tr w:rsidR="471B0062" w14:paraId="305918EA" w14:textId="77777777" w:rsidTr="000573DF">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9251E4" w14:textId="253DE584" w:rsidR="471B0062" w:rsidRDefault="471B0062" w:rsidP="471B0062">
            <w:r w:rsidRPr="471B0062">
              <w:rPr>
                <w:rFonts w:ascii="Tahoma" w:eastAsia="Tahoma" w:hAnsi="Tahoma" w:cs="Tahoma"/>
                <w:color w:val="000000" w:themeColor="text1"/>
                <w:sz w:val="18"/>
                <w:szCs w:val="18"/>
              </w:rPr>
              <w:t>1</w:t>
            </w:r>
          </w:p>
        </w:tc>
        <w:tc>
          <w:tcPr>
            <w:tcW w:w="137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318A8D" w14:textId="5868D9C8" w:rsidR="471B0062" w:rsidRDefault="471B0062" w:rsidP="471B0062">
            <w:pPr>
              <w:jc w:val="center"/>
            </w:pPr>
            <w:r w:rsidRPr="471B0062">
              <w:rPr>
                <w:rFonts w:ascii="Tahoma" w:eastAsia="Tahoma" w:hAnsi="Tahoma" w:cs="Tahoma"/>
                <w:color w:val="000000" w:themeColor="text1"/>
                <w:sz w:val="18"/>
                <w:szCs w:val="18"/>
              </w:rPr>
              <w:t>Nathalie Lallemand-Stempak</w:t>
            </w:r>
          </w:p>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618922" w14:textId="11642EEE" w:rsidR="471B0062" w:rsidRDefault="471B0062" w:rsidP="471B0062">
            <w:r w:rsidRPr="471B0062">
              <w:rPr>
                <w:rFonts w:ascii="Tahoma" w:eastAsia="Tahoma" w:hAnsi="Tahoma" w:cs="Tahoma"/>
                <w:color w:val="000000" w:themeColor="text1"/>
                <w:sz w:val="18"/>
                <w:szCs w:val="18"/>
              </w:rPr>
              <w:t>Introduction</w:t>
            </w:r>
          </w:p>
        </w:tc>
      </w:tr>
      <w:tr w:rsidR="000573DF" w14:paraId="04A83EAD" w14:textId="77777777" w:rsidTr="000573DF">
        <w:trPr>
          <w:trHeight w:val="45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8C9071" w14:textId="1518CEA0" w:rsidR="000573DF" w:rsidRDefault="000573DF" w:rsidP="000573DF">
            <w:r w:rsidRPr="471B0062">
              <w:rPr>
                <w:rFonts w:ascii="Tahoma" w:eastAsia="Tahoma" w:hAnsi="Tahoma" w:cs="Tahoma"/>
                <w:color w:val="000000" w:themeColor="text1"/>
                <w:sz w:val="18"/>
                <w:szCs w:val="18"/>
              </w:rPr>
              <w:t>2</w:t>
            </w:r>
          </w:p>
        </w:tc>
        <w:tc>
          <w:tcPr>
            <w:tcW w:w="1375" w:type="dxa"/>
            <w:vMerge/>
            <w:tcBorders>
              <w:left w:val="single" w:sz="0" w:space="0" w:color="000000" w:themeColor="text1"/>
              <w:right w:val="single" w:sz="0" w:space="0" w:color="000000" w:themeColor="text1"/>
            </w:tcBorders>
            <w:vAlign w:val="center"/>
          </w:tcPr>
          <w:p w14:paraId="2325EB10" w14:textId="77777777" w:rsidR="000573DF" w:rsidRDefault="000573DF" w:rsidP="000573DF"/>
        </w:tc>
        <w:tc>
          <w:tcPr>
            <w:tcW w:w="678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BB46C17" w14:textId="39F38781" w:rsidR="000573DF" w:rsidRDefault="000573DF" w:rsidP="000573DF">
            <w:r w:rsidRPr="471B0062">
              <w:rPr>
                <w:rFonts w:ascii="Tahoma" w:eastAsia="Tahoma" w:hAnsi="Tahoma" w:cs="Tahoma"/>
                <w:color w:val="000000" w:themeColor="text1"/>
                <w:sz w:val="18"/>
                <w:szCs w:val="18"/>
              </w:rPr>
              <w:t>Pouvoir, prise de décision</w:t>
            </w:r>
            <w:r>
              <w:rPr>
                <w:rFonts w:ascii="Tahoma" w:eastAsia="Tahoma" w:hAnsi="Tahoma" w:cs="Tahoma"/>
                <w:color w:val="000000" w:themeColor="text1"/>
                <w:sz w:val="18"/>
                <w:szCs w:val="18"/>
              </w:rPr>
              <w:t>,</w:t>
            </w:r>
            <w:r w:rsidRPr="471B0062">
              <w:rPr>
                <w:rFonts w:ascii="Tahoma" w:eastAsia="Tahoma" w:hAnsi="Tahoma" w:cs="Tahoma"/>
                <w:color w:val="000000" w:themeColor="text1"/>
                <w:sz w:val="18"/>
                <w:szCs w:val="18"/>
              </w:rPr>
              <w:t xml:space="preserve"> rationalité</w:t>
            </w:r>
            <w:r>
              <w:rPr>
                <w:rFonts w:ascii="Tahoma" w:eastAsia="Tahoma" w:hAnsi="Tahoma" w:cs="Tahoma"/>
                <w:color w:val="000000" w:themeColor="text1"/>
                <w:sz w:val="18"/>
                <w:szCs w:val="18"/>
              </w:rPr>
              <w:t xml:space="preserve"> &amp; action collective</w:t>
            </w:r>
          </w:p>
        </w:tc>
      </w:tr>
      <w:tr w:rsidR="000573DF" w14:paraId="40BCB57E" w14:textId="77777777" w:rsidTr="000573DF">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F8D0B1" w14:textId="3E8D0666" w:rsidR="000573DF" w:rsidRDefault="000573DF" w:rsidP="000573DF">
            <w:r w:rsidRPr="471B0062">
              <w:rPr>
                <w:rFonts w:ascii="Tahoma" w:eastAsia="Tahoma" w:hAnsi="Tahoma" w:cs="Tahoma"/>
                <w:color w:val="000000" w:themeColor="text1"/>
                <w:sz w:val="18"/>
                <w:szCs w:val="18"/>
              </w:rPr>
              <w:t>3</w:t>
            </w:r>
          </w:p>
        </w:tc>
        <w:tc>
          <w:tcPr>
            <w:tcW w:w="1375" w:type="dxa"/>
            <w:vMerge/>
            <w:tcBorders>
              <w:left w:val="single" w:sz="0" w:space="0" w:color="000000" w:themeColor="text1"/>
              <w:right w:val="single" w:sz="0" w:space="0" w:color="000000" w:themeColor="text1"/>
            </w:tcBorders>
            <w:vAlign w:val="center"/>
          </w:tcPr>
          <w:p w14:paraId="3DBCDC4E" w14:textId="77777777" w:rsidR="000573DF" w:rsidRDefault="000573DF" w:rsidP="000573DF"/>
        </w:tc>
        <w:tc>
          <w:tcPr>
            <w:tcW w:w="678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8B6DBB6" w14:textId="44D73B07" w:rsidR="000573DF" w:rsidRDefault="000573DF" w:rsidP="000573DF">
            <w:r>
              <w:rPr>
                <w:rFonts w:ascii="Tahoma" w:eastAsia="Tahoma" w:hAnsi="Tahoma" w:cs="Tahoma"/>
                <w:color w:val="000000" w:themeColor="text1"/>
                <w:sz w:val="18"/>
                <w:szCs w:val="18"/>
              </w:rPr>
              <w:t>Gouverner</w:t>
            </w:r>
            <w:r w:rsidRPr="471B0062">
              <w:rPr>
                <w:rFonts w:ascii="Tahoma" w:eastAsia="Tahoma" w:hAnsi="Tahoma" w:cs="Tahoma"/>
                <w:color w:val="000000" w:themeColor="text1"/>
                <w:sz w:val="18"/>
                <w:szCs w:val="18"/>
              </w:rPr>
              <w:t xml:space="preserve"> des organisations</w:t>
            </w:r>
            <w:r>
              <w:rPr>
                <w:rFonts w:ascii="Tahoma" w:eastAsia="Tahoma" w:hAnsi="Tahoma" w:cs="Tahoma"/>
                <w:color w:val="000000" w:themeColor="text1"/>
                <w:sz w:val="18"/>
                <w:szCs w:val="18"/>
              </w:rPr>
              <w:t xml:space="preserve"> à la poursuite de buts multiples</w:t>
            </w:r>
          </w:p>
        </w:tc>
      </w:tr>
      <w:tr w:rsidR="000573DF" w14:paraId="0E7F62A4" w14:textId="77777777" w:rsidTr="000573DF">
        <w:trPr>
          <w:trHeight w:val="45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9F410F" w14:textId="79F625EC" w:rsidR="000573DF" w:rsidRDefault="000573DF" w:rsidP="000573DF">
            <w:r w:rsidRPr="471B0062">
              <w:rPr>
                <w:rFonts w:ascii="Tahoma" w:eastAsia="Tahoma" w:hAnsi="Tahoma" w:cs="Tahoma"/>
                <w:color w:val="000000" w:themeColor="text1"/>
                <w:sz w:val="18"/>
                <w:szCs w:val="18"/>
              </w:rPr>
              <w:t>4</w:t>
            </w:r>
          </w:p>
        </w:tc>
        <w:tc>
          <w:tcPr>
            <w:tcW w:w="1375" w:type="dxa"/>
            <w:vMerge/>
            <w:tcBorders>
              <w:left w:val="single" w:sz="0" w:space="0" w:color="000000" w:themeColor="text1"/>
              <w:right w:val="single" w:sz="0" w:space="0" w:color="000000" w:themeColor="text1"/>
            </w:tcBorders>
            <w:vAlign w:val="center"/>
          </w:tcPr>
          <w:p w14:paraId="3D7137A7" w14:textId="77777777" w:rsidR="000573DF" w:rsidRDefault="000573DF" w:rsidP="000573DF"/>
        </w:tc>
        <w:tc>
          <w:tcPr>
            <w:tcW w:w="678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30366B7" w14:textId="51B5FE6E" w:rsidR="000573DF" w:rsidRDefault="000573DF" w:rsidP="000573DF">
            <w:r w:rsidRPr="471B0062">
              <w:rPr>
                <w:rFonts w:ascii="Tahoma" w:eastAsia="Tahoma" w:hAnsi="Tahoma" w:cs="Tahoma"/>
                <w:color w:val="000000" w:themeColor="text1"/>
                <w:sz w:val="18"/>
                <w:szCs w:val="18"/>
              </w:rPr>
              <w:t>Égalité et diversité : une question éthique et de conformité dans les organisations</w:t>
            </w:r>
          </w:p>
        </w:tc>
      </w:tr>
      <w:tr w:rsidR="000573DF" w14:paraId="15C0F8D8" w14:textId="77777777" w:rsidTr="000573DF">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0634AB" w14:textId="578524C3" w:rsidR="000573DF" w:rsidRDefault="000573DF" w:rsidP="000573DF">
            <w:r>
              <w:t>5</w:t>
            </w:r>
          </w:p>
        </w:tc>
        <w:tc>
          <w:tcPr>
            <w:tcW w:w="1375" w:type="dxa"/>
            <w:vMerge w:val="restar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B8D369" w14:textId="6862B32D" w:rsidR="000573DF" w:rsidRDefault="000573DF" w:rsidP="000573DF">
            <w:pPr>
              <w:jc w:val="center"/>
            </w:pPr>
            <w:r>
              <w:rPr>
                <w:rFonts w:ascii="Tahoma" w:eastAsia="Tahoma" w:hAnsi="Tahoma" w:cs="Tahoma"/>
                <w:color w:val="000000" w:themeColor="text1"/>
                <w:sz w:val="18"/>
                <w:szCs w:val="18"/>
              </w:rPr>
              <w:t xml:space="preserve">Karen </w:t>
            </w:r>
            <w:proofErr w:type="spellStart"/>
            <w:r>
              <w:rPr>
                <w:rFonts w:ascii="Tahoma" w:eastAsia="Tahoma" w:hAnsi="Tahoma" w:cs="Tahoma"/>
                <w:color w:val="000000" w:themeColor="text1"/>
                <w:sz w:val="18"/>
                <w:szCs w:val="18"/>
              </w:rPr>
              <w:t>Delchet</w:t>
            </w:r>
            <w:proofErr w:type="spellEnd"/>
            <w:r>
              <w:rPr>
                <w:rFonts w:ascii="Tahoma" w:eastAsia="Tahoma" w:hAnsi="Tahoma" w:cs="Tahoma"/>
                <w:color w:val="000000" w:themeColor="text1"/>
                <w:sz w:val="18"/>
                <w:szCs w:val="18"/>
              </w:rPr>
              <w:t>-Cochet</w:t>
            </w:r>
          </w:p>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29ED4C" w14:textId="20D7EE00" w:rsidR="000573DF" w:rsidRDefault="000573DF" w:rsidP="000573DF">
            <w:r>
              <w:rPr>
                <w:rFonts w:ascii="Tahoma" w:eastAsia="Tahoma" w:hAnsi="Tahoma" w:cs="Tahoma"/>
                <w:color w:val="000000" w:themeColor="text1"/>
                <w:sz w:val="18"/>
                <w:szCs w:val="18"/>
              </w:rPr>
              <w:t>Éthique et RSE</w:t>
            </w:r>
          </w:p>
        </w:tc>
      </w:tr>
      <w:tr w:rsidR="000573DF" w14:paraId="546C16AC" w14:textId="77777777" w:rsidTr="000573DF">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F1F2F3" w14:textId="60C84F9B" w:rsidR="000573DF" w:rsidRDefault="000573DF" w:rsidP="000573DF">
            <w:r w:rsidRPr="471B0062">
              <w:rPr>
                <w:rFonts w:ascii="Tahoma" w:eastAsia="Tahoma" w:hAnsi="Tahoma" w:cs="Tahoma"/>
                <w:color w:val="000000" w:themeColor="text1"/>
                <w:sz w:val="18"/>
                <w:szCs w:val="18"/>
              </w:rPr>
              <w:t>6</w:t>
            </w:r>
          </w:p>
        </w:tc>
        <w:tc>
          <w:tcPr>
            <w:tcW w:w="1375" w:type="dxa"/>
            <w:vMerge/>
            <w:tcBorders>
              <w:left w:val="single" w:sz="0" w:space="0" w:color="000000" w:themeColor="text1"/>
              <w:bottom w:val="single" w:sz="0" w:space="0" w:color="000000" w:themeColor="text1"/>
              <w:right w:val="single" w:sz="0" w:space="0" w:color="000000" w:themeColor="text1"/>
            </w:tcBorders>
            <w:vAlign w:val="center"/>
          </w:tcPr>
          <w:p w14:paraId="63501D48" w14:textId="77777777" w:rsidR="000573DF" w:rsidRDefault="000573DF" w:rsidP="000573DF"/>
        </w:tc>
        <w:tc>
          <w:tcPr>
            <w:tcW w:w="6788"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A1C4714" w14:textId="1288A7E8" w:rsidR="000573DF" w:rsidRDefault="000573DF" w:rsidP="000573DF">
            <w:r>
              <w:rPr>
                <w:rFonts w:ascii="Tahoma" w:eastAsia="Tahoma" w:hAnsi="Tahoma" w:cs="Tahoma"/>
                <w:color w:val="000000" w:themeColor="text1"/>
                <w:sz w:val="18"/>
                <w:szCs w:val="18"/>
              </w:rPr>
              <w:t>Étude de cas</w:t>
            </w:r>
          </w:p>
        </w:tc>
      </w:tr>
      <w:tr w:rsidR="000573DF" w14:paraId="02B40841" w14:textId="77777777" w:rsidTr="00E639A3">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C772E6" w14:textId="7FA2E0D8" w:rsidR="000573DF" w:rsidRPr="471B0062" w:rsidRDefault="000573DF" w:rsidP="000573DF">
            <w:pPr>
              <w:rPr>
                <w:rFonts w:ascii="Tahoma" w:eastAsia="Tahoma" w:hAnsi="Tahoma" w:cs="Tahoma"/>
                <w:color w:val="000000" w:themeColor="text1"/>
                <w:sz w:val="18"/>
                <w:szCs w:val="18"/>
              </w:rPr>
            </w:pPr>
            <w:r w:rsidRPr="471B0062">
              <w:rPr>
                <w:rFonts w:ascii="Tahoma" w:eastAsia="Tahoma" w:hAnsi="Tahoma" w:cs="Tahoma"/>
                <w:color w:val="000000" w:themeColor="text1"/>
                <w:sz w:val="18"/>
                <w:szCs w:val="18"/>
              </w:rPr>
              <w:t>7</w:t>
            </w:r>
          </w:p>
        </w:tc>
        <w:tc>
          <w:tcPr>
            <w:tcW w:w="1375" w:type="dxa"/>
            <w:vMerge w:val="restart"/>
            <w:tcBorders>
              <w:top w:val="nil"/>
              <w:left w:val="single" w:sz="8" w:space="0" w:color="000000" w:themeColor="text1"/>
              <w:right w:val="single" w:sz="8" w:space="0" w:color="000000" w:themeColor="text1"/>
            </w:tcBorders>
            <w:tcMar>
              <w:left w:w="108" w:type="dxa"/>
              <w:right w:w="108" w:type="dxa"/>
            </w:tcMar>
            <w:vAlign w:val="center"/>
          </w:tcPr>
          <w:p w14:paraId="258FD146" w14:textId="2E68FECD" w:rsidR="000573DF" w:rsidRPr="471B0062" w:rsidRDefault="000573DF" w:rsidP="000573DF">
            <w:pPr>
              <w:jc w:val="center"/>
              <w:rPr>
                <w:rFonts w:ascii="Tahoma" w:eastAsia="Tahoma" w:hAnsi="Tahoma" w:cs="Tahoma"/>
                <w:color w:val="000000" w:themeColor="text1"/>
                <w:sz w:val="18"/>
                <w:szCs w:val="18"/>
              </w:rPr>
            </w:pPr>
            <w:r w:rsidRPr="471B0062">
              <w:rPr>
                <w:rFonts w:ascii="Tahoma" w:eastAsia="Tahoma" w:hAnsi="Tahoma" w:cs="Tahoma"/>
                <w:color w:val="000000" w:themeColor="text1"/>
                <w:sz w:val="18"/>
                <w:szCs w:val="18"/>
              </w:rPr>
              <w:t xml:space="preserve">Georges </w:t>
            </w:r>
            <w:proofErr w:type="spellStart"/>
            <w:r w:rsidRPr="471B0062">
              <w:rPr>
                <w:rFonts w:ascii="Tahoma" w:eastAsia="Tahoma" w:hAnsi="Tahoma" w:cs="Tahoma"/>
                <w:color w:val="000000" w:themeColor="text1"/>
                <w:sz w:val="18"/>
                <w:szCs w:val="18"/>
              </w:rPr>
              <w:t>Chappotteau</w:t>
            </w:r>
            <w:proofErr w:type="spellEnd"/>
          </w:p>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5C3D9A" w14:textId="6395D14D" w:rsidR="000573DF" w:rsidRPr="471B0062" w:rsidRDefault="000573DF" w:rsidP="000573DF">
            <w:pPr>
              <w:rPr>
                <w:rFonts w:ascii="Tahoma" w:eastAsia="Tahoma" w:hAnsi="Tahoma" w:cs="Tahoma"/>
                <w:color w:val="000000" w:themeColor="text1"/>
                <w:sz w:val="18"/>
                <w:szCs w:val="18"/>
              </w:rPr>
            </w:pPr>
            <w:r w:rsidRPr="471B0062">
              <w:rPr>
                <w:rFonts w:ascii="Tahoma" w:eastAsia="Tahoma" w:hAnsi="Tahoma" w:cs="Tahoma"/>
                <w:color w:val="000000" w:themeColor="text1"/>
                <w:sz w:val="18"/>
                <w:szCs w:val="18"/>
              </w:rPr>
              <w:t xml:space="preserve">Performance du système de gouvernance des organisations (risques éthiques, corruption, lobbying, relations avec les parties prenantes, financement des partis politiques… ESRS G, Loi Sapin, devoir de vigilance, norme ISO 37001…) </w:t>
            </w:r>
          </w:p>
        </w:tc>
      </w:tr>
      <w:tr w:rsidR="000573DF" w14:paraId="3B18C698" w14:textId="77777777" w:rsidTr="00E639A3">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F3FE6E" w14:textId="32F60303" w:rsidR="000573DF" w:rsidRDefault="000573DF" w:rsidP="000573DF">
            <w:r w:rsidRPr="471B0062">
              <w:rPr>
                <w:rFonts w:ascii="Tahoma" w:eastAsia="Tahoma" w:hAnsi="Tahoma" w:cs="Tahoma"/>
                <w:color w:val="000000" w:themeColor="text1"/>
                <w:sz w:val="18"/>
                <w:szCs w:val="18"/>
              </w:rPr>
              <w:t>8</w:t>
            </w:r>
          </w:p>
        </w:tc>
        <w:tc>
          <w:tcPr>
            <w:tcW w:w="1375" w:type="dxa"/>
            <w:vMerge/>
            <w:tcBorders>
              <w:left w:val="single" w:sz="8" w:space="0" w:color="000000" w:themeColor="text1"/>
              <w:right w:val="single" w:sz="8" w:space="0" w:color="000000" w:themeColor="text1"/>
            </w:tcBorders>
            <w:tcMar>
              <w:left w:w="108" w:type="dxa"/>
              <w:right w:w="108" w:type="dxa"/>
            </w:tcMar>
            <w:vAlign w:val="center"/>
          </w:tcPr>
          <w:p w14:paraId="53163AA9" w14:textId="404EE9B8" w:rsidR="000573DF" w:rsidRDefault="000573DF" w:rsidP="000573DF">
            <w:pPr>
              <w:jc w:val="center"/>
            </w:pPr>
          </w:p>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E40B54" w14:textId="4E8C695B" w:rsidR="000573DF" w:rsidRDefault="000573DF" w:rsidP="000573DF">
            <w:r>
              <w:rPr>
                <w:rFonts w:ascii="Tahoma" w:eastAsia="Tahoma" w:hAnsi="Tahoma" w:cs="Tahoma"/>
                <w:color w:val="000000" w:themeColor="text1"/>
                <w:sz w:val="18"/>
                <w:szCs w:val="18"/>
              </w:rPr>
              <w:t>Risques et audit</w:t>
            </w:r>
          </w:p>
        </w:tc>
      </w:tr>
      <w:tr w:rsidR="000573DF" w14:paraId="00ABBBD6" w14:textId="77777777" w:rsidTr="00E639A3">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DA0A30" w14:textId="57458459" w:rsidR="000573DF" w:rsidRDefault="000573DF" w:rsidP="000573DF">
            <w:r w:rsidRPr="471B0062">
              <w:rPr>
                <w:rFonts w:ascii="Tahoma" w:eastAsia="Tahoma" w:hAnsi="Tahoma" w:cs="Tahoma"/>
                <w:color w:val="000000" w:themeColor="text1"/>
                <w:sz w:val="18"/>
                <w:szCs w:val="18"/>
              </w:rPr>
              <w:t>9</w:t>
            </w:r>
          </w:p>
        </w:tc>
        <w:tc>
          <w:tcPr>
            <w:tcW w:w="1375" w:type="dxa"/>
            <w:vMerge/>
            <w:tcBorders>
              <w:left w:val="single" w:sz="8" w:space="0" w:color="000000" w:themeColor="text1"/>
              <w:right w:val="single" w:sz="8" w:space="0" w:color="000000" w:themeColor="text1"/>
            </w:tcBorders>
            <w:vAlign w:val="center"/>
          </w:tcPr>
          <w:p w14:paraId="1097037F" w14:textId="77777777" w:rsidR="000573DF" w:rsidRDefault="000573DF" w:rsidP="000573DF"/>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1CDEA3" w14:textId="2F47A481" w:rsidR="000573DF" w:rsidRDefault="000573DF" w:rsidP="000573DF">
            <w:r>
              <w:rPr>
                <w:rFonts w:ascii="Tahoma" w:eastAsia="Tahoma" w:hAnsi="Tahoma" w:cs="Tahoma"/>
                <w:color w:val="000000" w:themeColor="text1"/>
                <w:sz w:val="18"/>
                <w:szCs w:val="18"/>
              </w:rPr>
              <w:t>Risques et audit</w:t>
            </w:r>
          </w:p>
        </w:tc>
      </w:tr>
      <w:tr w:rsidR="000573DF" w14:paraId="6E3802CA" w14:textId="77777777" w:rsidTr="00E639A3">
        <w:trPr>
          <w:trHeight w:val="420"/>
        </w:trPr>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6BDAD0" w14:textId="0EEDAC5E" w:rsidR="000573DF" w:rsidRDefault="000573DF" w:rsidP="000573DF">
            <w:r w:rsidRPr="471B0062">
              <w:rPr>
                <w:rFonts w:ascii="Tahoma" w:eastAsia="Tahoma" w:hAnsi="Tahoma" w:cs="Tahoma"/>
                <w:color w:val="000000" w:themeColor="text1"/>
                <w:sz w:val="18"/>
                <w:szCs w:val="18"/>
              </w:rPr>
              <w:t>10</w:t>
            </w:r>
          </w:p>
        </w:tc>
        <w:tc>
          <w:tcPr>
            <w:tcW w:w="1375" w:type="dxa"/>
            <w:vMerge/>
            <w:tcBorders>
              <w:left w:val="single" w:sz="8" w:space="0" w:color="000000" w:themeColor="text1"/>
              <w:bottom w:val="single" w:sz="0" w:space="0" w:color="000000" w:themeColor="text1"/>
              <w:right w:val="single" w:sz="8" w:space="0" w:color="000000" w:themeColor="text1"/>
            </w:tcBorders>
            <w:vAlign w:val="center"/>
          </w:tcPr>
          <w:p w14:paraId="6925376D" w14:textId="77777777" w:rsidR="000573DF" w:rsidRDefault="000573DF" w:rsidP="000573DF"/>
        </w:tc>
        <w:tc>
          <w:tcPr>
            <w:tcW w:w="6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E9543E" w14:textId="32ED091D" w:rsidR="000573DF" w:rsidRDefault="000573DF" w:rsidP="000573DF">
            <w:r w:rsidRPr="471B0062">
              <w:rPr>
                <w:rFonts w:ascii="Tahoma" w:eastAsia="Tahoma" w:hAnsi="Tahoma" w:cs="Tahoma"/>
                <w:color w:val="000000" w:themeColor="text1"/>
                <w:sz w:val="18"/>
                <w:szCs w:val="18"/>
              </w:rPr>
              <w:t>Introduction à la cartographie des risques éthiques</w:t>
            </w:r>
          </w:p>
        </w:tc>
      </w:tr>
    </w:tbl>
    <w:p w14:paraId="2600668D" w14:textId="03B1A32C" w:rsidR="471B0062" w:rsidRDefault="471B0062" w:rsidP="471B0062">
      <w:pPr>
        <w:spacing w:after="0"/>
      </w:pPr>
      <w:r w:rsidRPr="471B0062">
        <w:rPr>
          <w:rFonts w:ascii="Tahoma" w:eastAsia="Tahoma" w:hAnsi="Tahoma" w:cs="Tahoma"/>
          <w:b/>
          <w:bCs/>
          <w:color w:val="0D3B5E"/>
          <w:sz w:val="20"/>
          <w:szCs w:val="20"/>
        </w:rPr>
        <w:t xml:space="preserve"> </w:t>
      </w:r>
    </w:p>
    <w:p w14:paraId="77978B1D" w14:textId="429BAABC" w:rsidR="471B0062" w:rsidRDefault="471B0062" w:rsidP="471B0062">
      <w:pPr>
        <w:spacing w:after="0"/>
      </w:pPr>
      <w:r w:rsidRPr="471B0062">
        <w:rPr>
          <w:rFonts w:ascii="Tahoma" w:eastAsia="Tahoma" w:hAnsi="Tahoma" w:cs="Tahoma"/>
          <w:b/>
          <w:bCs/>
          <w:color w:val="0D3B5E"/>
          <w:sz w:val="20"/>
          <w:szCs w:val="20"/>
        </w:rPr>
        <w:t>ÉVALUATION</w:t>
      </w:r>
    </w:p>
    <w:p w14:paraId="5C6ABE91" w14:textId="7B477DF3" w:rsidR="471B0062" w:rsidRDefault="471B0062" w:rsidP="471B0062">
      <w:pPr>
        <w:spacing w:after="60"/>
        <w:ind w:right="-468"/>
      </w:pPr>
      <w:r w:rsidRPr="471B0062">
        <w:rPr>
          <w:rFonts w:ascii="Tahoma" w:eastAsia="Tahoma" w:hAnsi="Tahoma" w:cs="Tahoma"/>
          <w:color w:val="000000" w:themeColor="text1"/>
          <w:sz w:val="20"/>
          <w:szCs w:val="20"/>
        </w:rPr>
        <w:t xml:space="preserve">L’évaluation globale pour ce module repose sur un contrôle continu (50%) et sur un examen final (50%). </w:t>
      </w:r>
    </w:p>
    <w:p w14:paraId="496F3E57" w14:textId="463CA2AE" w:rsidR="471B0062" w:rsidRDefault="471B0062" w:rsidP="471B0062">
      <w:pPr>
        <w:pStyle w:val="Paragraphedeliste"/>
        <w:numPr>
          <w:ilvl w:val="1"/>
          <w:numId w:val="2"/>
        </w:numPr>
        <w:spacing w:after="0"/>
        <w:ind w:right="-468"/>
        <w:rPr>
          <w:rFonts w:ascii="Tahoma" w:eastAsia="Tahoma" w:hAnsi="Tahoma" w:cs="Tahoma"/>
          <w:sz w:val="20"/>
          <w:szCs w:val="20"/>
        </w:rPr>
      </w:pPr>
      <w:r w:rsidRPr="471B0062">
        <w:rPr>
          <w:rFonts w:ascii="Tahoma" w:eastAsia="Tahoma" w:hAnsi="Tahoma" w:cs="Tahoma"/>
          <w:sz w:val="20"/>
          <w:szCs w:val="20"/>
        </w:rPr>
        <w:t xml:space="preserve">Contrôle Continu : préparation et restitution d’une étude de cas </w:t>
      </w:r>
    </w:p>
    <w:p w14:paraId="7B78CF54" w14:textId="6CB8A067" w:rsidR="471B0062" w:rsidRDefault="471B0062" w:rsidP="471B0062">
      <w:pPr>
        <w:pStyle w:val="Paragraphedeliste"/>
        <w:numPr>
          <w:ilvl w:val="1"/>
          <w:numId w:val="2"/>
        </w:numPr>
        <w:spacing w:after="0"/>
        <w:ind w:right="-468"/>
        <w:rPr>
          <w:rFonts w:ascii="Tahoma" w:eastAsia="Tahoma" w:hAnsi="Tahoma" w:cs="Tahoma"/>
          <w:sz w:val="20"/>
          <w:szCs w:val="20"/>
        </w:rPr>
      </w:pPr>
      <w:r w:rsidRPr="471B0062">
        <w:rPr>
          <w:rFonts w:ascii="Tahoma" w:eastAsia="Tahoma" w:hAnsi="Tahoma" w:cs="Tahoma"/>
          <w:sz w:val="20"/>
          <w:szCs w:val="20"/>
        </w:rPr>
        <w:t xml:space="preserve">Examen final </w:t>
      </w:r>
    </w:p>
    <w:p w14:paraId="02F463CC" w14:textId="6C647EF1" w:rsidR="471B0062" w:rsidRDefault="471B0062" w:rsidP="471B0062">
      <w:pPr>
        <w:spacing w:after="60"/>
        <w:ind w:right="-468"/>
      </w:pPr>
      <w:r w:rsidRPr="471B0062">
        <w:rPr>
          <w:rFonts w:ascii="Tahoma" w:eastAsia="Tahoma" w:hAnsi="Tahoma" w:cs="Tahoma"/>
          <w:b/>
          <w:bCs/>
          <w:color w:val="000000" w:themeColor="text1"/>
          <w:sz w:val="20"/>
          <w:szCs w:val="20"/>
        </w:rPr>
        <w:t xml:space="preserve"> </w:t>
      </w:r>
    </w:p>
    <w:p w14:paraId="70655243" w14:textId="41628F83" w:rsidR="471B0062" w:rsidRDefault="471B0062" w:rsidP="471B0062">
      <w:pPr>
        <w:spacing w:after="0"/>
      </w:pPr>
      <w:r w:rsidRPr="471B0062">
        <w:rPr>
          <w:rFonts w:ascii="Tahoma" w:eastAsia="Tahoma" w:hAnsi="Tahoma" w:cs="Tahoma"/>
          <w:b/>
          <w:bCs/>
          <w:color w:val="0D3B5E"/>
          <w:sz w:val="20"/>
          <w:szCs w:val="20"/>
        </w:rPr>
        <w:t>MANUEL DE REFERENCE</w:t>
      </w:r>
    </w:p>
    <w:p w14:paraId="22D5E50D" w14:textId="008072C6" w:rsidR="471B0062" w:rsidRDefault="471B0062" w:rsidP="471B0062">
      <w:pPr>
        <w:spacing w:after="240"/>
      </w:pPr>
      <w:r w:rsidRPr="471B0062">
        <w:rPr>
          <w:rFonts w:ascii="Tahoma" w:eastAsia="Tahoma" w:hAnsi="Tahoma" w:cs="Tahoma"/>
          <w:color w:val="000000" w:themeColor="text1"/>
          <w:sz w:val="20"/>
          <w:szCs w:val="20"/>
        </w:rPr>
        <w:t>Gomez, P.-Y. (2018). La gouvernance d’entreprise. QUE SAIS JE.</w:t>
      </w:r>
    </w:p>
    <w:p w14:paraId="2DE28D77" w14:textId="65F04154" w:rsidR="471B0062" w:rsidRDefault="471B0062" w:rsidP="471B0062">
      <w:pPr>
        <w:spacing w:after="0"/>
      </w:pPr>
      <w:r w:rsidRPr="471B0062">
        <w:rPr>
          <w:rFonts w:ascii="Tahoma" w:eastAsia="Tahoma" w:hAnsi="Tahoma" w:cs="Tahoma"/>
          <w:b/>
          <w:bCs/>
          <w:color w:val="0D3B5E"/>
          <w:sz w:val="20"/>
          <w:szCs w:val="20"/>
        </w:rPr>
        <w:t>En complément</w:t>
      </w:r>
    </w:p>
    <w:p w14:paraId="5E1C81B7" w14:textId="5BBD9E7B" w:rsidR="471B0062" w:rsidRDefault="471B0062" w:rsidP="471B0062">
      <w:pPr>
        <w:spacing w:after="240"/>
      </w:pPr>
      <w:r w:rsidRPr="471B0062">
        <w:rPr>
          <w:rFonts w:ascii="Tahoma" w:eastAsia="Tahoma" w:hAnsi="Tahoma" w:cs="Tahoma"/>
          <w:color w:val="000000" w:themeColor="text1"/>
          <w:sz w:val="20"/>
          <w:szCs w:val="20"/>
        </w:rPr>
        <w:t xml:space="preserve">Lallemand-Stempak, N., &amp; </w:t>
      </w:r>
      <w:proofErr w:type="spellStart"/>
      <w:r w:rsidRPr="471B0062">
        <w:rPr>
          <w:rFonts w:ascii="Tahoma" w:eastAsia="Tahoma" w:hAnsi="Tahoma" w:cs="Tahoma"/>
          <w:color w:val="000000" w:themeColor="text1"/>
          <w:sz w:val="20"/>
          <w:szCs w:val="20"/>
        </w:rPr>
        <w:t>Eynaud</w:t>
      </w:r>
      <w:proofErr w:type="spellEnd"/>
      <w:r w:rsidRPr="471B0062">
        <w:rPr>
          <w:rFonts w:ascii="Tahoma" w:eastAsia="Tahoma" w:hAnsi="Tahoma" w:cs="Tahoma"/>
          <w:color w:val="000000" w:themeColor="text1"/>
          <w:sz w:val="20"/>
          <w:szCs w:val="20"/>
        </w:rPr>
        <w:t xml:space="preserve">, P. (2022). </w:t>
      </w:r>
      <w:r w:rsidRPr="471B0062">
        <w:rPr>
          <w:rFonts w:ascii="Tahoma" w:eastAsia="Tahoma" w:hAnsi="Tahoma" w:cs="Tahoma"/>
          <w:i/>
          <w:iCs/>
          <w:color w:val="000000" w:themeColor="text1"/>
          <w:sz w:val="20"/>
          <w:szCs w:val="20"/>
        </w:rPr>
        <w:t>Vers une autre gestion</w:t>
      </w:r>
      <w:r w:rsidRPr="471B0062">
        <w:rPr>
          <w:rFonts w:ascii="Tahoma" w:eastAsia="Tahoma" w:hAnsi="Tahoma" w:cs="Tahoma"/>
          <w:color w:val="000000" w:themeColor="text1"/>
          <w:sz w:val="20"/>
          <w:szCs w:val="20"/>
        </w:rPr>
        <w:t>. Les Liens qui Libèrent.</w:t>
      </w:r>
    </w:p>
    <w:p w14:paraId="4C646AD7" w14:textId="3DF686D2" w:rsidR="471B0062" w:rsidRDefault="471B0062" w:rsidP="471B0062">
      <w:r w:rsidRPr="471B0062">
        <w:rPr>
          <w:rFonts w:ascii="Tahoma" w:eastAsia="Tahoma" w:hAnsi="Tahoma" w:cs="Tahoma"/>
          <w:color w:val="000000" w:themeColor="text1"/>
          <w:sz w:val="20"/>
          <w:szCs w:val="20"/>
        </w:rPr>
        <w:t xml:space="preserve">Wirtz, P. (2019). </w:t>
      </w:r>
      <w:r w:rsidRPr="471B0062">
        <w:rPr>
          <w:rFonts w:ascii="Tahoma" w:eastAsia="Tahoma" w:hAnsi="Tahoma" w:cs="Tahoma"/>
          <w:i/>
          <w:iCs/>
          <w:color w:val="000000" w:themeColor="text1"/>
          <w:sz w:val="20"/>
          <w:szCs w:val="20"/>
        </w:rPr>
        <w:t>Les meilleures pratiques de gouvernance d’entreprise</w:t>
      </w:r>
      <w:r w:rsidRPr="471B0062">
        <w:rPr>
          <w:rFonts w:ascii="Tahoma" w:eastAsia="Tahoma" w:hAnsi="Tahoma" w:cs="Tahoma"/>
          <w:color w:val="000000" w:themeColor="text1"/>
          <w:sz w:val="20"/>
          <w:szCs w:val="20"/>
        </w:rPr>
        <w:t>. La Découverte.</w:t>
      </w:r>
    </w:p>
    <w:sectPr w:rsidR="471B0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AE09"/>
    <w:multiLevelType w:val="hybridMultilevel"/>
    <w:tmpl w:val="76F635C8"/>
    <w:lvl w:ilvl="0" w:tplc="AD60D1C2">
      <w:start w:val="1"/>
      <w:numFmt w:val="bullet"/>
      <w:lvlText w:val=""/>
      <w:lvlJc w:val="left"/>
      <w:pPr>
        <w:ind w:left="720" w:hanging="360"/>
      </w:pPr>
      <w:rPr>
        <w:rFonts w:ascii="Symbol" w:hAnsi="Symbol" w:hint="default"/>
      </w:rPr>
    </w:lvl>
    <w:lvl w:ilvl="1" w:tplc="BE5C8892">
      <w:start w:val="1"/>
      <w:numFmt w:val="bullet"/>
      <w:lvlText w:val="·"/>
      <w:lvlJc w:val="left"/>
      <w:pPr>
        <w:ind w:left="1440" w:hanging="360"/>
      </w:pPr>
      <w:rPr>
        <w:rFonts w:ascii="Symbol" w:hAnsi="Symbol" w:hint="default"/>
      </w:rPr>
    </w:lvl>
    <w:lvl w:ilvl="2" w:tplc="C728079A">
      <w:start w:val="1"/>
      <w:numFmt w:val="bullet"/>
      <w:lvlText w:val=""/>
      <w:lvlJc w:val="left"/>
      <w:pPr>
        <w:ind w:left="2160" w:hanging="360"/>
      </w:pPr>
      <w:rPr>
        <w:rFonts w:ascii="Wingdings" w:hAnsi="Wingdings" w:hint="default"/>
      </w:rPr>
    </w:lvl>
    <w:lvl w:ilvl="3" w:tplc="DB200DAA">
      <w:start w:val="1"/>
      <w:numFmt w:val="bullet"/>
      <w:lvlText w:val=""/>
      <w:lvlJc w:val="left"/>
      <w:pPr>
        <w:ind w:left="2880" w:hanging="360"/>
      </w:pPr>
      <w:rPr>
        <w:rFonts w:ascii="Symbol" w:hAnsi="Symbol" w:hint="default"/>
      </w:rPr>
    </w:lvl>
    <w:lvl w:ilvl="4" w:tplc="8D86C0E2">
      <w:start w:val="1"/>
      <w:numFmt w:val="bullet"/>
      <w:lvlText w:val="o"/>
      <w:lvlJc w:val="left"/>
      <w:pPr>
        <w:ind w:left="3600" w:hanging="360"/>
      </w:pPr>
      <w:rPr>
        <w:rFonts w:ascii="Courier New" w:hAnsi="Courier New" w:hint="default"/>
      </w:rPr>
    </w:lvl>
    <w:lvl w:ilvl="5" w:tplc="2BD6FA90">
      <w:start w:val="1"/>
      <w:numFmt w:val="bullet"/>
      <w:lvlText w:val=""/>
      <w:lvlJc w:val="left"/>
      <w:pPr>
        <w:ind w:left="4320" w:hanging="360"/>
      </w:pPr>
      <w:rPr>
        <w:rFonts w:ascii="Wingdings" w:hAnsi="Wingdings" w:hint="default"/>
      </w:rPr>
    </w:lvl>
    <w:lvl w:ilvl="6" w:tplc="0A1AC5D8">
      <w:start w:val="1"/>
      <w:numFmt w:val="bullet"/>
      <w:lvlText w:val=""/>
      <w:lvlJc w:val="left"/>
      <w:pPr>
        <w:ind w:left="5040" w:hanging="360"/>
      </w:pPr>
      <w:rPr>
        <w:rFonts w:ascii="Symbol" w:hAnsi="Symbol" w:hint="default"/>
      </w:rPr>
    </w:lvl>
    <w:lvl w:ilvl="7" w:tplc="6E9E2358">
      <w:start w:val="1"/>
      <w:numFmt w:val="bullet"/>
      <w:lvlText w:val="o"/>
      <w:lvlJc w:val="left"/>
      <w:pPr>
        <w:ind w:left="5760" w:hanging="360"/>
      </w:pPr>
      <w:rPr>
        <w:rFonts w:ascii="Courier New" w:hAnsi="Courier New" w:hint="default"/>
      </w:rPr>
    </w:lvl>
    <w:lvl w:ilvl="8" w:tplc="4500627A">
      <w:start w:val="1"/>
      <w:numFmt w:val="bullet"/>
      <w:lvlText w:val=""/>
      <w:lvlJc w:val="left"/>
      <w:pPr>
        <w:ind w:left="6480" w:hanging="360"/>
      </w:pPr>
      <w:rPr>
        <w:rFonts w:ascii="Wingdings" w:hAnsi="Wingdings" w:hint="default"/>
      </w:rPr>
    </w:lvl>
  </w:abstractNum>
  <w:abstractNum w:abstractNumId="1" w15:restartNumberingAfterBreak="0">
    <w:nsid w:val="21619908"/>
    <w:multiLevelType w:val="hybridMultilevel"/>
    <w:tmpl w:val="2110C822"/>
    <w:lvl w:ilvl="0" w:tplc="53D44FE2">
      <w:start w:val="1"/>
      <w:numFmt w:val="bullet"/>
      <w:lvlText w:val=""/>
      <w:lvlJc w:val="left"/>
      <w:pPr>
        <w:ind w:left="720" w:hanging="360"/>
      </w:pPr>
      <w:rPr>
        <w:rFonts w:ascii="Symbol" w:hAnsi="Symbol" w:hint="default"/>
      </w:rPr>
    </w:lvl>
    <w:lvl w:ilvl="1" w:tplc="1C88EEAC">
      <w:start w:val="1"/>
      <w:numFmt w:val="bullet"/>
      <w:lvlText w:val="·"/>
      <w:lvlJc w:val="left"/>
      <w:pPr>
        <w:ind w:left="1440" w:hanging="360"/>
      </w:pPr>
      <w:rPr>
        <w:rFonts w:ascii="Symbol" w:hAnsi="Symbol" w:hint="default"/>
      </w:rPr>
    </w:lvl>
    <w:lvl w:ilvl="2" w:tplc="F4B08B82">
      <w:start w:val="1"/>
      <w:numFmt w:val="bullet"/>
      <w:lvlText w:val=""/>
      <w:lvlJc w:val="left"/>
      <w:pPr>
        <w:ind w:left="2160" w:hanging="360"/>
      </w:pPr>
      <w:rPr>
        <w:rFonts w:ascii="Wingdings" w:hAnsi="Wingdings" w:hint="default"/>
      </w:rPr>
    </w:lvl>
    <w:lvl w:ilvl="3" w:tplc="75CEFF1C">
      <w:start w:val="1"/>
      <w:numFmt w:val="bullet"/>
      <w:lvlText w:val=""/>
      <w:lvlJc w:val="left"/>
      <w:pPr>
        <w:ind w:left="2880" w:hanging="360"/>
      </w:pPr>
      <w:rPr>
        <w:rFonts w:ascii="Symbol" w:hAnsi="Symbol" w:hint="default"/>
      </w:rPr>
    </w:lvl>
    <w:lvl w:ilvl="4" w:tplc="7C16CF62">
      <w:start w:val="1"/>
      <w:numFmt w:val="bullet"/>
      <w:lvlText w:val="o"/>
      <w:lvlJc w:val="left"/>
      <w:pPr>
        <w:ind w:left="3600" w:hanging="360"/>
      </w:pPr>
      <w:rPr>
        <w:rFonts w:ascii="Courier New" w:hAnsi="Courier New" w:hint="default"/>
      </w:rPr>
    </w:lvl>
    <w:lvl w:ilvl="5" w:tplc="671CF644">
      <w:start w:val="1"/>
      <w:numFmt w:val="bullet"/>
      <w:lvlText w:val=""/>
      <w:lvlJc w:val="left"/>
      <w:pPr>
        <w:ind w:left="4320" w:hanging="360"/>
      </w:pPr>
      <w:rPr>
        <w:rFonts w:ascii="Wingdings" w:hAnsi="Wingdings" w:hint="default"/>
      </w:rPr>
    </w:lvl>
    <w:lvl w:ilvl="6" w:tplc="1A16177C">
      <w:start w:val="1"/>
      <w:numFmt w:val="bullet"/>
      <w:lvlText w:val=""/>
      <w:lvlJc w:val="left"/>
      <w:pPr>
        <w:ind w:left="5040" w:hanging="360"/>
      </w:pPr>
      <w:rPr>
        <w:rFonts w:ascii="Symbol" w:hAnsi="Symbol" w:hint="default"/>
      </w:rPr>
    </w:lvl>
    <w:lvl w:ilvl="7" w:tplc="71206848">
      <w:start w:val="1"/>
      <w:numFmt w:val="bullet"/>
      <w:lvlText w:val="o"/>
      <w:lvlJc w:val="left"/>
      <w:pPr>
        <w:ind w:left="5760" w:hanging="360"/>
      </w:pPr>
      <w:rPr>
        <w:rFonts w:ascii="Courier New" w:hAnsi="Courier New" w:hint="default"/>
      </w:rPr>
    </w:lvl>
    <w:lvl w:ilvl="8" w:tplc="092C51DA">
      <w:start w:val="1"/>
      <w:numFmt w:val="bullet"/>
      <w:lvlText w:val=""/>
      <w:lvlJc w:val="left"/>
      <w:pPr>
        <w:ind w:left="6480" w:hanging="360"/>
      </w:pPr>
      <w:rPr>
        <w:rFonts w:ascii="Wingdings" w:hAnsi="Wingdings" w:hint="default"/>
      </w:rPr>
    </w:lvl>
  </w:abstractNum>
  <w:abstractNum w:abstractNumId="2" w15:restartNumberingAfterBreak="0">
    <w:nsid w:val="223760DC"/>
    <w:multiLevelType w:val="multilevel"/>
    <w:tmpl w:val="6456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62EFC"/>
    <w:multiLevelType w:val="multilevel"/>
    <w:tmpl w:val="6126505A"/>
    <w:lvl w:ilvl="0">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6397181">
    <w:abstractNumId w:val="0"/>
  </w:num>
  <w:num w:numId="2" w16cid:durableId="1585257171">
    <w:abstractNumId w:val="1"/>
  </w:num>
  <w:num w:numId="3" w16cid:durableId="1728795338">
    <w:abstractNumId w:val="3"/>
  </w:num>
  <w:num w:numId="4" w16cid:durableId="161239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9C"/>
    <w:rsid w:val="000573DF"/>
    <w:rsid w:val="0006056A"/>
    <w:rsid w:val="000C319C"/>
    <w:rsid w:val="000D64E7"/>
    <w:rsid w:val="001C3787"/>
    <w:rsid w:val="002364CF"/>
    <w:rsid w:val="00291DD9"/>
    <w:rsid w:val="002963D3"/>
    <w:rsid w:val="00453525"/>
    <w:rsid w:val="004B6182"/>
    <w:rsid w:val="004D6401"/>
    <w:rsid w:val="005256DF"/>
    <w:rsid w:val="0067056A"/>
    <w:rsid w:val="00671DDF"/>
    <w:rsid w:val="00690224"/>
    <w:rsid w:val="007972CE"/>
    <w:rsid w:val="008079E8"/>
    <w:rsid w:val="009934F2"/>
    <w:rsid w:val="00A95EDF"/>
    <w:rsid w:val="00B37FC9"/>
    <w:rsid w:val="00C3078C"/>
    <w:rsid w:val="00C50BC4"/>
    <w:rsid w:val="00C5404B"/>
    <w:rsid w:val="00C651C9"/>
    <w:rsid w:val="00DA3D62"/>
    <w:rsid w:val="00E85319"/>
    <w:rsid w:val="00F010B4"/>
    <w:rsid w:val="00FB7138"/>
    <w:rsid w:val="471B0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3930"/>
  <w15:chartTrackingRefBased/>
  <w15:docId w15:val="{043C5659-C56C-4DFD-B939-ACF2166E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9C"/>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C319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ibliographie1">
    <w:name w:val="Bibliographie1"/>
    <w:basedOn w:val="Normal"/>
    <w:rsid w:val="000C319C"/>
    <w:pPr>
      <w:spacing w:after="240" w:line="240" w:lineRule="auto"/>
      <w:ind w:left="720" w:hanging="720"/>
    </w:pPr>
    <w:rPr>
      <w:rFonts w:ascii="Times New Roman" w:hAnsi="Times New Roman" w:cs="Times New Roman"/>
      <w:color w:val="0000CC"/>
    </w:rPr>
  </w:style>
  <w:style w:type="paragraph" w:styleId="NormalWeb">
    <w:name w:val="Normal (Web)"/>
    <w:basedOn w:val="Normal"/>
    <w:uiPriority w:val="99"/>
    <w:semiHidden/>
    <w:unhideWhenUsed/>
    <w:rsid w:val="00F010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Policepardfaut"/>
    <w:rsid w:val="004B6182"/>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1882</Characters>
  <Application>Microsoft Office Word</Application>
  <DocSecurity>0</DocSecurity>
  <Lines>29</Lines>
  <Paragraphs>7</Paragraphs>
  <ScaleCrop>false</ScaleCrop>
  <Company>IAEDEPARIS</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dc:creator>
  <cp:keywords/>
  <dc:description/>
  <cp:lastModifiedBy>Nathalie Lallemand-Stempak</cp:lastModifiedBy>
  <cp:revision>2</cp:revision>
  <dcterms:created xsi:type="dcterms:W3CDTF">2025-01-28T16:37:00Z</dcterms:created>
  <dcterms:modified xsi:type="dcterms:W3CDTF">2025-01-28T16:37:00Z</dcterms:modified>
</cp:coreProperties>
</file>