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F690F" w14:textId="09D8B351" w:rsidR="008E3706" w:rsidRDefault="005F1332" w:rsidP="005208E4">
      <w:pPr>
        <w:pStyle w:val="Titre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Immatériels</w:t>
      </w:r>
      <w:r w:rsidR="008E3706">
        <w:rPr>
          <w:rFonts w:ascii="Times New Roman" w:hAnsi="Times New Roman" w:cs="Times New Roman"/>
          <w:sz w:val="28"/>
          <w:szCs w:val="28"/>
        </w:rPr>
        <w:t xml:space="preserve"> – Goodwill</w:t>
      </w:r>
      <w:r w:rsidR="008F6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3C447C" w14:textId="77777777" w:rsidR="00144DF4" w:rsidRDefault="00144DF4" w:rsidP="009558E3">
      <w:pPr>
        <w:jc w:val="center"/>
        <w:rPr>
          <w:rFonts w:ascii="Times New Roman" w:hAnsi="Times New Roman" w:cs="Times New Roman"/>
          <w:sz w:val="28"/>
          <w:szCs w:val="28"/>
          <w:lang w:eastAsia="fr-FR"/>
        </w:rPr>
      </w:pPr>
    </w:p>
    <w:p w14:paraId="65946758" w14:textId="5963D702" w:rsidR="008E3706" w:rsidRPr="00072C6C" w:rsidRDefault="008F60D7" w:rsidP="00072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  <w:lang w:eastAsia="fr-FR"/>
        </w:rPr>
      </w:pPr>
      <w:r w:rsidRPr="00072C6C">
        <w:rPr>
          <w:rFonts w:ascii="Times New Roman" w:hAnsi="Times New Roman" w:cs="Times New Roman"/>
          <w:b/>
          <w:bCs/>
          <w:sz w:val="28"/>
          <w:szCs w:val="28"/>
          <w:lang w:eastAsia="fr-FR"/>
        </w:rPr>
        <w:t>Cas PIETRA</w:t>
      </w:r>
    </w:p>
    <w:p w14:paraId="53788CD3" w14:textId="77777777" w:rsidR="00072C6C" w:rsidRDefault="00072C6C" w:rsidP="00DC2CF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D519476" w14:textId="560330EB" w:rsidR="00340566" w:rsidRPr="00072C6C" w:rsidRDefault="008E3706" w:rsidP="00DC2C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72C6C">
        <w:rPr>
          <w:rFonts w:ascii="Times New Roman" w:hAnsi="Times New Roman" w:cs="Times New Roman"/>
          <w:b/>
          <w:bCs/>
          <w:sz w:val="28"/>
          <w:szCs w:val="28"/>
        </w:rPr>
        <w:t xml:space="preserve">Exercice 1 : </w:t>
      </w:r>
      <w:r w:rsidR="00EB1D93" w:rsidRPr="00072C6C">
        <w:rPr>
          <w:rFonts w:ascii="Times New Roman" w:hAnsi="Times New Roman" w:cs="Times New Roman"/>
          <w:b/>
          <w:bCs/>
          <w:sz w:val="28"/>
          <w:szCs w:val="28"/>
        </w:rPr>
        <w:t>Calcul d’écart d’évaluation et d’acquisition</w:t>
      </w:r>
    </w:p>
    <w:p w14:paraId="414CA56A" w14:textId="77777777" w:rsidR="00734A33" w:rsidRDefault="005A060A" w:rsidP="005A06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60A">
        <w:rPr>
          <w:rFonts w:ascii="Times New Roman" w:hAnsi="Times New Roman" w:cs="Times New Roman"/>
          <w:sz w:val="24"/>
          <w:szCs w:val="24"/>
        </w:rPr>
        <w:t xml:space="preserve">Sanofi a acheté Aventis pour un montant de 40,3Md€. </w:t>
      </w:r>
    </w:p>
    <w:p w14:paraId="0A7CE439" w14:textId="24147EAE" w:rsidR="005A060A" w:rsidRPr="005A060A" w:rsidRDefault="005A060A" w:rsidP="005A06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60A">
        <w:rPr>
          <w:rFonts w:ascii="Times New Roman" w:hAnsi="Times New Roman" w:cs="Times New Roman"/>
          <w:sz w:val="24"/>
          <w:szCs w:val="24"/>
        </w:rPr>
        <w:t>La réévaluation des actifs d’Aventis se présente comme suit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5A060A" w14:paraId="6E5B2329" w14:textId="77777777" w:rsidTr="005A060A">
        <w:tc>
          <w:tcPr>
            <w:tcW w:w="6232" w:type="dxa"/>
          </w:tcPr>
          <w:p w14:paraId="1EBB549C" w14:textId="58553C56" w:rsidR="005A060A" w:rsidRDefault="005A060A" w:rsidP="005A060A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Actifs incorporels (brevets sur molécules essentiellement)</w:t>
            </w:r>
          </w:p>
        </w:tc>
        <w:tc>
          <w:tcPr>
            <w:tcW w:w="2830" w:type="dxa"/>
          </w:tcPr>
          <w:p w14:paraId="13A9A63D" w14:textId="64F796B8" w:rsidR="005A060A" w:rsidRDefault="005A060A" w:rsidP="005A060A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</w:t>
            </w:r>
            <w:r w:rsidR="000435C3">
              <w:rPr>
                <w:sz w:val="24"/>
                <w:szCs w:val="24"/>
              </w:rPr>
              <w:t>2</w:t>
            </w:r>
            <w:r w:rsidR="00D20D4F">
              <w:rPr>
                <w:sz w:val="24"/>
                <w:szCs w:val="24"/>
              </w:rPr>
              <w:t>0,9</w:t>
            </w:r>
            <w:r>
              <w:rPr>
                <w:sz w:val="24"/>
                <w:szCs w:val="24"/>
              </w:rPr>
              <w:t xml:space="preserve"> Md€</w:t>
            </w:r>
          </w:p>
        </w:tc>
      </w:tr>
      <w:tr w:rsidR="005A060A" w14:paraId="6FE1D8F6" w14:textId="77777777" w:rsidTr="005A060A">
        <w:tc>
          <w:tcPr>
            <w:tcW w:w="6232" w:type="dxa"/>
          </w:tcPr>
          <w:p w14:paraId="3960D428" w14:textId="527032C8" w:rsidR="005A060A" w:rsidRDefault="005A060A" w:rsidP="005A060A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Frais de recherche &amp; développement en cours</w:t>
            </w:r>
          </w:p>
        </w:tc>
        <w:tc>
          <w:tcPr>
            <w:tcW w:w="2830" w:type="dxa"/>
          </w:tcPr>
          <w:p w14:paraId="52B7CA89" w14:textId="76DDE0C1" w:rsidR="005A060A" w:rsidRDefault="005A060A" w:rsidP="005A060A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</w:t>
            </w:r>
            <w:r w:rsidR="00D20D4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,0 Md€</w:t>
            </w:r>
          </w:p>
        </w:tc>
      </w:tr>
      <w:tr w:rsidR="005A060A" w14:paraId="1BF4174F" w14:textId="77777777" w:rsidTr="005A060A">
        <w:tc>
          <w:tcPr>
            <w:tcW w:w="6232" w:type="dxa"/>
          </w:tcPr>
          <w:p w14:paraId="464D447C" w14:textId="38A97042" w:rsidR="005A060A" w:rsidRDefault="005A060A" w:rsidP="005A060A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Divers</w:t>
            </w:r>
          </w:p>
        </w:tc>
        <w:tc>
          <w:tcPr>
            <w:tcW w:w="2830" w:type="dxa"/>
          </w:tcPr>
          <w:p w14:paraId="1D493146" w14:textId="15241728" w:rsidR="005A060A" w:rsidRDefault="005A060A" w:rsidP="005A060A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+3,2 Md€</w:t>
            </w:r>
          </w:p>
        </w:tc>
      </w:tr>
    </w:tbl>
    <w:p w14:paraId="6A4E2AFE" w14:textId="6E10AE23" w:rsidR="005A060A" w:rsidRDefault="005A060A" w:rsidP="005A06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F56170" w14:textId="7489DA2B" w:rsidR="002D6C81" w:rsidRDefault="002D6C81" w:rsidP="005A06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réévaluation des passifs se présente comme suit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2D6C81" w14:paraId="22C20538" w14:textId="77777777" w:rsidTr="002D6C81">
        <w:tc>
          <w:tcPr>
            <w:tcW w:w="6232" w:type="dxa"/>
          </w:tcPr>
          <w:p w14:paraId="75BC2B95" w14:textId="64E31393" w:rsidR="002D6C81" w:rsidRDefault="002D6C81" w:rsidP="005A060A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Impôts différés</w:t>
            </w:r>
          </w:p>
        </w:tc>
        <w:tc>
          <w:tcPr>
            <w:tcW w:w="2830" w:type="dxa"/>
          </w:tcPr>
          <w:p w14:paraId="4EE0D7C2" w14:textId="5D3111D7" w:rsidR="002D6C81" w:rsidRDefault="002D6C81" w:rsidP="005A060A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D20D4F">
              <w:rPr>
                <w:sz w:val="24"/>
                <w:szCs w:val="24"/>
              </w:rPr>
              <w:t>9,1</w:t>
            </w:r>
            <w:r>
              <w:rPr>
                <w:sz w:val="24"/>
                <w:szCs w:val="24"/>
              </w:rPr>
              <w:t xml:space="preserve"> Md€</w:t>
            </w:r>
          </w:p>
        </w:tc>
      </w:tr>
      <w:tr w:rsidR="002D6C81" w14:paraId="1118E282" w14:textId="77777777" w:rsidTr="002D6C81">
        <w:tc>
          <w:tcPr>
            <w:tcW w:w="6232" w:type="dxa"/>
          </w:tcPr>
          <w:p w14:paraId="084F03B9" w14:textId="55D32EDA" w:rsidR="002D6C81" w:rsidRDefault="002D6C81" w:rsidP="005A060A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Ajustement des provisions</w:t>
            </w:r>
          </w:p>
        </w:tc>
        <w:tc>
          <w:tcPr>
            <w:tcW w:w="2830" w:type="dxa"/>
          </w:tcPr>
          <w:p w14:paraId="5A4E8388" w14:textId="4957CAFF" w:rsidR="002D6C81" w:rsidRDefault="002D6C81" w:rsidP="005A060A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+3,4 Md€</w:t>
            </w:r>
          </w:p>
        </w:tc>
      </w:tr>
    </w:tbl>
    <w:p w14:paraId="678389BF" w14:textId="77777777" w:rsidR="002D6C81" w:rsidRPr="005A060A" w:rsidRDefault="002D6C81" w:rsidP="005A06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F002A3" w14:textId="77777777" w:rsidR="002D6C81" w:rsidRDefault="002D6C81" w:rsidP="002D6C81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Calculer </w:t>
      </w:r>
      <w:r w:rsidRPr="00490B92">
        <w:rPr>
          <w:rFonts w:ascii="Times New Roman" w:hAnsi="Times New Roman" w:cs="Times New Roman"/>
          <w:sz w:val="24"/>
          <w:szCs w:val="24"/>
          <w:u w:val="single"/>
        </w:rPr>
        <w:t>l’écart d’évaluation.</w:t>
      </w:r>
    </w:p>
    <w:p w14:paraId="1EB99D83" w14:textId="3A17E4B6" w:rsidR="003C2EAE" w:rsidRPr="002D6C81" w:rsidRDefault="002D6C81" w:rsidP="002D6C81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Déterminer s</w:t>
      </w:r>
      <w:r w:rsidRPr="002D6C81">
        <w:rPr>
          <w:rFonts w:ascii="Times New Roman" w:hAnsi="Times New Roman" w:cs="Times New Roman"/>
          <w:sz w:val="24"/>
          <w:szCs w:val="24"/>
        </w:rPr>
        <w:t xml:space="preserve">ur quel élément </w:t>
      </w:r>
      <w:r>
        <w:rPr>
          <w:rFonts w:ascii="Times New Roman" w:hAnsi="Times New Roman" w:cs="Times New Roman"/>
          <w:sz w:val="24"/>
          <w:szCs w:val="24"/>
        </w:rPr>
        <w:t xml:space="preserve">repose l’écart d’évaluation </w:t>
      </w:r>
      <w:r w:rsidRPr="002D6C81">
        <w:rPr>
          <w:rFonts w:ascii="Times New Roman" w:hAnsi="Times New Roman" w:cs="Times New Roman"/>
          <w:sz w:val="24"/>
          <w:szCs w:val="24"/>
        </w:rPr>
        <w:t>principalement</w:t>
      </w:r>
    </w:p>
    <w:p w14:paraId="39A2E8D4" w14:textId="59D2D407" w:rsidR="002D6C81" w:rsidRDefault="00CF5222" w:rsidP="002D6C81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Calculer </w:t>
      </w:r>
      <w:r w:rsidRPr="00490B92">
        <w:rPr>
          <w:rFonts w:ascii="Times New Roman" w:hAnsi="Times New Roman" w:cs="Times New Roman"/>
          <w:sz w:val="24"/>
          <w:szCs w:val="24"/>
          <w:u w:val="single"/>
        </w:rPr>
        <w:t>l’écart d’acquisition</w:t>
      </w:r>
      <w:r>
        <w:rPr>
          <w:rFonts w:ascii="Times New Roman" w:hAnsi="Times New Roman" w:cs="Times New Roman"/>
          <w:sz w:val="24"/>
          <w:szCs w:val="24"/>
        </w:rPr>
        <w:t xml:space="preserve"> que Sanofi a payé pour acquérir Aventis</w:t>
      </w:r>
    </w:p>
    <w:p w14:paraId="081CEA9C" w14:textId="58E5A814" w:rsidR="00CF5222" w:rsidRPr="002D6C81" w:rsidRDefault="00CF5222" w:rsidP="002D6C81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Présenter quelques éléments justifiant cet écart d’acquisition</w:t>
      </w:r>
    </w:p>
    <w:p w14:paraId="7E935600" w14:textId="7B4A56A6" w:rsidR="00DC2CFE" w:rsidRPr="00C778BC" w:rsidRDefault="00DC2CFE" w:rsidP="00C778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2E6B45D" w14:textId="77777777" w:rsidR="00490B92" w:rsidRPr="007F6A3C" w:rsidRDefault="00043E50" w:rsidP="0034056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6A3C">
        <w:rPr>
          <w:rFonts w:ascii="Times New Roman" w:hAnsi="Times New Roman" w:cs="Times New Roman"/>
          <w:b/>
          <w:bCs/>
          <w:sz w:val="28"/>
          <w:szCs w:val="28"/>
        </w:rPr>
        <w:t xml:space="preserve">Exercice n°2 : </w:t>
      </w:r>
      <w:r w:rsidR="00490B92" w:rsidRPr="007F6A3C">
        <w:rPr>
          <w:rFonts w:ascii="Times New Roman" w:hAnsi="Times New Roman" w:cs="Times New Roman"/>
          <w:b/>
          <w:bCs/>
          <w:sz w:val="28"/>
          <w:szCs w:val="28"/>
        </w:rPr>
        <w:t>Identification d’actifs incorporels</w:t>
      </w:r>
    </w:p>
    <w:p w14:paraId="0EFB5C1D" w14:textId="1C4C437B" w:rsidR="00043E50" w:rsidRPr="00C778BC" w:rsidRDefault="000E6CF1" w:rsidP="00C778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8BC">
        <w:rPr>
          <w:rFonts w:ascii="Times New Roman" w:hAnsi="Times New Roman" w:cs="Times New Roman"/>
          <w:sz w:val="24"/>
          <w:szCs w:val="24"/>
        </w:rPr>
        <w:t xml:space="preserve">La brasserie Pietra, achète la </w:t>
      </w:r>
      <w:r w:rsidR="006F64CB" w:rsidRPr="00C778BC">
        <w:rPr>
          <w:rFonts w:ascii="Times New Roman" w:hAnsi="Times New Roman" w:cs="Times New Roman"/>
          <w:sz w:val="24"/>
          <w:szCs w:val="24"/>
        </w:rPr>
        <w:t xml:space="preserve">brasserie </w:t>
      </w:r>
      <w:proofErr w:type="spellStart"/>
      <w:r w:rsidR="00C778BC" w:rsidRPr="00C778BC">
        <w:rPr>
          <w:rFonts w:ascii="Times New Roman" w:hAnsi="Times New Roman" w:cs="Times New Roman"/>
          <w:sz w:val="24"/>
          <w:szCs w:val="24"/>
        </w:rPr>
        <w:t>Torra</w:t>
      </w:r>
      <w:proofErr w:type="spellEnd"/>
      <w:r w:rsidR="006F64CB" w:rsidRPr="00C778BC">
        <w:rPr>
          <w:rFonts w:ascii="Times New Roman" w:hAnsi="Times New Roman" w:cs="Times New Roman"/>
          <w:sz w:val="24"/>
          <w:szCs w:val="24"/>
        </w:rPr>
        <w:t xml:space="preserve">, créatrice de la marque Séréna </w:t>
      </w:r>
      <w:r w:rsidRPr="00C778BC">
        <w:rPr>
          <w:rFonts w:ascii="Times New Roman" w:hAnsi="Times New Roman" w:cs="Times New Roman"/>
          <w:sz w:val="24"/>
          <w:szCs w:val="24"/>
        </w:rPr>
        <w:t>dans l’objectif de renforce</w:t>
      </w:r>
      <w:r w:rsidR="00990365">
        <w:rPr>
          <w:rFonts w:ascii="Times New Roman" w:hAnsi="Times New Roman" w:cs="Times New Roman"/>
          <w:sz w:val="24"/>
          <w:szCs w:val="24"/>
        </w:rPr>
        <w:t>r</w:t>
      </w:r>
      <w:r w:rsidRPr="00C778BC">
        <w:rPr>
          <w:rFonts w:ascii="Times New Roman" w:hAnsi="Times New Roman" w:cs="Times New Roman"/>
          <w:sz w:val="24"/>
          <w:szCs w:val="24"/>
        </w:rPr>
        <w:t xml:space="preserve"> sa position mais aussi de prendre des parts de marché sur le marché des bières notamment dans les cafés et restaurants. Elle doit pour cela atteindre un effet de taille, </w:t>
      </w:r>
      <w:r w:rsidR="006F64CB" w:rsidRPr="00C778BC">
        <w:rPr>
          <w:rFonts w:ascii="Times New Roman" w:hAnsi="Times New Roman" w:cs="Times New Roman"/>
          <w:sz w:val="24"/>
          <w:szCs w:val="24"/>
        </w:rPr>
        <w:t xml:space="preserve">afin d’optimiser ses coûts de production et de logistique et souhaite élargir la gamme de produits. </w:t>
      </w:r>
    </w:p>
    <w:p w14:paraId="174A900A" w14:textId="5428AEA0" w:rsidR="00C778BC" w:rsidRDefault="00A17D26" w:rsidP="00C778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prix d’acquisition payé par Pietra pour </w:t>
      </w:r>
      <w:r w:rsidRPr="00332392">
        <w:rPr>
          <w:rFonts w:ascii="Times New Roman" w:hAnsi="Times New Roman" w:cs="Times New Roman"/>
          <w:sz w:val="24"/>
          <w:szCs w:val="24"/>
        </w:rPr>
        <w:t xml:space="preserve">acquérir </w:t>
      </w:r>
      <w:proofErr w:type="spellStart"/>
      <w:r w:rsidRPr="00332392">
        <w:rPr>
          <w:rFonts w:ascii="Times New Roman" w:hAnsi="Times New Roman" w:cs="Times New Roman"/>
          <w:sz w:val="24"/>
          <w:szCs w:val="24"/>
        </w:rPr>
        <w:t>Torra</w:t>
      </w:r>
      <w:proofErr w:type="spellEnd"/>
      <w:r w:rsidRPr="00332392">
        <w:rPr>
          <w:rFonts w:ascii="Times New Roman" w:hAnsi="Times New Roman" w:cs="Times New Roman"/>
          <w:sz w:val="24"/>
          <w:szCs w:val="24"/>
        </w:rPr>
        <w:t xml:space="preserve"> est</w:t>
      </w:r>
      <w:r w:rsidR="001F2DDB" w:rsidRPr="00332392">
        <w:rPr>
          <w:rFonts w:ascii="Times New Roman" w:hAnsi="Times New Roman" w:cs="Times New Roman"/>
          <w:sz w:val="24"/>
          <w:szCs w:val="24"/>
        </w:rPr>
        <w:t xml:space="preserve"> de </w:t>
      </w:r>
      <w:r w:rsidR="00067F23">
        <w:rPr>
          <w:rFonts w:ascii="Times New Roman" w:hAnsi="Times New Roman" w:cs="Times New Roman"/>
          <w:sz w:val="24"/>
          <w:szCs w:val="24"/>
        </w:rPr>
        <w:t xml:space="preserve">8 </w:t>
      </w:r>
      <w:r w:rsidRPr="00332392">
        <w:rPr>
          <w:rFonts w:ascii="Times New Roman" w:hAnsi="Times New Roman" w:cs="Times New Roman"/>
          <w:sz w:val="24"/>
          <w:szCs w:val="24"/>
        </w:rPr>
        <w:t>Md€</w:t>
      </w:r>
    </w:p>
    <w:p w14:paraId="7027364C" w14:textId="2B5AF4A0" w:rsidR="00901529" w:rsidRDefault="009015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B677112" w14:textId="77777777" w:rsidR="00901529" w:rsidRPr="00C778BC" w:rsidRDefault="00901529" w:rsidP="00C778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17C0633" w14:textId="3A27585F" w:rsidR="00043E50" w:rsidRPr="00C778BC" w:rsidRDefault="006F64CB" w:rsidP="00C778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78BC">
        <w:rPr>
          <w:rFonts w:ascii="Times New Roman" w:hAnsi="Times New Roman" w:cs="Times New Roman"/>
          <w:sz w:val="24"/>
          <w:szCs w:val="24"/>
        </w:rPr>
        <w:t xml:space="preserve">Le bilan de la brasserie </w:t>
      </w:r>
      <w:proofErr w:type="spellStart"/>
      <w:r w:rsidR="00674BAD">
        <w:rPr>
          <w:rFonts w:ascii="Times New Roman" w:hAnsi="Times New Roman" w:cs="Times New Roman"/>
          <w:sz w:val="24"/>
          <w:szCs w:val="24"/>
        </w:rPr>
        <w:t>Torra</w:t>
      </w:r>
      <w:proofErr w:type="spellEnd"/>
      <w:r w:rsidRPr="00C778BC">
        <w:rPr>
          <w:rFonts w:ascii="Times New Roman" w:hAnsi="Times New Roman" w:cs="Times New Roman"/>
          <w:sz w:val="24"/>
          <w:szCs w:val="24"/>
        </w:rPr>
        <w:t xml:space="preserve"> se présente ainsi : </w:t>
      </w:r>
    </w:p>
    <w:tbl>
      <w:tblPr>
        <w:tblW w:w="449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2"/>
        <w:gridCol w:w="1915"/>
        <w:gridCol w:w="1999"/>
        <w:gridCol w:w="1668"/>
      </w:tblGrid>
      <w:tr w:rsidR="00EE08AD" w:rsidRPr="00EE08AD" w14:paraId="42CA3846" w14:textId="77777777" w:rsidTr="00EE08AD">
        <w:trPr>
          <w:trHeight w:val="315"/>
        </w:trPr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8385" w14:textId="77777777" w:rsidR="00EE08AD" w:rsidRPr="00EE08AD" w:rsidRDefault="00EE08AD" w:rsidP="00EE0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E08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ACTIF 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136B3" w14:textId="30E10BF0" w:rsidR="00EE08AD" w:rsidRPr="00EE08AD" w:rsidRDefault="00D10F2D" w:rsidP="00EE0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K</w:t>
            </w:r>
            <w:r w:rsidR="00EE08AD" w:rsidRPr="00EE08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C190A" w14:textId="77777777" w:rsidR="00EE08AD" w:rsidRPr="00EE08AD" w:rsidRDefault="00EE08AD" w:rsidP="00EE0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E08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PASSIF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96E52" w14:textId="74084094" w:rsidR="00EE08AD" w:rsidRPr="00EE08AD" w:rsidRDefault="00D10F2D" w:rsidP="00EE0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K</w:t>
            </w:r>
            <w:r w:rsidR="00EE08AD" w:rsidRPr="00EE08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€</w:t>
            </w:r>
          </w:p>
        </w:tc>
      </w:tr>
      <w:tr w:rsidR="00EE08AD" w:rsidRPr="00EE08AD" w14:paraId="1519AFBD" w14:textId="77777777" w:rsidTr="00EE08AD">
        <w:trPr>
          <w:trHeight w:val="315"/>
        </w:trPr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B244" w14:textId="77777777" w:rsidR="00EE08AD" w:rsidRPr="00EE08AD" w:rsidRDefault="00EE08AD" w:rsidP="00EE08A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EE08AD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  <w:t>Actifs non courants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CB690" w14:textId="77777777" w:rsidR="00EE08AD" w:rsidRPr="00EE08AD" w:rsidRDefault="00EE08AD" w:rsidP="00EE08A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EE08AD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A6AC" w14:textId="77777777" w:rsidR="00EE08AD" w:rsidRPr="00EE08AD" w:rsidRDefault="00EE08AD" w:rsidP="00EE08A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EE08AD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  <w:t>Capitaux propres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B1823" w14:textId="77777777" w:rsidR="00EE08AD" w:rsidRPr="00EE08AD" w:rsidRDefault="00EE08AD" w:rsidP="00EE08A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EE08AD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EE08AD" w:rsidRPr="00EE08AD" w14:paraId="4AF7D772" w14:textId="77777777" w:rsidTr="00EE08AD">
        <w:trPr>
          <w:trHeight w:val="315"/>
        </w:trPr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7A1E8" w14:textId="77777777" w:rsidR="00EE08AD" w:rsidRPr="00EE08AD" w:rsidRDefault="00EE08AD" w:rsidP="00EE0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E08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Bâtiments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AF642" w14:textId="77777777" w:rsidR="00EE08AD" w:rsidRPr="00EE08AD" w:rsidRDefault="00EE08AD" w:rsidP="00EE0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E08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               1 370    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0590" w14:textId="77777777" w:rsidR="00EE08AD" w:rsidRPr="00EE08AD" w:rsidRDefault="00EE08AD" w:rsidP="00EE0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E08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Capital social 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3903" w14:textId="77777777" w:rsidR="00EE08AD" w:rsidRPr="00EE08AD" w:rsidRDefault="00EE08AD" w:rsidP="00EE0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E08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              800    </w:t>
            </w:r>
          </w:p>
        </w:tc>
      </w:tr>
      <w:tr w:rsidR="00EE08AD" w:rsidRPr="00EE08AD" w14:paraId="49A65663" w14:textId="77777777" w:rsidTr="00EE08AD">
        <w:trPr>
          <w:trHeight w:val="315"/>
        </w:trPr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0276" w14:textId="77777777" w:rsidR="00EE08AD" w:rsidRPr="00EE08AD" w:rsidRDefault="00EE08AD" w:rsidP="00EE0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E08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Installations techniques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83EBD" w14:textId="77777777" w:rsidR="00EE08AD" w:rsidRPr="00EE08AD" w:rsidRDefault="00EE08AD" w:rsidP="00EE0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E08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               1 120    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9247" w14:textId="77777777" w:rsidR="00EE08AD" w:rsidRPr="00EE08AD" w:rsidRDefault="00EE08AD" w:rsidP="00EE0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E08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Réserves 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A1C7" w14:textId="77777777" w:rsidR="00EE08AD" w:rsidRPr="00EE08AD" w:rsidRDefault="00EE08AD" w:rsidP="00EE0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E08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           1 390    </w:t>
            </w:r>
          </w:p>
        </w:tc>
      </w:tr>
      <w:tr w:rsidR="00EE08AD" w:rsidRPr="00EE08AD" w14:paraId="0167B458" w14:textId="77777777" w:rsidTr="00EE08AD">
        <w:trPr>
          <w:trHeight w:val="315"/>
        </w:trPr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D00FD" w14:textId="77777777" w:rsidR="00EE08AD" w:rsidRPr="00EE08AD" w:rsidRDefault="00EE08AD" w:rsidP="00EE0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E08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A866" w14:textId="77777777" w:rsidR="00EE08AD" w:rsidRPr="00EE08AD" w:rsidRDefault="00EE08AD" w:rsidP="00EE0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E08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3DA0" w14:textId="77777777" w:rsidR="00EE08AD" w:rsidRPr="00EE08AD" w:rsidRDefault="00EE08AD" w:rsidP="00EE0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E08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10489" w14:textId="77777777" w:rsidR="00EE08AD" w:rsidRPr="00EE08AD" w:rsidRDefault="00EE08AD" w:rsidP="00EE0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E08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EE08AD" w:rsidRPr="00EE08AD" w14:paraId="41CEB1D2" w14:textId="77777777" w:rsidTr="00EE08AD">
        <w:trPr>
          <w:trHeight w:val="315"/>
        </w:trPr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E4CC5" w14:textId="77777777" w:rsidR="00EE08AD" w:rsidRPr="00EE08AD" w:rsidRDefault="00EE08AD" w:rsidP="00EE08A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EE08AD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  <w:t>Actifs courants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C8E8" w14:textId="77777777" w:rsidR="00EE08AD" w:rsidRPr="00EE08AD" w:rsidRDefault="00EE08AD" w:rsidP="00EE0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E08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391F" w14:textId="77777777" w:rsidR="00EE08AD" w:rsidRPr="00EE08AD" w:rsidRDefault="00EE08AD" w:rsidP="00EE0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E08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1468" w14:textId="77777777" w:rsidR="00EE08AD" w:rsidRPr="00EE08AD" w:rsidRDefault="00EE08AD" w:rsidP="00EE0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E08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EE08AD" w:rsidRPr="00EE08AD" w14:paraId="411CBD73" w14:textId="77777777" w:rsidTr="00EE08AD">
        <w:trPr>
          <w:trHeight w:val="315"/>
        </w:trPr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AF8A" w14:textId="77777777" w:rsidR="00EE08AD" w:rsidRPr="00EE08AD" w:rsidRDefault="00EE08AD" w:rsidP="00EE0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E08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Stocks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0A56" w14:textId="77777777" w:rsidR="00EE08AD" w:rsidRPr="00EE08AD" w:rsidRDefault="00EE08AD" w:rsidP="00EE0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E08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                  190    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070D7" w14:textId="77777777" w:rsidR="00EE08AD" w:rsidRPr="00EE08AD" w:rsidRDefault="00EE08AD" w:rsidP="00EE08A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EE08AD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fr-FR"/>
              </w:rPr>
              <w:t xml:space="preserve"> Passifs courants 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5BBA7" w14:textId="77777777" w:rsidR="00EE08AD" w:rsidRPr="00EE08AD" w:rsidRDefault="00EE08AD" w:rsidP="00EE0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E08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EE08AD" w:rsidRPr="00EE08AD" w14:paraId="31828BE8" w14:textId="77777777" w:rsidTr="00EE08AD">
        <w:trPr>
          <w:trHeight w:val="315"/>
        </w:trPr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CBF12" w14:textId="77777777" w:rsidR="00EE08AD" w:rsidRPr="00EE08AD" w:rsidRDefault="00EE08AD" w:rsidP="00EE0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E08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Créances clients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AC44B" w14:textId="77777777" w:rsidR="00EE08AD" w:rsidRPr="00EE08AD" w:rsidRDefault="00EE08AD" w:rsidP="00EE0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E08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                  350    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5846" w14:textId="77777777" w:rsidR="00EE08AD" w:rsidRPr="00EE08AD" w:rsidRDefault="00EE08AD" w:rsidP="00EE0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E08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Dettes bancaires 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C45E8" w14:textId="77777777" w:rsidR="00EE08AD" w:rsidRPr="00EE08AD" w:rsidRDefault="00EE08AD" w:rsidP="00EE0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E08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              670    </w:t>
            </w:r>
          </w:p>
        </w:tc>
      </w:tr>
      <w:tr w:rsidR="00EE08AD" w:rsidRPr="00EE08AD" w14:paraId="148F4C71" w14:textId="77777777" w:rsidTr="00EE08AD">
        <w:trPr>
          <w:trHeight w:val="315"/>
        </w:trPr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06B7" w14:textId="77777777" w:rsidR="00EE08AD" w:rsidRPr="00EE08AD" w:rsidRDefault="00EE08AD" w:rsidP="00EE0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E08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Trésorerie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48699" w14:textId="77777777" w:rsidR="00EE08AD" w:rsidRPr="00EE08AD" w:rsidRDefault="00EE08AD" w:rsidP="00EE0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E08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                     80    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C9FFC" w14:textId="77777777" w:rsidR="00EE08AD" w:rsidRPr="00EE08AD" w:rsidRDefault="00EE08AD" w:rsidP="00EE0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E08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Fournisseurs 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3886" w14:textId="77777777" w:rsidR="00EE08AD" w:rsidRPr="00EE08AD" w:rsidRDefault="00EE08AD" w:rsidP="00EE0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E08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              250    </w:t>
            </w:r>
          </w:p>
        </w:tc>
      </w:tr>
      <w:tr w:rsidR="00EE08AD" w:rsidRPr="00EE08AD" w14:paraId="28C16F9D" w14:textId="77777777" w:rsidTr="00EE08AD">
        <w:trPr>
          <w:trHeight w:val="315"/>
        </w:trPr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443C5" w14:textId="77777777" w:rsidR="00EE08AD" w:rsidRPr="00EE08AD" w:rsidRDefault="00EE08AD" w:rsidP="00EE0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E08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8C9A9" w14:textId="77777777" w:rsidR="00EE08AD" w:rsidRPr="00EE08AD" w:rsidRDefault="00EE08AD" w:rsidP="00EE0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E08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               3 110    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D4438" w14:textId="77777777" w:rsidR="00EE08AD" w:rsidRPr="00EE08AD" w:rsidRDefault="00EE08AD" w:rsidP="00EE0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E08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TOTAL 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DA82" w14:textId="77777777" w:rsidR="00EE08AD" w:rsidRPr="00EE08AD" w:rsidRDefault="00EE08AD" w:rsidP="00EE0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EE08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           3 110    </w:t>
            </w:r>
          </w:p>
        </w:tc>
      </w:tr>
    </w:tbl>
    <w:p w14:paraId="50B4F369" w14:textId="19C3EB5D" w:rsidR="006F64CB" w:rsidRPr="00C778BC" w:rsidRDefault="006F64CB" w:rsidP="00C778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C28FE12" w14:textId="1BA79D42" w:rsidR="00C778BC" w:rsidRPr="00C778BC" w:rsidRDefault="00C778BC" w:rsidP="00C778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FBFBFC" w14:textId="1D064705" w:rsidR="00DD2321" w:rsidRDefault="00DD2321" w:rsidP="00A520E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9245839"/>
      <w:r>
        <w:rPr>
          <w:rFonts w:ascii="Times New Roman" w:hAnsi="Times New Roman" w:cs="Times New Roman"/>
          <w:sz w:val="24"/>
          <w:szCs w:val="24"/>
        </w:rPr>
        <w:t xml:space="preserve">La juste valeur des éléments d’actifs est la suivante (en </w:t>
      </w:r>
      <w:r w:rsidR="00D10F2D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€)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1134"/>
      </w:tblGrid>
      <w:tr w:rsidR="00DD2321" w:rsidRPr="00C778BC" w14:paraId="487102CC" w14:textId="77777777" w:rsidTr="00015317">
        <w:tc>
          <w:tcPr>
            <w:tcW w:w="2972" w:type="dxa"/>
          </w:tcPr>
          <w:p w14:paraId="398457FD" w14:textId="3DF814E2" w:rsidR="00DD2321" w:rsidRPr="00C778BC" w:rsidRDefault="00C1660B" w:rsidP="00D46F9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Bâtiment </w:t>
            </w:r>
          </w:p>
        </w:tc>
        <w:tc>
          <w:tcPr>
            <w:tcW w:w="1134" w:type="dxa"/>
          </w:tcPr>
          <w:p w14:paraId="25304919" w14:textId="61E00E0F" w:rsidR="00DD2321" w:rsidRPr="00C778BC" w:rsidRDefault="00382D92" w:rsidP="00D46F9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1 800</w:t>
            </w:r>
          </w:p>
        </w:tc>
      </w:tr>
      <w:tr w:rsidR="00DD2321" w:rsidRPr="00C778BC" w14:paraId="4872ECD0" w14:textId="77777777" w:rsidTr="00015317">
        <w:tc>
          <w:tcPr>
            <w:tcW w:w="2972" w:type="dxa"/>
          </w:tcPr>
          <w:p w14:paraId="5148EF9A" w14:textId="77777777" w:rsidR="00DD2321" w:rsidRPr="00C778BC" w:rsidRDefault="00DD2321" w:rsidP="00D46F94">
            <w:pPr>
              <w:spacing w:line="240" w:lineRule="auto"/>
              <w:rPr>
                <w:sz w:val="24"/>
                <w:szCs w:val="24"/>
              </w:rPr>
            </w:pPr>
            <w:r w:rsidRPr="00C778BC">
              <w:rPr>
                <w:sz w:val="24"/>
                <w:szCs w:val="24"/>
              </w:rPr>
              <w:t>Stocks</w:t>
            </w:r>
          </w:p>
        </w:tc>
        <w:tc>
          <w:tcPr>
            <w:tcW w:w="1134" w:type="dxa"/>
          </w:tcPr>
          <w:p w14:paraId="761CC307" w14:textId="67A6E0B6" w:rsidR="00DD2321" w:rsidRPr="00C778BC" w:rsidRDefault="00382D92" w:rsidP="00D46F9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</w:tr>
      <w:tr w:rsidR="00DD2321" w:rsidRPr="00C778BC" w14:paraId="3BD7CF04" w14:textId="77777777" w:rsidTr="00015317">
        <w:tc>
          <w:tcPr>
            <w:tcW w:w="2972" w:type="dxa"/>
          </w:tcPr>
          <w:p w14:paraId="7BF3B868" w14:textId="77777777" w:rsidR="00DD2321" w:rsidRPr="00C778BC" w:rsidRDefault="00DD2321" w:rsidP="00D46F9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Créances clients</w:t>
            </w:r>
          </w:p>
        </w:tc>
        <w:tc>
          <w:tcPr>
            <w:tcW w:w="1134" w:type="dxa"/>
          </w:tcPr>
          <w:p w14:paraId="4FF66D9C" w14:textId="69EEE2E5" w:rsidR="00DD2321" w:rsidRPr="00C778BC" w:rsidRDefault="00382D92" w:rsidP="00D46F9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</w:tr>
    </w:tbl>
    <w:p w14:paraId="55B0F901" w14:textId="77777777" w:rsidR="00D14327" w:rsidRDefault="00D14327" w:rsidP="00A520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EE6EC1" w14:textId="584ADC88" w:rsidR="00DD2321" w:rsidRDefault="00DD2321" w:rsidP="00A520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ailleurs, un contentieux avec un fournisseur pourrait conduire l’entreprise </w:t>
      </w:r>
      <w:proofErr w:type="spellStart"/>
      <w:r>
        <w:rPr>
          <w:rFonts w:ascii="Times New Roman" w:hAnsi="Times New Roman" w:cs="Times New Roman"/>
          <w:sz w:val="24"/>
          <w:szCs w:val="24"/>
        </w:rPr>
        <w:t>Torra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être condamner des indemnités compensatoires de 5</w:t>
      </w:r>
      <w:r w:rsidR="00674BAD">
        <w:rPr>
          <w:rFonts w:ascii="Times New Roman" w:hAnsi="Times New Roman" w:cs="Times New Roman"/>
          <w:sz w:val="24"/>
          <w:szCs w:val="24"/>
        </w:rPr>
        <w:t xml:space="preserve">0 </w:t>
      </w:r>
      <w:r w:rsidR="00D10F2D">
        <w:rPr>
          <w:rFonts w:ascii="Times New Roman" w:hAnsi="Times New Roman" w:cs="Times New Roman"/>
          <w:sz w:val="24"/>
          <w:szCs w:val="24"/>
        </w:rPr>
        <w:t>K</w:t>
      </w:r>
      <w:r w:rsidR="00674BAD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1C6279" w14:textId="77777777" w:rsidR="00170FAD" w:rsidRDefault="00170FAD" w:rsidP="00792A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EE9BCD" w14:textId="1BFE0AAC" w:rsidR="00A520EA" w:rsidRPr="00E01DCA" w:rsidRDefault="009529FD" w:rsidP="00792A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brasserie </w:t>
      </w:r>
      <w:proofErr w:type="spellStart"/>
      <w:r w:rsidR="00A520EA">
        <w:rPr>
          <w:rFonts w:ascii="Times New Roman" w:hAnsi="Times New Roman" w:cs="Times New Roman"/>
          <w:sz w:val="24"/>
          <w:szCs w:val="24"/>
        </w:rPr>
        <w:t>Torra</w:t>
      </w:r>
      <w:proofErr w:type="spellEnd"/>
      <w:r w:rsidR="00A520EA">
        <w:rPr>
          <w:rFonts w:ascii="Times New Roman" w:hAnsi="Times New Roman" w:cs="Times New Roman"/>
          <w:sz w:val="24"/>
          <w:szCs w:val="24"/>
        </w:rPr>
        <w:t xml:space="preserve"> a créée, il y a une dizaine d’année</w:t>
      </w:r>
      <w:r w:rsidR="00170FAD">
        <w:rPr>
          <w:rFonts w:ascii="Times New Roman" w:hAnsi="Times New Roman" w:cs="Times New Roman"/>
          <w:sz w:val="24"/>
          <w:szCs w:val="24"/>
        </w:rPr>
        <w:t>,</w:t>
      </w:r>
      <w:r w:rsidR="00A520EA">
        <w:rPr>
          <w:rFonts w:ascii="Times New Roman" w:hAnsi="Times New Roman" w:cs="Times New Roman"/>
          <w:sz w:val="24"/>
          <w:szCs w:val="24"/>
        </w:rPr>
        <w:t xml:space="preserve"> la marque Séréna, bière blonde très appréciée des jeunes</w:t>
      </w:r>
      <w:r w:rsidR="00A520EA" w:rsidRPr="00A520EA">
        <w:rPr>
          <w:rFonts w:ascii="Times New Roman" w:hAnsi="Times New Roman" w:cs="Times New Roman"/>
          <w:sz w:val="24"/>
          <w:szCs w:val="24"/>
        </w:rPr>
        <w:t>. Le chiffre d’affaires prévisionnel de cette marque est de 1</w:t>
      </w:r>
      <w:r w:rsidR="00382D92">
        <w:rPr>
          <w:rFonts w:ascii="Times New Roman" w:hAnsi="Times New Roman" w:cs="Times New Roman"/>
          <w:sz w:val="24"/>
          <w:szCs w:val="24"/>
        </w:rPr>
        <w:t xml:space="preserve"> M</w:t>
      </w:r>
      <w:r w:rsidR="00E01DCA">
        <w:rPr>
          <w:rFonts w:ascii="Times New Roman" w:hAnsi="Times New Roman" w:cs="Times New Roman"/>
          <w:sz w:val="24"/>
          <w:szCs w:val="24"/>
        </w:rPr>
        <w:t>d</w:t>
      </w:r>
      <w:r w:rsidR="00A520EA" w:rsidRPr="00A520EA">
        <w:rPr>
          <w:rFonts w:ascii="Times New Roman" w:hAnsi="Times New Roman" w:cs="Times New Roman"/>
          <w:sz w:val="24"/>
          <w:szCs w:val="24"/>
        </w:rPr>
        <w:t>€ en N</w:t>
      </w:r>
      <w:r w:rsidR="00A520EA">
        <w:rPr>
          <w:rFonts w:ascii="Times New Roman" w:hAnsi="Times New Roman" w:cs="Times New Roman"/>
          <w:sz w:val="24"/>
          <w:szCs w:val="24"/>
        </w:rPr>
        <w:t xml:space="preserve">. </w:t>
      </w:r>
      <w:r w:rsidR="00170FAD">
        <w:rPr>
          <w:rFonts w:ascii="Times New Roman" w:hAnsi="Times New Roman" w:cs="Times New Roman"/>
          <w:sz w:val="24"/>
          <w:szCs w:val="24"/>
        </w:rPr>
        <w:t xml:space="preserve">Il devrait </w:t>
      </w:r>
      <w:r w:rsidR="00A520EA" w:rsidRPr="00A520EA">
        <w:rPr>
          <w:rFonts w:ascii="Times New Roman" w:hAnsi="Times New Roman" w:cs="Times New Roman"/>
          <w:sz w:val="24"/>
          <w:szCs w:val="24"/>
        </w:rPr>
        <w:t>progresser de 5% par an sur les 4 années suivantes (en N+1, N+2, N+3, N+4). L’entreprise prévoit de dépenser 10% du CA généré par la marque en publicité chaque année pour faire vivre la marque. L’entreprise estime que les dépenses de marketing et de commercialisation représentent 15% du CA généré par la marque tous les ans</w:t>
      </w:r>
      <w:r w:rsidR="001F2DDB">
        <w:rPr>
          <w:rFonts w:ascii="Times New Roman" w:hAnsi="Times New Roman" w:cs="Times New Roman"/>
          <w:sz w:val="24"/>
          <w:szCs w:val="24"/>
        </w:rPr>
        <w:t>.</w:t>
      </w:r>
      <w:r w:rsidR="00A429C6">
        <w:rPr>
          <w:rFonts w:ascii="Times New Roman" w:hAnsi="Times New Roman" w:cs="Times New Roman"/>
          <w:sz w:val="24"/>
          <w:szCs w:val="24"/>
        </w:rPr>
        <w:t xml:space="preserve"> Le taux d’actualisation retenu par l’entreprise est de 9%.</w:t>
      </w:r>
    </w:p>
    <w:p w14:paraId="280E026E" w14:textId="1A6E0531" w:rsidR="00792AC0" w:rsidRDefault="001F478E" w:rsidP="001F47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Malgré sa petite taille, l’entreprise </w:t>
      </w:r>
      <w:proofErr w:type="spellStart"/>
      <w:r>
        <w:rPr>
          <w:rFonts w:ascii="Times New Roman" w:hAnsi="Times New Roman" w:cs="Times New Roman"/>
          <w:sz w:val="24"/>
          <w:szCs w:val="24"/>
        </w:rPr>
        <w:t>Torra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dispose de salariés très investis dans l’entreprise. Leurs procédures de travail sont très bien définies de sorte que la productivité est assez élevée par rapport à d’autres brasserie</w:t>
      </w:r>
      <w:r w:rsidR="00DD232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. Pour développer la marque Séréna, la brasserie </w:t>
      </w:r>
      <w:proofErr w:type="spellStart"/>
      <w:r>
        <w:rPr>
          <w:rFonts w:ascii="Times New Roman" w:hAnsi="Times New Roman" w:cs="Times New Roman"/>
          <w:sz w:val="24"/>
          <w:szCs w:val="24"/>
        </w:rPr>
        <w:t>Torra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misé sur une équipe de jeunes experts en marketing qui ont permis à la marque de se hisser à une très belle place dans le marché des bières artisanales. </w:t>
      </w:r>
      <w:r w:rsidR="00792AC0">
        <w:rPr>
          <w:rFonts w:ascii="Times New Roman" w:hAnsi="Times New Roman" w:cs="Times New Roman"/>
          <w:sz w:val="24"/>
          <w:szCs w:val="24"/>
        </w:rPr>
        <w:t xml:space="preserve">Par ailleurs, la brasserie </w:t>
      </w:r>
      <w:proofErr w:type="spellStart"/>
      <w:r w:rsidR="00792AC0">
        <w:rPr>
          <w:rFonts w:ascii="Times New Roman" w:hAnsi="Times New Roman" w:cs="Times New Roman"/>
          <w:sz w:val="24"/>
          <w:szCs w:val="24"/>
        </w:rPr>
        <w:t>Torra</w:t>
      </w:r>
      <w:proofErr w:type="spellEnd"/>
      <w:r w:rsidR="00792AC0">
        <w:rPr>
          <w:rFonts w:ascii="Times New Roman" w:hAnsi="Times New Roman" w:cs="Times New Roman"/>
          <w:sz w:val="24"/>
          <w:szCs w:val="24"/>
        </w:rPr>
        <w:t xml:space="preserve"> dispose d’un brasseur-malteur de tout premier niveau qui dispose d’un certain talent pour imaginer de nouvelles saveurs et de nouvelles recettes. </w:t>
      </w:r>
    </w:p>
    <w:bookmarkEnd w:id="0"/>
    <w:p w14:paraId="73979DA2" w14:textId="4504A50E" w:rsidR="00A520EA" w:rsidRDefault="00A520EA" w:rsidP="00340566">
      <w:pPr>
        <w:rPr>
          <w:rFonts w:ascii="Times New Roman" w:hAnsi="Times New Roman" w:cs="Times New Roman"/>
          <w:sz w:val="24"/>
          <w:szCs w:val="24"/>
        </w:rPr>
      </w:pPr>
    </w:p>
    <w:p w14:paraId="707DDC93" w14:textId="5AA0DF19" w:rsidR="00DD2321" w:rsidRPr="00DD2321" w:rsidRDefault="00A520EA" w:rsidP="00DD232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520E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Question : </w:t>
      </w:r>
    </w:p>
    <w:p w14:paraId="3263B925" w14:textId="2B517EE5" w:rsidR="00792AC0" w:rsidRPr="00792AC0" w:rsidRDefault="00DD2321" w:rsidP="00792AC0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bookmarkStart w:id="1" w:name="_Hlk39245864"/>
      <w:r>
        <w:rPr>
          <w:rFonts w:ascii="Times New Roman" w:hAnsi="Times New Roman" w:cs="Times New Roman"/>
          <w:sz w:val="24"/>
          <w:szCs w:val="24"/>
        </w:rPr>
        <w:t xml:space="preserve">Rappeler la raison pour laquelle </w:t>
      </w:r>
      <w:r w:rsidR="00A520EA" w:rsidRPr="00A520EA">
        <w:rPr>
          <w:rFonts w:ascii="Times New Roman" w:hAnsi="Times New Roman" w:cs="Times New Roman"/>
          <w:sz w:val="24"/>
          <w:szCs w:val="24"/>
        </w:rPr>
        <w:t xml:space="preserve">la marque Séréna ne figure pas dans les états financiers de la brasserie </w:t>
      </w:r>
      <w:proofErr w:type="spellStart"/>
      <w:r w:rsidR="00A520EA" w:rsidRPr="00A520EA">
        <w:rPr>
          <w:rFonts w:ascii="Times New Roman" w:hAnsi="Times New Roman" w:cs="Times New Roman"/>
          <w:sz w:val="24"/>
          <w:szCs w:val="24"/>
        </w:rPr>
        <w:t>Torra</w:t>
      </w:r>
      <w:proofErr w:type="spellEnd"/>
      <w:r w:rsidR="00A520EA" w:rsidRPr="00A520EA">
        <w:rPr>
          <w:rFonts w:ascii="Times New Roman" w:hAnsi="Times New Roman" w:cs="Times New Roman"/>
          <w:sz w:val="24"/>
          <w:szCs w:val="24"/>
        </w:rPr>
        <w:t> ?</w:t>
      </w:r>
      <w:r w:rsidR="00792A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D7AD2A" w14:textId="689BAFDA" w:rsidR="00DD2321" w:rsidRDefault="00CD7AC6" w:rsidP="00DD2321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retenant la méthode des cash flows actualisés, calculer la valeur de la marque Séréna.</w:t>
      </w:r>
    </w:p>
    <w:p w14:paraId="37B61C02" w14:textId="01E2ED75" w:rsidR="00DD2321" w:rsidRDefault="00DD2321" w:rsidP="00DD2321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Calculer l’écart d’évaluation. </w:t>
      </w:r>
    </w:p>
    <w:p w14:paraId="1AFD5F49" w14:textId="1422625F" w:rsidR="00DD2321" w:rsidRPr="00DD2321" w:rsidRDefault="00DD2321" w:rsidP="00DD2321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Calculer l’écart d’acquisition que Pietra paye sur l’acquisition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Torra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19CC0D" w14:textId="5E3221FF" w:rsidR="00792AC0" w:rsidRDefault="00792AC0" w:rsidP="00A520EA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Quels sont les éléments qui vont être distingués du goodwill et quels sont ceux qui vont être incorporés dans le goodwill ? </w:t>
      </w:r>
    </w:p>
    <w:p w14:paraId="444F2EBE" w14:textId="2A31B176" w:rsidR="00C206FA" w:rsidRPr="00A520EA" w:rsidRDefault="00C206FA" w:rsidP="00A520EA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Quel est le montant du goodwill ?</w:t>
      </w:r>
    </w:p>
    <w:bookmarkEnd w:id="1"/>
    <w:p w14:paraId="16EC192D" w14:textId="60B5D38C" w:rsidR="003C2EAE" w:rsidRPr="008A382E" w:rsidRDefault="003C2EAE" w:rsidP="0034056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382E">
        <w:rPr>
          <w:rFonts w:ascii="Times New Roman" w:hAnsi="Times New Roman" w:cs="Times New Roman"/>
          <w:b/>
          <w:bCs/>
          <w:sz w:val="24"/>
          <w:szCs w:val="24"/>
        </w:rPr>
        <w:t xml:space="preserve">Exercice </w:t>
      </w:r>
      <w:r w:rsidR="00043E50" w:rsidRPr="008A382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A382E">
        <w:rPr>
          <w:rFonts w:ascii="Times New Roman" w:hAnsi="Times New Roman" w:cs="Times New Roman"/>
          <w:b/>
          <w:bCs/>
          <w:sz w:val="24"/>
          <w:szCs w:val="24"/>
        </w:rPr>
        <w:t xml:space="preserve"> : </w:t>
      </w:r>
      <w:r w:rsidR="00D80B28" w:rsidRPr="008A382E">
        <w:rPr>
          <w:rFonts w:ascii="Times New Roman" w:hAnsi="Times New Roman" w:cs="Times New Roman"/>
          <w:b/>
          <w:bCs/>
          <w:sz w:val="24"/>
          <w:szCs w:val="24"/>
        </w:rPr>
        <w:t>Dépréciation du goodwill</w:t>
      </w:r>
    </w:p>
    <w:p w14:paraId="34CE2CF9" w14:textId="7FE37ACD" w:rsidR="00D80B28" w:rsidRDefault="00E1386D" w:rsidP="00E138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L’entreprise Martin a été décomposée en deux UGT (UGT A et UGT B). L’ensemble des actifs corporels et incorporels de Martin ont pu être affectés aux UGT A et B sur une basse raisonnable. Il n’existe aucun indice de perte de valeur pour les actifs corporels affectés aux UGT. A chaque UGT a été affectée une fraction du goodwill inscrit à l’actif du bilan de Martin</w:t>
      </w:r>
      <w:r w:rsidR="005A4010">
        <w:rPr>
          <w:rFonts w:ascii="Times New Roman" w:hAnsi="Times New Roman" w:cs="Times New Roman"/>
          <w:sz w:val="24"/>
          <w:szCs w:val="24"/>
        </w:rPr>
        <w:t>.</w:t>
      </w:r>
    </w:p>
    <w:p w14:paraId="54EB1012" w14:textId="4E8E634F" w:rsidR="005A4010" w:rsidRPr="00C778BC" w:rsidRDefault="005A4010" w:rsidP="00E138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 31/12/N, un test de dépréciation est effectué sur les deux UGT à partir des éléments suivants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A4010" w14:paraId="1E44BD7E" w14:textId="77777777" w:rsidTr="005A4010">
        <w:tc>
          <w:tcPr>
            <w:tcW w:w="2265" w:type="dxa"/>
          </w:tcPr>
          <w:p w14:paraId="5D75072B" w14:textId="7328BD55" w:rsidR="005A4010" w:rsidRDefault="005A4010" w:rsidP="00340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Actifs affectés à l’UGT </w:t>
            </w:r>
            <w:proofErr w:type="gramStart"/>
            <w:r>
              <w:rPr>
                <w:sz w:val="24"/>
                <w:szCs w:val="24"/>
              </w:rPr>
              <w:t>A</w:t>
            </w:r>
            <w:r w:rsidR="00D35C00">
              <w:rPr>
                <w:sz w:val="24"/>
                <w:szCs w:val="24"/>
              </w:rPr>
              <w:t>(</w:t>
            </w:r>
            <w:proofErr w:type="gramEnd"/>
            <w:r w:rsidR="00D35C00">
              <w:rPr>
                <w:sz w:val="24"/>
                <w:szCs w:val="24"/>
              </w:rPr>
              <w:t>€)</w:t>
            </w:r>
          </w:p>
        </w:tc>
        <w:tc>
          <w:tcPr>
            <w:tcW w:w="2265" w:type="dxa"/>
          </w:tcPr>
          <w:p w14:paraId="6DA0F4A7" w14:textId="354DBC21" w:rsidR="005A4010" w:rsidRDefault="005A4010" w:rsidP="00340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Valeur nette comptable</w:t>
            </w:r>
          </w:p>
        </w:tc>
        <w:tc>
          <w:tcPr>
            <w:tcW w:w="2266" w:type="dxa"/>
          </w:tcPr>
          <w:p w14:paraId="52D6AA6B" w14:textId="27FF2D8A" w:rsidR="005A4010" w:rsidRDefault="005A4010" w:rsidP="00340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Valeur d’utilité</w:t>
            </w:r>
          </w:p>
        </w:tc>
        <w:tc>
          <w:tcPr>
            <w:tcW w:w="2266" w:type="dxa"/>
          </w:tcPr>
          <w:p w14:paraId="1054BF8A" w14:textId="048CBEFD" w:rsidR="005A4010" w:rsidRDefault="005A4010" w:rsidP="00340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Juste valeur diminuée des coûts de vente</w:t>
            </w:r>
          </w:p>
        </w:tc>
      </w:tr>
      <w:tr w:rsidR="005A4010" w14:paraId="437DB551" w14:textId="77777777" w:rsidTr="005A4010">
        <w:tc>
          <w:tcPr>
            <w:tcW w:w="2265" w:type="dxa"/>
          </w:tcPr>
          <w:p w14:paraId="4E2652A1" w14:textId="23CD6675" w:rsidR="005A4010" w:rsidRDefault="005A4010" w:rsidP="00340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Immeuble</w:t>
            </w:r>
          </w:p>
        </w:tc>
        <w:tc>
          <w:tcPr>
            <w:tcW w:w="2265" w:type="dxa"/>
          </w:tcPr>
          <w:p w14:paraId="2F3CCBBF" w14:textId="31621F39" w:rsidR="005A4010" w:rsidRDefault="005A4010" w:rsidP="00786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800 000</w:t>
            </w:r>
          </w:p>
        </w:tc>
        <w:tc>
          <w:tcPr>
            <w:tcW w:w="2266" w:type="dxa"/>
          </w:tcPr>
          <w:p w14:paraId="4A612F62" w14:textId="3EEF2315" w:rsidR="005A4010" w:rsidRDefault="005A4010" w:rsidP="00340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 déterminable</w:t>
            </w:r>
          </w:p>
        </w:tc>
        <w:tc>
          <w:tcPr>
            <w:tcW w:w="2266" w:type="dxa"/>
          </w:tcPr>
          <w:p w14:paraId="0D63AA02" w14:textId="33905CCB" w:rsidR="005A4010" w:rsidRDefault="005A4010" w:rsidP="00340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800 000</w:t>
            </w:r>
          </w:p>
        </w:tc>
      </w:tr>
      <w:tr w:rsidR="005A4010" w14:paraId="4209FB3D" w14:textId="77777777" w:rsidTr="005A4010">
        <w:tc>
          <w:tcPr>
            <w:tcW w:w="2265" w:type="dxa"/>
          </w:tcPr>
          <w:p w14:paraId="48A1ACCE" w14:textId="38C7C839" w:rsidR="005A4010" w:rsidRDefault="005A4010" w:rsidP="00340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Matériel industriel</w:t>
            </w:r>
          </w:p>
        </w:tc>
        <w:tc>
          <w:tcPr>
            <w:tcW w:w="2265" w:type="dxa"/>
          </w:tcPr>
          <w:p w14:paraId="7D6F4681" w14:textId="1D38A28B" w:rsidR="005A4010" w:rsidRDefault="005A4010" w:rsidP="00786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1 000 000</w:t>
            </w:r>
          </w:p>
        </w:tc>
        <w:tc>
          <w:tcPr>
            <w:tcW w:w="2266" w:type="dxa"/>
          </w:tcPr>
          <w:p w14:paraId="30F0C3BE" w14:textId="08F47EE4" w:rsidR="005A4010" w:rsidRDefault="005A4010" w:rsidP="00340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 déterminable</w:t>
            </w:r>
          </w:p>
        </w:tc>
        <w:tc>
          <w:tcPr>
            <w:tcW w:w="2266" w:type="dxa"/>
          </w:tcPr>
          <w:p w14:paraId="1F9213B0" w14:textId="416E6996" w:rsidR="005A4010" w:rsidRDefault="005A4010" w:rsidP="00340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 déterminable</w:t>
            </w:r>
          </w:p>
        </w:tc>
      </w:tr>
      <w:tr w:rsidR="005A4010" w14:paraId="0EEF8143" w14:textId="77777777" w:rsidTr="005A4010">
        <w:tc>
          <w:tcPr>
            <w:tcW w:w="2265" w:type="dxa"/>
          </w:tcPr>
          <w:p w14:paraId="13F824C3" w14:textId="6786F915" w:rsidR="005A4010" w:rsidRDefault="005A4010" w:rsidP="00340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Goodwill</w:t>
            </w:r>
          </w:p>
        </w:tc>
        <w:tc>
          <w:tcPr>
            <w:tcW w:w="2265" w:type="dxa"/>
          </w:tcPr>
          <w:p w14:paraId="31A6F8E6" w14:textId="10176E3F" w:rsidR="005A4010" w:rsidRDefault="005A4010" w:rsidP="00786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700 000</w:t>
            </w:r>
          </w:p>
        </w:tc>
        <w:tc>
          <w:tcPr>
            <w:tcW w:w="2266" w:type="dxa"/>
          </w:tcPr>
          <w:p w14:paraId="6DA761E6" w14:textId="036B16AB" w:rsidR="005A4010" w:rsidRDefault="005A4010" w:rsidP="00340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 déterminable</w:t>
            </w:r>
          </w:p>
        </w:tc>
        <w:tc>
          <w:tcPr>
            <w:tcW w:w="2266" w:type="dxa"/>
          </w:tcPr>
          <w:p w14:paraId="4963A64C" w14:textId="0255CDF6" w:rsidR="005A4010" w:rsidRDefault="005A4010" w:rsidP="00340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 déterminable</w:t>
            </w:r>
          </w:p>
        </w:tc>
      </w:tr>
      <w:tr w:rsidR="005A4010" w14:paraId="205EF732" w14:textId="77777777" w:rsidTr="005A4010">
        <w:tc>
          <w:tcPr>
            <w:tcW w:w="2265" w:type="dxa"/>
          </w:tcPr>
          <w:p w14:paraId="153E9E0A" w14:textId="6DB57A92" w:rsidR="005A4010" w:rsidRDefault="005A4010" w:rsidP="00340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2265" w:type="dxa"/>
          </w:tcPr>
          <w:p w14:paraId="1E41B00A" w14:textId="13D4AA55" w:rsidR="005A4010" w:rsidRDefault="005A4010" w:rsidP="00786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2 500 000</w:t>
            </w:r>
          </w:p>
        </w:tc>
        <w:tc>
          <w:tcPr>
            <w:tcW w:w="2266" w:type="dxa"/>
          </w:tcPr>
          <w:p w14:paraId="590B3145" w14:textId="015FEE4C" w:rsidR="005A4010" w:rsidRDefault="005A4010" w:rsidP="00340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déterminer</w:t>
            </w:r>
          </w:p>
        </w:tc>
        <w:tc>
          <w:tcPr>
            <w:tcW w:w="2266" w:type="dxa"/>
          </w:tcPr>
          <w:p w14:paraId="1D6E0267" w14:textId="2C275A71" w:rsidR="005A4010" w:rsidRDefault="005A4010" w:rsidP="00340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 déterminable</w:t>
            </w:r>
          </w:p>
        </w:tc>
      </w:tr>
    </w:tbl>
    <w:p w14:paraId="6C4CF8C6" w14:textId="2EB12A28" w:rsidR="003C2EAE" w:rsidRDefault="003C2EAE" w:rsidP="0034056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8627D" w14:paraId="3D650F63" w14:textId="77777777" w:rsidTr="000D0C22">
        <w:tc>
          <w:tcPr>
            <w:tcW w:w="2265" w:type="dxa"/>
          </w:tcPr>
          <w:p w14:paraId="2328CA53" w14:textId="03F2B987" w:rsidR="0078627D" w:rsidRDefault="0078627D" w:rsidP="000D0C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Actifs affectés à l’UGT </w:t>
            </w:r>
            <w:proofErr w:type="gramStart"/>
            <w:r>
              <w:rPr>
                <w:sz w:val="24"/>
                <w:szCs w:val="24"/>
              </w:rPr>
              <w:t>B(</w:t>
            </w:r>
            <w:proofErr w:type="gramEnd"/>
            <w:r>
              <w:rPr>
                <w:sz w:val="24"/>
                <w:szCs w:val="24"/>
              </w:rPr>
              <w:t>€)</w:t>
            </w:r>
          </w:p>
        </w:tc>
        <w:tc>
          <w:tcPr>
            <w:tcW w:w="2265" w:type="dxa"/>
          </w:tcPr>
          <w:p w14:paraId="6EE693CE" w14:textId="77777777" w:rsidR="0078627D" w:rsidRDefault="0078627D" w:rsidP="000D0C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Valeur nette comptable</w:t>
            </w:r>
          </w:p>
        </w:tc>
        <w:tc>
          <w:tcPr>
            <w:tcW w:w="2266" w:type="dxa"/>
          </w:tcPr>
          <w:p w14:paraId="1EC142AB" w14:textId="77777777" w:rsidR="0078627D" w:rsidRDefault="0078627D" w:rsidP="000D0C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Valeur d’utilité</w:t>
            </w:r>
          </w:p>
        </w:tc>
        <w:tc>
          <w:tcPr>
            <w:tcW w:w="2266" w:type="dxa"/>
          </w:tcPr>
          <w:p w14:paraId="77276545" w14:textId="77777777" w:rsidR="0078627D" w:rsidRDefault="0078627D" w:rsidP="000D0C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Juste valeur diminuée des coûts de vente</w:t>
            </w:r>
          </w:p>
        </w:tc>
      </w:tr>
      <w:tr w:rsidR="0078627D" w14:paraId="7511CBBB" w14:textId="77777777" w:rsidTr="000D0C22">
        <w:tc>
          <w:tcPr>
            <w:tcW w:w="2265" w:type="dxa"/>
          </w:tcPr>
          <w:p w14:paraId="690C249A" w14:textId="6123107E" w:rsidR="0078627D" w:rsidRDefault="0078627D" w:rsidP="000D0C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Matériel n°1</w:t>
            </w:r>
          </w:p>
        </w:tc>
        <w:tc>
          <w:tcPr>
            <w:tcW w:w="2265" w:type="dxa"/>
          </w:tcPr>
          <w:p w14:paraId="11E50768" w14:textId="4793205B" w:rsidR="0078627D" w:rsidRDefault="0078627D" w:rsidP="00786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600 000</w:t>
            </w:r>
          </w:p>
        </w:tc>
        <w:tc>
          <w:tcPr>
            <w:tcW w:w="2266" w:type="dxa"/>
          </w:tcPr>
          <w:p w14:paraId="1A59E3FF" w14:textId="77777777" w:rsidR="0078627D" w:rsidRDefault="0078627D" w:rsidP="00116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 déterminable</w:t>
            </w:r>
          </w:p>
        </w:tc>
        <w:tc>
          <w:tcPr>
            <w:tcW w:w="2266" w:type="dxa"/>
          </w:tcPr>
          <w:p w14:paraId="058C5E7E" w14:textId="58D23351" w:rsidR="0078627D" w:rsidRDefault="0078627D" w:rsidP="000D0C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 déterminable</w:t>
            </w:r>
          </w:p>
        </w:tc>
      </w:tr>
      <w:tr w:rsidR="0078627D" w14:paraId="08436F15" w14:textId="77777777" w:rsidTr="000D0C22">
        <w:tc>
          <w:tcPr>
            <w:tcW w:w="2265" w:type="dxa"/>
          </w:tcPr>
          <w:p w14:paraId="46C1BB78" w14:textId="7EB963FC" w:rsidR="0078627D" w:rsidRDefault="0078627D" w:rsidP="000D0C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Matériel n°2</w:t>
            </w:r>
          </w:p>
        </w:tc>
        <w:tc>
          <w:tcPr>
            <w:tcW w:w="2265" w:type="dxa"/>
          </w:tcPr>
          <w:p w14:paraId="1141D239" w14:textId="269435F0" w:rsidR="0078627D" w:rsidRDefault="0078627D" w:rsidP="00786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900 000</w:t>
            </w:r>
          </w:p>
        </w:tc>
        <w:tc>
          <w:tcPr>
            <w:tcW w:w="2266" w:type="dxa"/>
          </w:tcPr>
          <w:p w14:paraId="252A9034" w14:textId="77777777" w:rsidR="0078627D" w:rsidRDefault="0078627D" w:rsidP="00116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 déterminable</w:t>
            </w:r>
          </w:p>
        </w:tc>
        <w:tc>
          <w:tcPr>
            <w:tcW w:w="2266" w:type="dxa"/>
          </w:tcPr>
          <w:p w14:paraId="6CEAD6E8" w14:textId="77777777" w:rsidR="0078627D" w:rsidRDefault="0078627D" w:rsidP="000D0C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 déterminable</w:t>
            </w:r>
          </w:p>
        </w:tc>
      </w:tr>
      <w:tr w:rsidR="0078627D" w14:paraId="0481210A" w14:textId="77777777" w:rsidTr="000D0C22">
        <w:tc>
          <w:tcPr>
            <w:tcW w:w="2265" w:type="dxa"/>
          </w:tcPr>
          <w:p w14:paraId="1E092237" w14:textId="77777777" w:rsidR="0078627D" w:rsidRDefault="0078627D" w:rsidP="000D0C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Goodwill</w:t>
            </w:r>
          </w:p>
        </w:tc>
        <w:tc>
          <w:tcPr>
            <w:tcW w:w="2265" w:type="dxa"/>
          </w:tcPr>
          <w:p w14:paraId="5F726A8D" w14:textId="79D5D927" w:rsidR="0078627D" w:rsidRDefault="0078627D" w:rsidP="00786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200 000</w:t>
            </w:r>
          </w:p>
        </w:tc>
        <w:tc>
          <w:tcPr>
            <w:tcW w:w="2266" w:type="dxa"/>
          </w:tcPr>
          <w:p w14:paraId="436E8381" w14:textId="77777777" w:rsidR="0078627D" w:rsidRDefault="0078627D" w:rsidP="00116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 déterminable</w:t>
            </w:r>
          </w:p>
        </w:tc>
        <w:tc>
          <w:tcPr>
            <w:tcW w:w="2266" w:type="dxa"/>
          </w:tcPr>
          <w:p w14:paraId="01B7D55E" w14:textId="77777777" w:rsidR="0078627D" w:rsidRDefault="0078627D" w:rsidP="000D0C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 déterminable</w:t>
            </w:r>
          </w:p>
        </w:tc>
      </w:tr>
      <w:tr w:rsidR="0078627D" w14:paraId="449CB39F" w14:textId="77777777" w:rsidTr="000D0C22">
        <w:tc>
          <w:tcPr>
            <w:tcW w:w="2265" w:type="dxa"/>
          </w:tcPr>
          <w:p w14:paraId="68DD1E5A" w14:textId="77777777" w:rsidR="0078627D" w:rsidRDefault="0078627D" w:rsidP="000D0C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2265" w:type="dxa"/>
          </w:tcPr>
          <w:p w14:paraId="05E2497E" w14:textId="32CCF6EE" w:rsidR="0078627D" w:rsidRDefault="0078627D" w:rsidP="00786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1 700 000</w:t>
            </w:r>
          </w:p>
        </w:tc>
        <w:tc>
          <w:tcPr>
            <w:tcW w:w="2266" w:type="dxa"/>
          </w:tcPr>
          <w:p w14:paraId="552A130E" w14:textId="64D3F613" w:rsidR="0078627D" w:rsidRDefault="0078627D" w:rsidP="00116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1 300 000</w:t>
            </w:r>
          </w:p>
        </w:tc>
        <w:tc>
          <w:tcPr>
            <w:tcW w:w="2266" w:type="dxa"/>
          </w:tcPr>
          <w:p w14:paraId="4A29E756" w14:textId="77777777" w:rsidR="0078627D" w:rsidRDefault="0078627D" w:rsidP="000D0C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 déterminable</w:t>
            </w:r>
          </w:p>
        </w:tc>
      </w:tr>
    </w:tbl>
    <w:p w14:paraId="5DAAFF52" w14:textId="77777777" w:rsidR="0078627D" w:rsidRPr="00C778BC" w:rsidRDefault="0078627D" w:rsidP="00340566">
      <w:pPr>
        <w:rPr>
          <w:rFonts w:ascii="Times New Roman" w:hAnsi="Times New Roman" w:cs="Times New Roman"/>
          <w:sz w:val="24"/>
          <w:szCs w:val="24"/>
        </w:rPr>
      </w:pPr>
    </w:p>
    <w:p w14:paraId="2E628EFC" w14:textId="3AF0F191" w:rsidR="003C2EAE" w:rsidRDefault="003E6D54" w:rsidP="00340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prévisions de cash-flow de l’UGT A seront établies à partir des informations suivantes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1276"/>
        <w:gridCol w:w="1559"/>
        <w:gridCol w:w="1276"/>
        <w:gridCol w:w="1276"/>
        <w:gridCol w:w="1270"/>
      </w:tblGrid>
      <w:tr w:rsidR="00411570" w:rsidRPr="00411570" w14:paraId="50E3CB1E" w14:textId="77777777" w:rsidTr="002523B9">
        <w:tc>
          <w:tcPr>
            <w:tcW w:w="2405" w:type="dxa"/>
          </w:tcPr>
          <w:p w14:paraId="5CEEBF0B" w14:textId="5F2DE221" w:rsidR="00411570" w:rsidRPr="00411570" w:rsidRDefault="00411570" w:rsidP="00340566">
            <w:pPr>
              <w:rPr>
                <w:sz w:val="24"/>
                <w:szCs w:val="24"/>
                <w:lang w:val="en-US"/>
              </w:rPr>
            </w:pPr>
            <w:r w:rsidRPr="00411570">
              <w:rPr>
                <w:sz w:val="24"/>
                <w:szCs w:val="24"/>
                <w:lang w:val="en-US"/>
              </w:rPr>
              <w:t xml:space="preserve">Cash-flow de </w:t>
            </w:r>
            <w:proofErr w:type="spellStart"/>
            <w:r w:rsidRPr="00411570">
              <w:rPr>
                <w:sz w:val="24"/>
                <w:szCs w:val="24"/>
                <w:lang w:val="en-US"/>
              </w:rPr>
              <w:t>l’UGT</w:t>
            </w:r>
            <w:proofErr w:type="spellEnd"/>
            <w:r w:rsidRPr="00411570">
              <w:rPr>
                <w:sz w:val="24"/>
                <w:szCs w:val="24"/>
                <w:lang w:val="en-US"/>
              </w:rPr>
              <w:t xml:space="preserve"> A</w:t>
            </w:r>
            <w:r w:rsidR="00D35C00">
              <w:rPr>
                <w:sz w:val="24"/>
                <w:szCs w:val="24"/>
                <w:lang w:val="en-US"/>
              </w:rPr>
              <w:t xml:space="preserve"> (€)</w:t>
            </w:r>
          </w:p>
        </w:tc>
        <w:tc>
          <w:tcPr>
            <w:tcW w:w="1276" w:type="dxa"/>
          </w:tcPr>
          <w:p w14:paraId="4E23F485" w14:textId="0CB5B704" w:rsidR="00411570" w:rsidRPr="00411570" w:rsidRDefault="00411570" w:rsidP="0034056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N+1</w:t>
            </w:r>
          </w:p>
        </w:tc>
        <w:tc>
          <w:tcPr>
            <w:tcW w:w="1559" w:type="dxa"/>
          </w:tcPr>
          <w:p w14:paraId="54685EE4" w14:textId="7E4D5B04" w:rsidR="00411570" w:rsidRPr="00411570" w:rsidRDefault="00411570" w:rsidP="0034056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N+2</w:t>
            </w:r>
          </w:p>
        </w:tc>
        <w:tc>
          <w:tcPr>
            <w:tcW w:w="1276" w:type="dxa"/>
          </w:tcPr>
          <w:p w14:paraId="430D4318" w14:textId="44D702F4" w:rsidR="00411570" w:rsidRPr="00411570" w:rsidRDefault="00411570" w:rsidP="0034056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N+3</w:t>
            </w:r>
          </w:p>
        </w:tc>
        <w:tc>
          <w:tcPr>
            <w:tcW w:w="1276" w:type="dxa"/>
          </w:tcPr>
          <w:p w14:paraId="6ED3C9A1" w14:textId="0FE2EF0D" w:rsidR="00411570" w:rsidRPr="00411570" w:rsidRDefault="00411570" w:rsidP="0034056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N+4</w:t>
            </w:r>
          </w:p>
        </w:tc>
        <w:tc>
          <w:tcPr>
            <w:tcW w:w="1270" w:type="dxa"/>
          </w:tcPr>
          <w:p w14:paraId="4DEB247E" w14:textId="41A640ED" w:rsidR="00411570" w:rsidRPr="00411570" w:rsidRDefault="00411570" w:rsidP="0034056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N+5</w:t>
            </w:r>
          </w:p>
        </w:tc>
      </w:tr>
      <w:tr w:rsidR="00411570" w:rsidRPr="00411570" w14:paraId="258520E7" w14:textId="77777777" w:rsidTr="002523B9">
        <w:tc>
          <w:tcPr>
            <w:tcW w:w="2405" w:type="dxa"/>
          </w:tcPr>
          <w:p w14:paraId="4DF41377" w14:textId="25E5EBCB" w:rsidR="00411570" w:rsidRPr="00411570" w:rsidRDefault="00411570" w:rsidP="0034056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 </w:t>
            </w:r>
            <w:proofErr w:type="spellStart"/>
            <w:r>
              <w:rPr>
                <w:sz w:val="24"/>
                <w:szCs w:val="24"/>
                <w:lang w:val="en-US"/>
              </w:rPr>
              <w:t>prévisionnel</w:t>
            </w:r>
            <w:proofErr w:type="spellEnd"/>
          </w:p>
        </w:tc>
        <w:tc>
          <w:tcPr>
            <w:tcW w:w="1276" w:type="dxa"/>
          </w:tcPr>
          <w:p w14:paraId="279BA6B5" w14:textId="669CB6FA" w:rsidR="00411570" w:rsidRPr="00411570" w:rsidRDefault="00411570" w:rsidP="0034056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1 110 000</w:t>
            </w:r>
          </w:p>
        </w:tc>
        <w:tc>
          <w:tcPr>
            <w:tcW w:w="1559" w:type="dxa"/>
          </w:tcPr>
          <w:p w14:paraId="19572581" w14:textId="45DAA419" w:rsidR="00411570" w:rsidRPr="00411570" w:rsidRDefault="00411570" w:rsidP="0034056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1 300 000</w:t>
            </w:r>
          </w:p>
        </w:tc>
        <w:tc>
          <w:tcPr>
            <w:tcW w:w="1276" w:type="dxa"/>
          </w:tcPr>
          <w:p w14:paraId="3F467EBC" w14:textId="738D080B" w:rsidR="00411570" w:rsidRPr="00411570" w:rsidRDefault="00411570" w:rsidP="0034056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1 500 000</w:t>
            </w:r>
          </w:p>
        </w:tc>
        <w:tc>
          <w:tcPr>
            <w:tcW w:w="1276" w:type="dxa"/>
          </w:tcPr>
          <w:p w14:paraId="0E78C6F8" w14:textId="53776775" w:rsidR="00411570" w:rsidRPr="00411570" w:rsidRDefault="00411570" w:rsidP="0034056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1 600 000</w:t>
            </w:r>
          </w:p>
        </w:tc>
        <w:tc>
          <w:tcPr>
            <w:tcW w:w="1270" w:type="dxa"/>
          </w:tcPr>
          <w:p w14:paraId="4A75D54F" w14:textId="65EAB72A" w:rsidR="00411570" w:rsidRPr="00411570" w:rsidRDefault="00411570" w:rsidP="0034056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1 700 000</w:t>
            </w:r>
          </w:p>
        </w:tc>
      </w:tr>
      <w:tr w:rsidR="00411570" w:rsidRPr="00411570" w14:paraId="06136735" w14:textId="77777777" w:rsidTr="002523B9">
        <w:tc>
          <w:tcPr>
            <w:tcW w:w="2405" w:type="dxa"/>
          </w:tcPr>
          <w:p w14:paraId="7F4BF24A" w14:textId="1023CD18" w:rsidR="00411570" w:rsidRPr="00411570" w:rsidRDefault="00411570" w:rsidP="00340566">
            <w:pPr>
              <w:rPr>
                <w:sz w:val="24"/>
                <w:szCs w:val="24"/>
              </w:rPr>
            </w:pPr>
            <w:proofErr w:type="spellStart"/>
            <w:r w:rsidRPr="00411570">
              <w:rPr>
                <w:sz w:val="24"/>
                <w:szCs w:val="24"/>
              </w:rPr>
              <w:lastRenderedPageBreak/>
              <w:t>Tx</w:t>
            </w:r>
            <w:proofErr w:type="spellEnd"/>
            <w:r w:rsidRPr="00411570">
              <w:rPr>
                <w:sz w:val="24"/>
                <w:szCs w:val="24"/>
              </w:rPr>
              <w:t xml:space="preserve"> de marge sur c</w:t>
            </w:r>
            <w:r>
              <w:rPr>
                <w:sz w:val="24"/>
                <w:szCs w:val="24"/>
              </w:rPr>
              <w:t>oût variable</w:t>
            </w:r>
          </w:p>
        </w:tc>
        <w:tc>
          <w:tcPr>
            <w:tcW w:w="1276" w:type="dxa"/>
          </w:tcPr>
          <w:p w14:paraId="1F9AFFD0" w14:textId="0727C415" w:rsidR="00411570" w:rsidRPr="00411570" w:rsidRDefault="00411570" w:rsidP="00340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60%</w:t>
            </w:r>
          </w:p>
        </w:tc>
        <w:tc>
          <w:tcPr>
            <w:tcW w:w="1559" w:type="dxa"/>
          </w:tcPr>
          <w:p w14:paraId="18549D04" w14:textId="4A2ADF9D" w:rsidR="00411570" w:rsidRPr="00411570" w:rsidRDefault="00411570" w:rsidP="00340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62%</w:t>
            </w:r>
          </w:p>
        </w:tc>
        <w:tc>
          <w:tcPr>
            <w:tcW w:w="1276" w:type="dxa"/>
          </w:tcPr>
          <w:p w14:paraId="01185CC0" w14:textId="4411A2A8" w:rsidR="00411570" w:rsidRPr="00411570" w:rsidRDefault="00411570" w:rsidP="00340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64%</w:t>
            </w:r>
          </w:p>
        </w:tc>
        <w:tc>
          <w:tcPr>
            <w:tcW w:w="1276" w:type="dxa"/>
          </w:tcPr>
          <w:p w14:paraId="1EAAF15E" w14:textId="13124BD7" w:rsidR="00411570" w:rsidRPr="00411570" w:rsidRDefault="00411570" w:rsidP="00340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65%</w:t>
            </w:r>
          </w:p>
        </w:tc>
        <w:tc>
          <w:tcPr>
            <w:tcW w:w="1270" w:type="dxa"/>
          </w:tcPr>
          <w:p w14:paraId="1EFA5ECB" w14:textId="687E8184" w:rsidR="00411570" w:rsidRPr="00411570" w:rsidRDefault="00411570" w:rsidP="00340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66%</w:t>
            </w:r>
          </w:p>
        </w:tc>
      </w:tr>
      <w:tr w:rsidR="00411570" w:rsidRPr="00411570" w14:paraId="034C6EE4" w14:textId="77777777" w:rsidTr="002523B9">
        <w:tc>
          <w:tcPr>
            <w:tcW w:w="2405" w:type="dxa"/>
          </w:tcPr>
          <w:p w14:paraId="316B02BB" w14:textId="2271E76A" w:rsidR="00411570" w:rsidRPr="00411570" w:rsidRDefault="00411570" w:rsidP="00340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Charges fixes</w:t>
            </w:r>
          </w:p>
        </w:tc>
        <w:tc>
          <w:tcPr>
            <w:tcW w:w="1276" w:type="dxa"/>
          </w:tcPr>
          <w:p w14:paraId="7154910A" w14:textId="0243CF0B" w:rsidR="00411570" w:rsidRPr="00411570" w:rsidRDefault="00411570" w:rsidP="00340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320 000</w:t>
            </w:r>
          </w:p>
        </w:tc>
        <w:tc>
          <w:tcPr>
            <w:tcW w:w="1559" w:type="dxa"/>
          </w:tcPr>
          <w:p w14:paraId="544D31AB" w14:textId="272D100F" w:rsidR="00411570" w:rsidRPr="00411570" w:rsidRDefault="00411570" w:rsidP="00340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320 000</w:t>
            </w:r>
          </w:p>
        </w:tc>
        <w:tc>
          <w:tcPr>
            <w:tcW w:w="1276" w:type="dxa"/>
          </w:tcPr>
          <w:p w14:paraId="3077471C" w14:textId="2B868D69" w:rsidR="00411570" w:rsidRPr="00411570" w:rsidRDefault="00411570" w:rsidP="00340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320 000</w:t>
            </w:r>
          </w:p>
        </w:tc>
        <w:tc>
          <w:tcPr>
            <w:tcW w:w="1276" w:type="dxa"/>
          </w:tcPr>
          <w:p w14:paraId="6AEFDCC7" w14:textId="3B9B56A7" w:rsidR="00411570" w:rsidRPr="00411570" w:rsidRDefault="00411570" w:rsidP="00340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318 000</w:t>
            </w:r>
          </w:p>
        </w:tc>
        <w:tc>
          <w:tcPr>
            <w:tcW w:w="1270" w:type="dxa"/>
          </w:tcPr>
          <w:p w14:paraId="0EF5B5CF" w14:textId="3E3D1EE1" w:rsidR="00411570" w:rsidRPr="00411570" w:rsidRDefault="00411570" w:rsidP="00340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310 000</w:t>
            </w:r>
          </w:p>
        </w:tc>
      </w:tr>
    </w:tbl>
    <w:p w14:paraId="0A558F2A" w14:textId="34D4BD10" w:rsidR="003E6D54" w:rsidRDefault="003E6D54" w:rsidP="00340566">
      <w:pPr>
        <w:rPr>
          <w:rFonts w:ascii="Times New Roman" w:hAnsi="Times New Roman" w:cs="Times New Roman"/>
          <w:sz w:val="24"/>
          <w:szCs w:val="24"/>
        </w:rPr>
      </w:pPr>
    </w:p>
    <w:p w14:paraId="6065E62D" w14:textId="2A042ABA" w:rsidR="00D35C00" w:rsidRDefault="00D35C00" w:rsidP="00340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taux d’actualisation est de 15%. La valeur terminale de l’UGT A est égale 200 000€</w:t>
      </w:r>
      <w:r w:rsidR="00A940D4">
        <w:rPr>
          <w:rFonts w:ascii="Times New Roman" w:hAnsi="Times New Roman" w:cs="Times New Roman"/>
          <w:sz w:val="24"/>
          <w:szCs w:val="24"/>
        </w:rPr>
        <w:t>.</w:t>
      </w:r>
    </w:p>
    <w:p w14:paraId="7CE7F363" w14:textId="3F4D37F0" w:rsidR="00A940D4" w:rsidRDefault="005C6973" w:rsidP="00340566">
      <w:pPr>
        <w:rPr>
          <w:rFonts w:ascii="Times New Roman" w:hAnsi="Times New Roman" w:cs="Times New Roman"/>
          <w:sz w:val="24"/>
          <w:szCs w:val="24"/>
        </w:rPr>
      </w:pPr>
      <w:r w:rsidRPr="00216029">
        <w:rPr>
          <w:rFonts w:ascii="Times New Roman" w:hAnsi="Times New Roman" w:cs="Times New Roman"/>
          <w:b/>
          <w:bCs/>
          <w:sz w:val="24"/>
          <w:szCs w:val="24"/>
        </w:rPr>
        <w:t>Question n°1</w:t>
      </w:r>
      <w:r>
        <w:rPr>
          <w:rFonts w:ascii="Times New Roman" w:hAnsi="Times New Roman" w:cs="Times New Roman"/>
          <w:sz w:val="24"/>
          <w:szCs w:val="24"/>
        </w:rPr>
        <w:t> : Déterminer la valeur d’utilité de l’UGT A.</w:t>
      </w:r>
    </w:p>
    <w:p w14:paraId="1067C74F" w14:textId="62B953BF" w:rsidR="005C6973" w:rsidRDefault="005C6973" w:rsidP="00340566">
      <w:pPr>
        <w:rPr>
          <w:rFonts w:ascii="Times New Roman" w:hAnsi="Times New Roman" w:cs="Times New Roman"/>
          <w:sz w:val="24"/>
          <w:szCs w:val="24"/>
        </w:rPr>
      </w:pPr>
      <w:r w:rsidRPr="00216029">
        <w:rPr>
          <w:rFonts w:ascii="Times New Roman" w:hAnsi="Times New Roman" w:cs="Times New Roman"/>
          <w:b/>
          <w:bCs/>
          <w:sz w:val="24"/>
          <w:szCs w:val="24"/>
        </w:rPr>
        <w:t>Question n°2</w:t>
      </w:r>
      <w:r>
        <w:rPr>
          <w:rFonts w:ascii="Times New Roman" w:hAnsi="Times New Roman" w:cs="Times New Roman"/>
          <w:sz w:val="24"/>
          <w:szCs w:val="24"/>
        </w:rPr>
        <w:t> : Déterminer les dépréciations éventuelles</w:t>
      </w:r>
      <w:r w:rsidR="00203E3B">
        <w:rPr>
          <w:rFonts w:ascii="Times New Roman" w:hAnsi="Times New Roman" w:cs="Times New Roman"/>
          <w:sz w:val="24"/>
          <w:szCs w:val="24"/>
        </w:rPr>
        <w:t xml:space="preserve"> des UGT A et B</w:t>
      </w:r>
    </w:p>
    <w:p w14:paraId="11D9DA43" w14:textId="58B76B18" w:rsidR="005C6973" w:rsidRPr="00411570" w:rsidRDefault="00203E3B" w:rsidP="00340566">
      <w:pPr>
        <w:rPr>
          <w:rFonts w:ascii="Times New Roman" w:hAnsi="Times New Roman" w:cs="Times New Roman"/>
          <w:sz w:val="24"/>
          <w:szCs w:val="24"/>
        </w:rPr>
      </w:pPr>
      <w:r w:rsidRPr="00216029">
        <w:rPr>
          <w:rFonts w:ascii="Times New Roman" w:hAnsi="Times New Roman" w:cs="Times New Roman"/>
          <w:b/>
          <w:bCs/>
          <w:sz w:val="24"/>
          <w:szCs w:val="24"/>
        </w:rPr>
        <w:t>Question n°3</w:t>
      </w:r>
      <w:r>
        <w:rPr>
          <w:rFonts w:ascii="Times New Roman" w:hAnsi="Times New Roman" w:cs="Times New Roman"/>
          <w:sz w:val="24"/>
          <w:szCs w:val="24"/>
        </w:rPr>
        <w:t xml:space="preserve"> : Affecter les dépréciations </w:t>
      </w:r>
      <w:r w:rsidR="00E93B10">
        <w:rPr>
          <w:rFonts w:ascii="Times New Roman" w:hAnsi="Times New Roman" w:cs="Times New Roman"/>
          <w:sz w:val="24"/>
          <w:szCs w:val="24"/>
        </w:rPr>
        <w:t>sur les différents éléments des UGT A et B.</w:t>
      </w:r>
    </w:p>
    <w:sectPr w:rsidR="005C6973" w:rsidRPr="0041157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09F5C" w14:textId="77777777" w:rsidR="008A73AB" w:rsidRDefault="008A73AB" w:rsidP="007F6A3C">
      <w:pPr>
        <w:spacing w:after="0" w:line="240" w:lineRule="auto"/>
      </w:pPr>
      <w:r>
        <w:separator/>
      </w:r>
    </w:p>
  </w:endnote>
  <w:endnote w:type="continuationSeparator" w:id="0">
    <w:p w14:paraId="76557E2F" w14:textId="77777777" w:rsidR="008A73AB" w:rsidRDefault="008A73AB" w:rsidP="007F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8061648"/>
      <w:docPartObj>
        <w:docPartGallery w:val="Page Numbers (Bottom of Page)"/>
        <w:docPartUnique/>
      </w:docPartObj>
    </w:sdtPr>
    <w:sdtEndPr/>
    <w:sdtContent>
      <w:p w14:paraId="357A9272" w14:textId="4EE74AC0" w:rsidR="007F6A3C" w:rsidRDefault="007F6A3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41CCF3" w14:textId="77777777" w:rsidR="007F6A3C" w:rsidRDefault="007F6A3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A9973" w14:textId="77777777" w:rsidR="008A73AB" w:rsidRDefault="008A73AB" w:rsidP="007F6A3C">
      <w:pPr>
        <w:spacing w:after="0" w:line="240" w:lineRule="auto"/>
      </w:pPr>
      <w:r>
        <w:separator/>
      </w:r>
    </w:p>
  </w:footnote>
  <w:footnote w:type="continuationSeparator" w:id="0">
    <w:p w14:paraId="31537F26" w14:textId="77777777" w:rsidR="008A73AB" w:rsidRDefault="008A73AB" w:rsidP="007F6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4EEC"/>
    <w:multiLevelType w:val="hybridMultilevel"/>
    <w:tmpl w:val="FCFE39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B15C5"/>
    <w:multiLevelType w:val="hybridMultilevel"/>
    <w:tmpl w:val="C2EEB414"/>
    <w:lvl w:ilvl="0" w:tplc="A40AA37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193490"/>
    <w:multiLevelType w:val="hybridMultilevel"/>
    <w:tmpl w:val="2F460A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20BF9"/>
    <w:multiLevelType w:val="hybridMultilevel"/>
    <w:tmpl w:val="AE8E21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95DCE"/>
    <w:multiLevelType w:val="hybridMultilevel"/>
    <w:tmpl w:val="071C403A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1440B3F"/>
    <w:multiLevelType w:val="hybridMultilevel"/>
    <w:tmpl w:val="6E72A7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F0331"/>
    <w:multiLevelType w:val="hybridMultilevel"/>
    <w:tmpl w:val="336283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A69009F"/>
    <w:multiLevelType w:val="hybridMultilevel"/>
    <w:tmpl w:val="60202704"/>
    <w:lvl w:ilvl="0" w:tplc="B838B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8941896">
    <w:abstractNumId w:val="2"/>
  </w:num>
  <w:num w:numId="2" w16cid:durableId="190729580">
    <w:abstractNumId w:val="4"/>
  </w:num>
  <w:num w:numId="3" w16cid:durableId="595479176">
    <w:abstractNumId w:val="6"/>
  </w:num>
  <w:num w:numId="4" w16cid:durableId="1774085870">
    <w:abstractNumId w:val="1"/>
  </w:num>
  <w:num w:numId="5" w16cid:durableId="763457908">
    <w:abstractNumId w:val="0"/>
  </w:num>
  <w:num w:numId="6" w16cid:durableId="1105467307">
    <w:abstractNumId w:val="5"/>
  </w:num>
  <w:num w:numId="7" w16cid:durableId="1163424148">
    <w:abstractNumId w:val="3"/>
  </w:num>
  <w:num w:numId="8" w16cid:durableId="10696908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8E4"/>
    <w:rsid w:val="00014721"/>
    <w:rsid w:val="00015317"/>
    <w:rsid w:val="000435C3"/>
    <w:rsid w:val="00043E50"/>
    <w:rsid w:val="000448B1"/>
    <w:rsid w:val="00055BBB"/>
    <w:rsid w:val="00067F23"/>
    <w:rsid w:val="00072C6C"/>
    <w:rsid w:val="000E6CF1"/>
    <w:rsid w:val="00116CF5"/>
    <w:rsid w:val="00134914"/>
    <w:rsid w:val="00144DF4"/>
    <w:rsid w:val="00164AAE"/>
    <w:rsid w:val="00170FAD"/>
    <w:rsid w:val="0019071B"/>
    <w:rsid w:val="001918D5"/>
    <w:rsid w:val="001B1C95"/>
    <w:rsid w:val="001F2DDB"/>
    <w:rsid w:val="001F478E"/>
    <w:rsid w:val="00203E3B"/>
    <w:rsid w:val="00216029"/>
    <w:rsid w:val="002523B9"/>
    <w:rsid w:val="00262456"/>
    <w:rsid w:val="002D6C81"/>
    <w:rsid w:val="00332392"/>
    <w:rsid w:val="00340566"/>
    <w:rsid w:val="00366BD3"/>
    <w:rsid w:val="00382D92"/>
    <w:rsid w:val="003C2EAE"/>
    <w:rsid w:val="003E0C55"/>
    <w:rsid w:val="003E6D54"/>
    <w:rsid w:val="00411570"/>
    <w:rsid w:val="0046592F"/>
    <w:rsid w:val="00484FAF"/>
    <w:rsid w:val="00490B92"/>
    <w:rsid w:val="005208E4"/>
    <w:rsid w:val="00535DD0"/>
    <w:rsid w:val="005A060A"/>
    <w:rsid w:val="005A4010"/>
    <w:rsid w:val="005C6973"/>
    <w:rsid w:val="005F1332"/>
    <w:rsid w:val="00674BAD"/>
    <w:rsid w:val="006F64CB"/>
    <w:rsid w:val="00705CE0"/>
    <w:rsid w:val="00734A33"/>
    <w:rsid w:val="00762BF2"/>
    <w:rsid w:val="0078627D"/>
    <w:rsid w:val="00792AC0"/>
    <w:rsid w:val="007F6A3C"/>
    <w:rsid w:val="008230F1"/>
    <w:rsid w:val="00831BF1"/>
    <w:rsid w:val="00847D8C"/>
    <w:rsid w:val="008A382E"/>
    <w:rsid w:val="008A73AB"/>
    <w:rsid w:val="008E1020"/>
    <w:rsid w:val="008E3706"/>
    <w:rsid w:val="008F60D7"/>
    <w:rsid w:val="009008A2"/>
    <w:rsid w:val="00901529"/>
    <w:rsid w:val="00915BC9"/>
    <w:rsid w:val="00937066"/>
    <w:rsid w:val="00942526"/>
    <w:rsid w:val="009529FD"/>
    <w:rsid w:val="009558E3"/>
    <w:rsid w:val="009671E7"/>
    <w:rsid w:val="00990365"/>
    <w:rsid w:val="00A17D26"/>
    <w:rsid w:val="00A27FAE"/>
    <w:rsid w:val="00A429C6"/>
    <w:rsid w:val="00A520EA"/>
    <w:rsid w:val="00A611E7"/>
    <w:rsid w:val="00A940D4"/>
    <w:rsid w:val="00A9578F"/>
    <w:rsid w:val="00AA0140"/>
    <w:rsid w:val="00AC7296"/>
    <w:rsid w:val="00B75E6F"/>
    <w:rsid w:val="00BD34DA"/>
    <w:rsid w:val="00C1660B"/>
    <w:rsid w:val="00C206FA"/>
    <w:rsid w:val="00C5294C"/>
    <w:rsid w:val="00C778BC"/>
    <w:rsid w:val="00CD4450"/>
    <w:rsid w:val="00CD7AC6"/>
    <w:rsid w:val="00CF5222"/>
    <w:rsid w:val="00D10F2D"/>
    <w:rsid w:val="00D14327"/>
    <w:rsid w:val="00D20D4F"/>
    <w:rsid w:val="00D251D5"/>
    <w:rsid w:val="00D35C00"/>
    <w:rsid w:val="00D764DB"/>
    <w:rsid w:val="00D80B28"/>
    <w:rsid w:val="00D92C08"/>
    <w:rsid w:val="00DC2CFE"/>
    <w:rsid w:val="00DC3A3F"/>
    <w:rsid w:val="00DD2321"/>
    <w:rsid w:val="00E01DCA"/>
    <w:rsid w:val="00E1386D"/>
    <w:rsid w:val="00E42D8C"/>
    <w:rsid w:val="00E43541"/>
    <w:rsid w:val="00E45A36"/>
    <w:rsid w:val="00E86856"/>
    <w:rsid w:val="00E93B10"/>
    <w:rsid w:val="00EB1D93"/>
    <w:rsid w:val="00EB3AC1"/>
    <w:rsid w:val="00EE08AD"/>
    <w:rsid w:val="00EE309A"/>
    <w:rsid w:val="00EF1375"/>
    <w:rsid w:val="00F50A3B"/>
    <w:rsid w:val="00F5192E"/>
    <w:rsid w:val="00F807E9"/>
    <w:rsid w:val="00FE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C8487"/>
  <w15:chartTrackingRefBased/>
  <w15:docId w15:val="{142F433C-7637-4AD2-9E64-11C358644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8E4"/>
    <w:pPr>
      <w:spacing w:line="276" w:lineRule="auto"/>
    </w:pPr>
    <w:rPr>
      <w:sz w:val="22"/>
      <w:szCs w:val="22"/>
      <w:lang w:val="fr-FR"/>
    </w:rPr>
  </w:style>
  <w:style w:type="paragraph" w:styleId="Titre1">
    <w:name w:val="heading 1"/>
    <w:basedOn w:val="Normal"/>
    <w:next w:val="Normal"/>
    <w:link w:val="Titre1Car"/>
    <w:qFormat/>
    <w:rsid w:val="005208E4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1BF1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5208E4"/>
    <w:rPr>
      <w:rFonts w:asciiTheme="majorHAnsi" w:eastAsiaTheme="majorEastAsia" w:hAnsiTheme="majorHAnsi" w:cstheme="majorBidi"/>
      <w:b/>
      <w:bCs/>
      <w:kern w:val="32"/>
      <w:sz w:val="32"/>
      <w:szCs w:val="32"/>
      <w:lang w:val="fr-FR" w:eastAsia="fr-FR"/>
    </w:rPr>
  </w:style>
  <w:style w:type="table" w:styleId="Grilledutableau">
    <w:name w:val="Table Grid"/>
    <w:basedOn w:val="TableauNormal"/>
    <w:uiPriority w:val="59"/>
    <w:rsid w:val="005208E4"/>
    <w:pPr>
      <w:spacing w:after="0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F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6A3C"/>
    <w:rPr>
      <w:sz w:val="22"/>
      <w:szCs w:val="22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F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6A3C"/>
    <w:rPr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7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4</Pages>
  <Words>847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Albertini</dc:creator>
  <cp:keywords/>
  <dc:description/>
  <cp:lastModifiedBy>Elisabeth ALBERTINI Albertini</cp:lastModifiedBy>
  <cp:revision>93</cp:revision>
  <dcterms:created xsi:type="dcterms:W3CDTF">2020-04-24T21:29:00Z</dcterms:created>
  <dcterms:modified xsi:type="dcterms:W3CDTF">2025-07-29T14:20:00Z</dcterms:modified>
</cp:coreProperties>
</file>