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1874" w14:textId="0B71EFEF" w:rsidR="00E60304" w:rsidRPr="009E3B41" w:rsidRDefault="00E60304" w:rsidP="00E60304">
      <w:pPr>
        <w:pStyle w:val="NormalWeb"/>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9E3B41">
        <w:rPr>
          <w:rFonts w:ascii="Arial" w:hAnsi="Arial" w:cs="Arial"/>
          <w:sz w:val="28"/>
          <w:szCs w:val="28"/>
        </w:rPr>
        <w:t>Cas la Fromagère de l’Est</w:t>
      </w:r>
      <w:r w:rsidR="009E3B41" w:rsidRPr="009E3B41">
        <w:rPr>
          <w:rFonts w:ascii="Arial" w:hAnsi="Arial" w:cs="Arial"/>
          <w:sz w:val="28"/>
          <w:szCs w:val="28"/>
        </w:rPr>
        <w:t xml:space="preserve"> - Corrigé</w:t>
      </w:r>
    </w:p>
    <w:p w14:paraId="7DAA15EA" w14:textId="721B747E" w:rsidR="009E3B41" w:rsidRPr="009E3B41" w:rsidRDefault="009E3B41" w:rsidP="009E3B41">
      <w:pPr>
        <w:pStyle w:val="Titre3"/>
        <w:rPr>
          <w:rFonts w:ascii="Arial" w:hAnsi="Arial" w:cs="Arial"/>
        </w:rPr>
      </w:pPr>
      <w:r w:rsidRPr="009E3B41">
        <w:rPr>
          <w:rStyle w:val="lev"/>
          <w:rFonts w:ascii="Arial" w:hAnsi="Arial" w:cs="Arial"/>
          <w:b w:val="0"/>
          <w:bCs w:val="0"/>
        </w:rPr>
        <w:t>1. Analyse de l'activité (</w:t>
      </w:r>
      <w:r>
        <w:rPr>
          <w:rStyle w:val="lev"/>
          <w:rFonts w:ascii="Arial" w:hAnsi="Arial" w:cs="Arial"/>
          <w:b w:val="0"/>
          <w:bCs w:val="0"/>
        </w:rPr>
        <w:t>1</w:t>
      </w:r>
      <w:r w:rsidRPr="009E3B41">
        <w:rPr>
          <w:rStyle w:val="lev"/>
          <w:rFonts w:ascii="Arial" w:hAnsi="Arial" w:cs="Arial"/>
          <w:b w:val="0"/>
          <w:bCs w:val="0"/>
        </w:rPr>
        <w:t xml:space="preserve"> point)</w:t>
      </w:r>
    </w:p>
    <w:p w14:paraId="0117B895" w14:textId="0E6A0CD0" w:rsidR="009E3B41" w:rsidRPr="009E3B41" w:rsidRDefault="009E3B41" w:rsidP="009E3B41">
      <w:pPr>
        <w:pStyle w:val="NormalWeb"/>
        <w:rPr>
          <w:rFonts w:ascii="Arial" w:hAnsi="Arial" w:cs="Arial"/>
        </w:rPr>
      </w:pPr>
      <w:r w:rsidRPr="009E3B41">
        <w:rPr>
          <w:rStyle w:val="lev"/>
          <w:rFonts w:ascii="Arial" w:eastAsiaTheme="majorEastAsia" w:hAnsi="Arial" w:cs="Arial"/>
        </w:rPr>
        <w:t>a. Évolution du chiffre d'affaires :</w:t>
      </w:r>
      <w:r w:rsidRPr="009E3B41">
        <w:rPr>
          <w:rFonts w:ascii="Arial" w:hAnsi="Arial" w:cs="Arial"/>
        </w:rPr>
        <w:br/>
      </w:r>
      <w:r w:rsidR="009747A8">
        <w:rPr>
          <w:rFonts w:ascii="Arial" w:hAnsi="Arial" w:cs="Arial"/>
        </w:rPr>
        <w:t>Une c</w:t>
      </w:r>
      <w:r w:rsidRPr="009E3B41">
        <w:rPr>
          <w:rFonts w:ascii="Arial" w:hAnsi="Arial" w:cs="Arial"/>
        </w:rPr>
        <w:t>roissance modérée du CA</w:t>
      </w:r>
      <w:r w:rsidR="000A41EB">
        <w:rPr>
          <w:rFonts w:ascii="Arial" w:hAnsi="Arial" w:cs="Arial"/>
        </w:rPr>
        <w:t xml:space="preserve"> (+5%)</w:t>
      </w:r>
      <w:r w:rsidRPr="009E3B41">
        <w:rPr>
          <w:rFonts w:ascii="Arial" w:hAnsi="Arial" w:cs="Arial"/>
        </w:rPr>
        <w:t xml:space="preserve"> dans un contexte difficile.</w:t>
      </w:r>
    </w:p>
    <w:p w14:paraId="0610E84D" w14:textId="47753916" w:rsidR="009E3B41" w:rsidRPr="009E3B41" w:rsidRDefault="009E3B41" w:rsidP="009E3B41">
      <w:pPr>
        <w:pStyle w:val="NormalWeb"/>
        <w:rPr>
          <w:rFonts w:ascii="Arial" w:hAnsi="Arial" w:cs="Arial"/>
        </w:rPr>
      </w:pPr>
      <w:r w:rsidRPr="009E3B41">
        <w:rPr>
          <w:rStyle w:val="lev"/>
          <w:rFonts w:ascii="Arial" w:eastAsiaTheme="majorEastAsia" w:hAnsi="Arial" w:cs="Arial"/>
        </w:rPr>
        <w:t xml:space="preserve">b. </w:t>
      </w:r>
      <w:r w:rsidR="00946C7B">
        <w:rPr>
          <w:rStyle w:val="lev"/>
          <w:rFonts w:ascii="Arial" w:eastAsiaTheme="majorEastAsia" w:hAnsi="Arial" w:cs="Arial"/>
        </w:rPr>
        <w:t>Analyse</w:t>
      </w:r>
      <w:r w:rsidRPr="009E3B41">
        <w:rPr>
          <w:rStyle w:val="lev"/>
          <w:rFonts w:ascii="Arial" w:eastAsiaTheme="majorEastAsia" w:hAnsi="Arial" w:cs="Arial"/>
        </w:rPr>
        <w:t xml:space="preserve"> :</w:t>
      </w:r>
    </w:p>
    <w:p w14:paraId="61B69364" w14:textId="77777777" w:rsidR="009E3B41" w:rsidRPr="009E3B41" w:rsidRDefault="009E3B41" w:rsidP="009E3B41">
      <w:pPr>
        <w:pStyle w:val="NormalWeb"/>
        <w:numPr>
          <w:ilvl w:val="0"/>
          <w:numId w:val="1"/>
        </w:numPr>
        <w:rPr>
          <w:rFonts w:ascii="Arial" w:hAnsi="Arial" w:cs="Arial"/>
        </w:rPr>
      </w:pPr>
      <w:r w:rsidRPr="009E3B41">
        <w:rPr>
          <w:rFonts w:ascii="Arial" w:hAnsi="Arial" w:cs="Arial"/>
        </w:rPr>
        <w:t>Hausse générale des coûts alimentaires impactant les volumes.</w:t>
      </w:r>
    </w:p>
    <w:p w14:paraId="34414556" w14:textId="15227B5D" w:rsidR="009E3B41" w:rsidRPr="009E3B41" w:rsidRDefault="009E3B41" w:rsidP="009E3B41">
      <w:pPr>
        <w:pStyle w:val="NormalWeb"/>
        <w:numPr>
          <w:ilvl w:val="0"/>
          <w:numId w:val="1"/>
        </w:numPr>
        <w:rPr>
          <w:rFonts w:ascii="Arial" w:hAnsi="Arial" w:cs="Arial"/>
        </w:rPr>
      </w:pPr>
      <w:r w:rsidRPr="009E3B41">
        <w:rPr>
          <w:rFonts w:ascii="Arial" w:hAnsi="Arial" w:cs="Arial"/>
        </w:rPr>
        <w:t xml:space="preserve">Pression sur les marges </w:t>
      </w:r>
      <w:r w:rsidR="005E3B17">
        <w:rPr>
          <w:rFonts w:ascii="Arial" w:hAnsi="Arial" w:cs="Arial"/>
        </w:rPr>
        <w:t>de la</w:t>
      </w:r>
      <w:r w:rsidRPr="009E3B41">
        <w:rPr>
          <w:rFonts w:ascii="Arial" w:hAnsi="Arial" w:cs="Arial"/>
        </w:rPr>
        <w:t xml:space="preserve"> grande distribution.</w:t>
      </w:r>
    </w:p>
    <w:p w14:paraId="470DBE32" w14:textId="77777777" w:rsidR="009E3B41" w:rsidRPr="009E3B41" w:rsidRDefault="00140621" w:rsidP="009E3B41">
      <w:pPr>
        <w:rPr>
          <w:rFonts w:ascii="Arial" w:hAnsi="Arial" w:cs="Arial"/>
        </w:rPr>
      </w:pPr>
      <w:r>
        <w:rPr>
          <w:rFonts w:ascii="Arial" w:hAnsi="Arial" w:cs="Arial"/>
          <w:noProof/>
        </w:rPr>
        <w:pict w14:anchorId="7EA49988">
          <v:rect id="_x0000_i1030" alt="" style="width:453.6pt;height:.05pt;mso-width-percent:0;mso-height-percent:0;mso-width-percent:0;mso-height-percent:0" o:hralign="center" o:hrstd="t" o:hr="t" fillcolor="#a0a0a0" stroked="f"/>
        </w:pict>
      </w:r>
    </w:p>
    <w:p w14:paraId="754668B7" w14:textId="3AD07B3A" w:rsidR="009E3B41" w:rsidRPr="009E3B41" w:rsidRDefault="009E3B41" w:rsidP="009E3B41">
      <w:pPr>
        <w:pStyle w:val="Titre3"/>
        <w:rPr>
          <w:rFonts w:ascii="Arial" w:hAnsi="Arial" w:cs="Arial"/>
        </w:rPr>
      </w:pPr>
      <w:r w:rsidRPr="009E3B41">
        <w:rPr>
          <w:rStyle w:val="lev"/>
          <w:rFonts w:ascii="Arial" w:hAnsi="Arial" w:cs="Arial"/>
          <w:b w:val="0"/>
          <w:bCs w:val="0"/>
        </w:rPr>
        <w:t xml:space="preserve">2. Analyse </w:t>
      </w:r>
      <w:r>
        <w:rPr>
          <w:rStyle w:val="lev"/>
          <w:rFonts w:ascii="Arial" w:hAnsi="Arial" w:cs="Arial"/>
          <w:b w:val="0"/>
          <w:bCs w:val="0"/>
        </w:rPr>
        <w:t>des marges</w:t>
      </w:r>
      <w:r w:rsidRPr="009E3B41">
        <w:rPr>
          <w:rStyle w:val="lev"/>
          <w:rFonts w:ascii="Arial" w:hAnsi="Arial" w:cs="Arial"/>
          <w:b w:val="0"/>
          <w:bCs w:val="0"/>
        </w:rPr>
        <w:t xml:space="preserve"> (</w:t>
      </w:r>
      <w:r w:rsidR="00F90EE1">
        <w:rPr>
          <w:rStyle w:val="lev"/>
          <w:rFonts w:ascii="Arial" w:hAnsi="Arial" w:cs="Arial"/>
          <w:b w:val="0"/>
          <w:bCs w:val="0"/>
        </w:rPr>
        <w:t>2</w:t>
      </w:r>
      <w:r w:rsidRPr="009E3B41">
        <w:rPr>
          <w:rStyle w:val="lev"/>
          <w:rFonts w:ascii="Arial" w:hAnsi="Arial" w:cs="Arial"/>
          <w:b w:val="0"/>
          <w:bCs w:val="0"/>
        </w:rPr>
        <w:t xml:space="preserve"> points)</w:t>
      </w:r>
    </w:p>
    <w:p w14:paraId="292C2B8B" w14:textId="73287857" w:rsidR="009E3B41" w:rsidRPr="009E3B41" w:rsidRDefault="009E3B41" w:rsidP="009E3B41">
      <w:pPr>
        <w:pStyle w:val="NormalWeb"/>
        <w:rPr>
          <w:rFonts w:ascii="Arial" w:hAnsi="Arial" w:cs="Arial"/>
        </w:rPr>
      </w:pPr>
      <w:r w:rsidRPr="009E3B41">
        <w:rPr>
          <w:rStyle w:val="lev"/>
          <w:rFonts w:ascii="Arial" w:eastAsiaTheme="majorEastAsia" w:hAnsi="Arial" w:cs="Arial"/>
        </w:rPr>
        <w:t>a. Marges :</w:t>
      </w:r>
      <w:r>
        <w:rPr>
          <w:rStyle w:val="lev"/>
          <w:rFonts w:ascii="Arial" w:eastAsiaTheme="majorEastAsia" w:hAnsi="Arial" w:cs="Arial"/>
        </w:rPr>
        <w:t xml:space="preserve"> </w:t>
      </w:r>
      <w:r w:rsidRPr="009E3B41">
        <w:rPr>
          <w:rStyle w:val="lev"/>
          <w:rFonts w:ascii="Arial" w:eastAsiaTheme="majorEastAsia" w:hAnsi="Arial" w:cs="Arial"/>
          <w:b w:val="0"/>
          <w:bCs w:val="0"/>
        </w:rPr>
        <w:t>(cf. fichier Excel)</w:t>
      </w:r>
    </w:p>
    <w:p w14:paraId="072A055E" w14:textId="108CDCDB" w:rsidR="009E3B41" w:rsidRDefault="009E3B41" w:rsidP="009E3B41">
      <w:pPr>
        <w:pStyle w:val="NormalWeb"/>
        <w:rPr>
          <w:rFonts w:ascii="Arial" w:hAnsi="Arial" w:cs="Arial"/>
        </w:rPr>
      </w:pPr>
      <w:r w:rsidRPr="009E3B41">
        <w:rPr>
          <w:rStyle w:val="lev"/>
          <w:rFonts w:ascii="Arial" w:eastAsiaTheme="majorEastAsia" w:hAnsi="Arial" w:cs="Arial"/>
        </w:rPr>
        <w:t>b. Analyse :</w:t>
      </w:r>
      <w:r w:rsidRPr="009E3B41">
        <w:rPr>
          <w:rFonts w:ascii="Arial" w:hAnsi="Arial" w:cs="Arial"/>
        </w:rPr>
        <w:t xml:space="preserve"> Détérioration rapide </w:t>
      </w:r>
      <w:r>
        <w:rPr>
          <w:rFonts w:ascii="Arial" w:hAnsi="Arial" w:cs="Arial"/>
        </w:rPr>
        <w:t>des marges du fait de l</w:t>
      </w:r>
      <w:r w:rsidRPr="009E3B41">
        <w:rPr>
          <w:rFonts w:ascii="Arial" w:hAnsi="Arial" w:cs="Arial"/>
        </w:rPr>
        <w:t xml:space="preserve">’augmentation du coût du lait </w:t>
      </w:r>
      <w:r w:rsidR="000F4E61">
        <w:rPr>
          <w:rFonts w:ascii="Arial" w:hAnsi="Arial" w:cs="Arial"/>
        </w:rPr>
        <w:t xml:space="preserve">qui </w:t>
      </w:r>
      <w:r w:rsidRPr="009E3B41">
        <w:rPr>
          <w:rFonts w:ascii="Arial" w:hAnsi="Arial" w:cs="Arial"/>
        </w:rPr>
        <w:t>n’a pas été compensée par la croissance du CA</w:t>
      </w:r>
      <w:r>
        <w:rPr>
          <w:rFonts w:ascii="Arial" w:hAnsi="Arial" w:cs="Arial"/>
        </w:rPr>
        <w:t xml:space="preserve"> (impossibilité de répercuter complétement </w:t>
      </w:r>
      <w:r w:rsidR="000F4E61">
        <w:rPr>
          <w:rFonts w:ascii="Arial" w:hAnsi="Arial" w:cs="Arial"/>
        </w:rPr>
        <w:t xml:space="preserve">l’augmentation </w:t>
      </w:r>
      <w:r>
        <w:rPr>
          <w:rFonts w:ascii="Arial" w:hAnsi="Arial" w:cs="Arial"/>
        </w:rPr>
        <w:t>en raison des pressions de la grande distribution tandis que les autres charges d’exploitation sont maîtrisées et stables)</w:t>
      </w:r>
      <w:r w:rsidRPr="009E3B41">
        <w:rPr>
          <w:rFonts w:ascii="Arial" w:hAnsi="Arial" w:cs="Arial"/>
        </w:rPr>
        <w:t>.</w:t>
      </w:r>
      <w:r>
        <w:rPr>
          <w:rFonts w:ascii="Arial" w:hAnsi="Arial" w:cs="Arial"/>
        </w:rPr>
        <w:t xml:space="preserve"> </w:t>
      </w:r>
      <w:r w:rsidR="009747A8">
        <w:rPr>
          <w:rFonts w:ascii="Arial" w:hAnsi="Arial" w:cs="Arial"/>
        </w:rPr>
        <w:t>Le poids des charges financières augmente rapidement, mais reste acceptable.</w:t>
      </w:r>
    </w:p>
    <w:p w14:paraId="0BC4AC26" w14:textId="77777777" w:rsidR="009747A8" w:rsidRPr="009E3B41" w:rsidRDefault="00140621" w:rsidP="009747A8">
      <w:pPr>
        <w:rPr>
          <w:rFonts w:ascii="Arial" w:hAnsi="Arial" w:cs="Arial"/>
        </w:rPr>
      </w:pPr>
      <w:r>
        <w:rPr>
          <w:rFonts w:ascii="Arial" w:hAnsi="Arial" w:cs="Arial"/>
          <w:noProof/>
        </w:rPr>
        <w:pict w14:anchorId="130CEAE0">
          <v:rect id="_x0000_i1029" alt="" style="width:453.6pt;height:.05pt;mso-width-percent:0;mso-height-percent:0;mso-width-percent:0;mso-height-percent:0" o:hralign="center" o:hrstd="t" o:hr="t" fillcolor="#a0a0a0" stroked="f"/>
        </w:pict>
      </w:r>
    </w:p>
    <w:p w14:paraId="27E66D63" w14:textId="4533EE4E" w:rsidR="009747A8" w:rsidRPr="009E3B41" w:rsidRDefault="009747A8" w:rsidP="009747A8">
      <w:pPr>
        <w:pStyle w:val="Titre3"/>
        <w:rPr>
          <w:rFonts w:ascii="Arial" w:hAnsi="Arial" w:cs="Arial"/>
        </w:rPr>
      </w:pPr>
      <w:r w:rsidRPr="009E3B41">
        <w:rPr>
          <w:rStyle w:val="lev"/>
          <w:rFonts w:ascii="Arial" w:hAnsi="Arial" w:cs="Arial"/>
          <w:b w:val="0"/>
          <w:bCs w:val="0"/>
        </w:rPr>
        <w:t xml:space="preserve">2. Analyse </w:t>
      </w:r>
      <w:r w:rsidR="00AF0184">
        <w:rPr>
          <w:rStyle w:val="lev"/>
          <w:rFonts w:ascii="Arial" w:hAnsi="Arial" w:cs="Arial"/>
          <w:b w:val="0"/>
          <w:bCs w:val="0"/>
        </w:rPr>
        <w:t>de la rentabilité</w:t>
      </w:r>
      <w:r w:rsidRPr="009E3B41">
        <w:rPr>
          <w:rStyle w:val="lev"/>
          <w:rFonts w:ascii="Arial" w:hAnsi="Arial" w:cs="Arial"/>
          <w:b w:val="0"/>
          <w:bCs w:val="0"/>
        </w:rPr>
        <w:t xml:space="preserve"> (</w:t>
      </w:r>
      <w:r>
        <w:rPr>
          <w:rStyle w:val="lev"/>
          <w:rFonts w:ascii="Arial" w:hAnsi="Arial" w:cs="Arial"/>
          <w:b w:val="0"/>
          <w:bCs w:val="0"/>
        </w:rPr>
        <w:t>1</w:t>
      </w:r>
      <w:r w:rsidRPr="009E3B41">
        <w:rPr>
          <w:rStyle w:val="lev"/>
          <w:rFonts w:ascii="Arial" w:hAnsi="Arial" w:cs="Arial"/>
          <w:b w:val="0"/>
          <w:bCs w:val="0"/>
        </w:rPr>
        <w:t xml:space="preserve"> point)</w:t>
      </w:r>
    </w:p>
    <w:p w14:paraId="4DFF443C" w14:textId="24BE6C31" w:rsidR="009747A8" w:rsidRPr="009E3B41" w:rsidRDefault="009747A8" w:rsidP="009747A8">
      <w:pPr>
        <w:pStyle w:val="NormalWeb"/>
        <w:rPr>
          <w:rFonts w:ascii="Arial" w:hAnsi="Arial" w:cs="Arial"/>
        </w:rPr>
      </w:pPr>
      <w:r w:rsidRPr="009E3B41">
        <w:rPr>
          <w:rStyle w:val="lev"/>
          <w:rFonts w:ascii="Arial" w:eastAsiaTheme="majorEastAsia" w:hAnsi="Arial" w:cs="Arial"/>
        </w:rPr>
        <w:t xml:space="preserve">a. </w:t>
      </w:r>
      <w:r>
        <w:rPr>
          <w:rStyle w:val="lev"/>
          <w:rFonts w:ascii="Arial" w:eastAsiaTheme="majorEastAsia" w:hAnsi="Arial" w:cs="Arial"/>
        </w:rPr>
        <w:t>Ratios</w:t>
      </w:r>
      <w:r w:rsidRPr="009E3B41">
        <w:rPr>
          <w:rStyle w:val="lev"/>
          <w:rFonts w:ascii="Arial" w:eastAsiaTheme="majorEastAsia" w:hAnsi="Arial" w:cs="Arial"/>
        </w:rPr>
        <w:t xml:space="preserve"> :</w:t>
      </w:r>
      <w:r>
        <w:rPr>
          <w:rStyle w:val="lev"/>
          <w:rFonts w:ascii="Arial" w:eastAsiaTheme="majorEastAsia" w:hAnsi="Arial" w:cs="Arial"/>
        </w:rPr>
        <w:t xml:space="preserve"> </w:t>
      </w:r>
      <w:r w:rsidRPr="009E3B41">
        <w:rPr>
          <w:rStyle w:val="lev"/>
          <w:rFonts w:ascii="Arial" w:eastAsiaTheme="majorEastAsia" w:hAnsi="Arial" w:cs="Arial"/>
          <w:b w:val="0"/>
          <w:bCs w:val="0"/>
        </w:rPr>
        <w:t>(cf. fichier Excel)</w:t>
      </w:r>
    </w:p>
    <w:p w14:paraId="4A833DCB" w14:textId="1F5B8422" w:rsidR="009747A8" w:rsidRPr="009E3B41" w:rsidRDefault="009747A8" w:rsidP="009E3B41">
      <w:pPr>
        <w:pStyle w:val="NormalWeb"/>
        <w:rPr>
          <w:rFonts w:ascii="Arial" w:hAnsi="Arial" w:cs="Arial"/>
        </w:rPr>
      </w:pPr>
      <w:r w:rsidRPr="009E3B41">
        <w:rPr>
          <w:rStyle w:val="lev"/>
          <w:rFonts w:ascii="Arial" w:eastAsiaTheme="majorEastAsia" w:hAnsi="Arial" w:cs="Arial"/>
        </w:rPr>
        <w:t>b. Analyse :</w:t>
      </w:r>
      <w:r w:rsidRPr="009E3B41">
        <w:rPr>
          <w:rFonts w:ascii="Arial" w:hAnsi="Arial" w:cs="Arial"/>
        </w:rPr>
        <w:t xml:space="preserve"> </w:t>
      </w:r>
      <w:r>
        <w:rPr>
          <w:rFonts w:ascii="Arial" w:hAnsi="Arial" w:cs="Arial"/>
        </w:rPr>
        <w:t>Très forte détérioration du ROA et ROE en raison d’un résultat net négatif, mais aussi du ROI. Le taux de rotation de l’actif se détériore également en dépit de l’augmentation de l’activité, ce qui n’est pas bon signe non plus.</w:t>
      </w:r>
    </w:p>
    <w:p w14:paraId="721CACC1" w14:textId="77777777" w:rsidR="009E3B41" w:rsidRPr="009E3B41" w:rsidRDefault="00140621" w:rsidP="009E3B41">
      <w:pPr>
        <w:rPr>
          <w:rFonts w:ascii="Arial" w:hAnsi="Arial" w:cs="Arial"/>
        </w:rPr>
      </w:pPr>
      <w:r>
        <w:rPr>
          <w:rFonts w:ascii="Arial" w:hAnsi="Arial" w:cs="Arial"/>
          <w:noProof/>
        </w:rPr>
        <w:pict w14:anchorId="0BA2E84D">
          <v:rect id="_x0000_i1028" alt="" style="width:453.6pt;height:.05pt;mso-width-percent:0;mso-height-percent:0;mso-width-percent:0;mso-height-percent:0" o:hralign="center" o:hrstd="t" o:hr="t" fillcolor="#a0a0a0" stroked="f"/>
        </w:pict>
      </w:r>
    </w:p>
    <w:p w14:paraId="511C5E80" w14:textId="26A114E1" w:rsidR="009E3B41" w:rsidRPr="009E3B41" w:rsidRDefault="009E3B41" w:rsidP="009E3B41">
      <w:pPr>
        <w:pStyle w:val="Titre3"/>
        <w:rPr>
          <w:rFonts w:ascii="Arial" w:hAnsi="Arial" w:cs="Arial"/>
        </w:rPr>
      </w:pPr>
      <w:r w:rsidRPr="009E3B41">
        <w:rPr>
          <w:rStyle w:val="lev"/>
          <w:rFonts w:ascii="Arial" w:hAnsi="Arial" w:cs="Arial"/>
          <w:b w:val="0"/>
          <w:bCs w:val="0"/>
        </w:rPr>
        <w:t xml:space="preserve">3. </w:t>
      </w:r>
      <w:r w:rsidR="009747A8">
        <w:rPr>
          <w:rStyle w:val="lev"/>
          <w:rFonts w:ascii="Arial" w:hAnsi="Arial" w:cs="Arial"/>
          <w:b w:val="0"/>
          <w:bCs w:val="0"/>
        </w:rPr>
        <w:t xml:space="preserve">Analyse de la liquidité et du </w:t>
      </w:r>
      <w:r w:rsidRPr="009E3B41">
        <w:rPr>
          <w:rStyle w:val="lev"/>
          <w:rFonts w:ascii="Arial" w:hAnsi="Arial" w:cs="Arial"/>
          <w:b w:val="0"/>
          <w:bCs w:val="0"/>
        </w:rPr>
        <w:t>BFR et trésorerie (</w:t>
      </w:r>
      <w:r w:rsidR="00A12136">
        <w:rPr>
          <w:rStyle w:val="lev"/>
          <w:rFonts w:ascii="Arial" w:hAnsi="Arial" w:cs="Arial"/>
          <w:b w:val="0"/>
          <w:bCs w:val="0"/>
        </w:rPr>
        <w:t>2</w:t>
      </w:r>
      <w:r w:rsidRPr="009E3B41">
        <w:rPr>
          <w:rStyle w:val="lev"/>
          <w:rFonts w:ascii="Arial" w:hAnsi="Arial" w:cs="Arial"/>
          <w:b w:val="0"/>
          <w:bCs w:val="0"/>
        </w:rPr>
        <w:t xml:space="preserve"> points)</w:t>
      </w:r>
    </w:p>
    <w:p w14:paraId="33F0829F" w14:textId="29B534A3" w:rsidR="009E3B41" w:rsidRPr="009E3B41" w:rsidRDefault="009E3B41" w:rsidP="009747A8">
      <w:pPr>
        <w:pStyle w:val="NormalWeb"/>
        <w:rPr>
          <w:rFonts w:ascii="Arial" w:hAnsi="Arial" w:cs="Arial"/>
        </w:rPr>
      </w:pPr>
      <w:r w:rsidRPr="009E3B41">
        <w:rPr>
          <w:rStyle w:val="lev"/>
          <w:rFonts w:ascii="Arial" w:eastAsiaTheme="majorEastAsia" w:hAnsi="Arial" w:cs="Arial"/>
        </w:rPr>
        <w:t>a. Calcul</w:t>
      </w:r>
      <w:r w:rsidR="009747A8">
        <w:rPr>
          <w:rStyle w:val="lev"/>
          <w:rFonts w:ascii="Arial" w:eastAsiaTheme="majorEastAsia" w:hAnsi="Arial" w:cs="Arial"/>
        </w:rPr>
        <w:t xml:space="preserve">s : </w:t>
      </w:r>
      <w:r w:rsidR="009747A8" w:rsidRPr="009E3B41">
        <w:rPr>
          <w:rStyle w:val="lev"/>
          <w:rFonts w:ascii="Arial" w:eastAsiaTheme="majorEastAsia" w:hAnsi="Arial" w:cs="Arial"/>
          <w:b w:val="0"/>
          <w:bCs w:val="0"/>
        </w:rPr>
        <w:t>(cf. fichier Excel)</w:t>
      </w:r>
    </w:p>
    <w:p w14:paraId="5185D880" w14:textId="156B2F11" w:rsidR="009747A8" w:rsidRDefault="009E3B41" w:rsidP="009E3B41">
      <w:pPr>
        <w:pStyle w:val="NormalWeb"/>
        <w:rPr>
          <w:rFonts w:ascii="Arial" w:hAnsi="Arial" w:cs="Arial"/>
        </w:rPr>
      </w:pPr>
      <w:r w:rsidRPr="009E3B41">
        <w:rPr>
          <w:rStyle w:val="lev"/>
          <w:rFonts w:ascii="Arial" w:eastAsiaTheme="majorEastAsia" w:hAnsi="Arial" w:cs="Arial"/>
        </w:rPr>
        <w:t>b. Analyse :</w:t>
      </w:r>
      <w:r w:rsidRPr="009E3B41">
        <w:rPr>
          <w:rFonts w:ascii="Arial" w:hAnsi="Arial" w:cs="Arial"/>
        </w:rPr>
        <w:t xml:space="preserve"> </w:t>
      </w:r>
    </w:p>
    <w:p w14:paraId="36240B01" w14:textId="66953931" w:rsidR="009747A8" w:rsidRDefault="009747A8" w:rsidP="009E3B41">
      <w:pPr>
        <w:pStyle w:val="NormalWeb"/>
        <w:rPr>
          <w:rFonts w:ascii="Arial" w:hAnsi="Arial" w:cs="Arial"/>
        </w:rPr>
      </w:pPr>
      <w:r>
        <w:rPr>
          <w:rFonts w:ascii="Arial" w:hAnsi="Arial" w:cs="Arial"/>
        </w:rPr>
        <w:t>La liquidité se dégrade un peu, mais la situation n’est pas critique avec une liquidité générale qui reste largement supérieure à 1</w:t>
      </w:r>
    </w:p>
    <w:p w14:paraId="2CCFDA91" w14:textId="2AC8BDA1" w:rsidR="009E3B41" w:rsidRPr="009E3B41" w:rsidRDefault="009E3B41" w:rsidP="009E3B41">
      <w:pPr>
        <w:pStyle w:val="NormalWeb"/>
        <w:rPr>
          <w:rFonts w:ascii="Arial" w:hAnsi="Arial" w:cs="Arial"/>
        </w:rPr>
      </w:pPr>
      <w:r w:rsidRPr="009E3B41">
        <w:rPr>
          <w:rFonts w:ascii="Arial" w:hAnsi="Arial" w:cs="Arial"/>
        </w:rPr>
        <w:t>L</w:t>
      </w:r>
      <w:r w:rsidR="009747A8">
        <w:rPr>
          <w:rFonts w:ascii="Arial" w:hAnsi="Arial" w:cs="Arial"/>
        </w:rPr>
        <w:t>a gestion du</w:t>
      </w:r>
      <w:r w:rsidRPr="009E3B41">
        <w:rPr>
          <w:rFonts w:ascii="Arial" w:hAnsi="Arial" w:cs="Arial"/>
        </w:rPr>
        <w:t xml:space="preserve"> BFR </w:t>
      </w:r>
      <w:r w:rsidR="009747A8">
        <w:rPr>
          <w:rFonts w:ascii="Arial" w:hAnsi="Arial" w:cs="Arial"/>
        </w:rPr>
        <w:t>laisse à désirer et se dégrade (+ 18</w:t>
      </w:r>
      <w:r w:rsidR="007E09DC">
        <w:rPr>
          <w:rFonts w:ascii="Arial" w:hAnsi="Arial" w:cs="Arial"/>
        </w:rPr>
        <w:t xml:space="preserve"> </w:t>
      </w:r>
      <w:r w:rsidR="009747A8">
        <w:rPr>
          <w:rFonts w:ascii="Arial" w:hAnsi="Arial" w:cs="Arial"/>
        </w:rPr>
        <w:t xml:space="preserve">jours de CA) </w:t>
      </w:r>
      <w:r w:rsidRPr="009E3B41">
        <w:rPr>
          <w:rFonts w:ascii="Arial" w:hAnsi="Arial" w:cs="Arial"/>
        </w:rPr>
        <w:t>:</w:t>
      </w:r>
    </w:p>
    <w:p w14:paraId="3D00A71F" w14:textId="49E02A0A" w:rsidR="009E3B41" w:rsidRPr="009E3B41" w:rsidRDefault="009E3B41" w:rsidP="009E3B41">
      <w:pPr>
        <w:pStyle w:val="NormalWeb"/>
        <w:numPr>
          <w:ilvl w:val="0"/>
          <w:numId w:val="4"/>
        </w:numPr>
        <w:rPr>
          <w:rFonts w:ascii="Arial" w:hAnsi="Arial" w:cs="Arial"/>
        </w:rPr>
      </w:pPr>
      <w:r w:rsidRPr="009E3B41">
        <w:rPr>
          <w:rFonts w:ascii="Arial" w:hAnsi="Arial" w:cs="Arial"/>
        </w:rPr>
        <w:t xml:space="preserve">D'une hausse </w:t>
      </w:r>
      <w:r w:rsidR="009747A8">
        <w:rPr>
          <w:rFonts w:ascii="Arial" w:hAnsi="Arial" w:cs="Arial"/>
        </w:rPr>
        <w:t xml:space="preserve">importante </w:t>
      </w:r>
      <w:r w:rsidRPr="009E3B41">
        <w:rPr>
          <w:rFonts w:ascii="Arial" w:hAnsi="Arial" w:cs="Arial"/>
        </w:rPr>
        <w:t xml:space="preserve">des stocks </w:t>
      </w:r>
      <w:r w:rsidR="009747A8">
        <w:rPr>
          <w:rFonts w:ascii="Arial" w:hAnsi="Arial" w:cs="Arial"/>
        </w:rPr>
        <w:t xml:space="preserve">qui était déjà conséquents (de </w:t>
      </w:r>
      <w:r w:rsidR="001B4EA2">
        <w:rPr>
          <w:rFonts w:ascii="Arial" w:hAnsi="Arial" w:cs="Arial"/>
        </w:rPr>
        <w:t>55 à 67 jours de CA)</w:t>
      </w:r>
    </w:p>
    <w:p w14:paraId="5D181DD0" w14:textId="310FBBBE" w:rsidR="009E3B41" w:rsidRDefault="001B4EA2" w:rsidP="009E3B41">
      <w:pPr>
        <w:pStyle w:val="NormalWeb"/>
        <w:numPr>
          <w:ilvl w:val="0"/>
          <w:numId w:val="4"/>
        </w:numPr>
        <w:rPr>
          <w:rFonts w:ascii="Arial" w:hAnsi="Arial" w:cs="Arial"/>
        </w:rPr>
      </w:pPr>
      <w:r>
        <w:rPr>
          <w:rFonts w:ascii="Arial" w:hAnsi="Arial" w:cs="Arial"/>
        </w:rPr>
        <w:lastRenderedPageBreak/>
        <w:t>Et surtout d’une non maîtrise d</w:t>
      </w:r>
      <w:r w:rsidR="00551BD7">
        <w:rPr>
          <w:rFonts w:ascii="Arial" w:hAnsi="Arial" w:cs="Arial"/>
        </w:rPr>
        <w:t>es délais de</w:t>
      </w:r>
      <w:r>
        <w:rPr>
          <w:rFonts w:ascii="Arial" w:hAnsi="Arial" w:cs="Arial"/>
        </w:rPr>
        <w:t xml:space="preserve"> recouvrement des créances clients qui étaient déjà très importants (de 73 à 87 jours)</w:t>
      </w:r>
    </w:p>
    <w:p w14:paraId="439A5CA1" w14:textId="41286A5E" w:rsidR="001B4EA2" w:rsidRPr="009E3B41" w:rsidRDefault="001B4EA2" w:rsidP="009E3B41">
      <w:pPr>
        <w:pStyle w:val="NormalWeb"/>
        <w:numPr>
          <w:ilvl w:val="0"/>
          <w:numId w:val="4"/>
        </w:numPr>
        <w:rPr>
          <w:rFonts w:ascii="Arial" w:hAnsi="Arial" w:cs="Arial"/>
        </w:rPr>
      </w:pPr>
      <w:r>
        <w:rPr>
          <w:rFonts w:ascii="Arial" w:hAnsi="Arial" w:cs="Arial"/>
        </w:rPr>
        <w:t>Les délais fournisseurs sont quant à eux hors normes</w:t>
      </w:r>
      <w:r w:rsidR="00A12136">
        <w:rPr>
          <w:rFonts w:ascii="Arial" w:hAnsi="Arial" w:cs="Arial"/>
        </w:rPr>
        <w:t xml:space="preserve"> (1</w:t>
      </w:r>
      <w:r w:rsidR="007E09DC">
        <w:rPr>
          <w:rFonts w:ascii="Arial" w:hAnsi="Arial" w:cs="Arial"/>
        </w:rPr>
        <w:t>35</w:t>
      </w:r>
      <w:r w:rsidR="00A12136">
        <w:rPr>
          <w:rFonts w:ascii="Arial" w:hAnsi="Arial" w:cs="Arial"/>
        </w:rPr>
        <w:t xml:space="preserve"> jours)</w:t>
      </w:r>
      <w:r>
        <w:rPr>
          <w:rFonts w:ascii="Arial" w:hAnsi="Arial" w:cs="Arial"/>
        </w:rPr>
        <w:t xml:space="preserve"> et ne peuvent servir à amortir la non maîtrise des stocks et du recouvrement client.</w:t>
      </w:r>
    </w:p>
    <w:p w14:paraId="013C8E55" w14:textId="77777777" w:rsidR="009E3B41" w:rsidRPr="009E3B41" w:rsidRDefault="00140621" w:rsidP="009E3B41">
      <w:pPr>
        <w:rPr>
          <w:rFonts w:ascii="Arial" w:hAnsi="Arial" w:cs="Arial"/>
        </w:rPr>
      </w:pPr>
      <w:r>
        <w:rPr>
          <w:rFonts w:ascii="Arial" w:hAnsi="Arial" w:cs="Arial"/>
          <w:noProof/>
        </w:rPr>
        <w:pict w14:anchorId="03B6890D">
          <v:rect id="_x0000_i1027" alt="" style="width:453.6pt;height:.05pt;mso-width-percent:0;mso-height-percent:0;mso-width-percent:0;mso-height-percent:0" o:hralign="center" o:hrstd="t" o:hr="t" fillcolor="#a0a0a0" stroked="f"/>
        </w:pict>
      </w:r>
    </w:p>
    <w:p w14:paraId="0B2CF739" w14:textId="4AF8184A" w:rsidR="009E3B41" w:rsidRPr="009E3B41" w:rsidRDefault="009E3B41" w:rsidP="009E3B41">
      <w:pPr>
        <w:pStyle w:val="Titre3"/>
        <w:rPr>
          <w:rFonts w:ascii="Arial" w:hAnsi="Arial" w:cs="Arial"/>
        </w:rPr>
      </w:pPr>
      <w:r w:rsidRPr="009E3B41">
        <w:rPr>
          <w:rStyle w:val="lev"/>
          <w:rFonts w:ascii="Arial" w:hAnsi="Arial" w:cs="Arial"/>
          <w:b w:val="0"/>
          <w:bCs w:val="0"/>
        </w:rPr>
        <w:t>4. Structure financière</w:t>
      </w:r>
      <w:r w:rsidR="006D1760">
        <w:rPr>
          <w:rStyle w:val="lev"/>
          <w:rFonts w:ascii="Arial" w:hAnsi="Arial" w:cs="Arial"/>
          <w:b w:val="0"/>
          <w:bCs w:val="0"/>
        </w:rPr>
        <w:t xml:space="preserve"> et tableau des flux</w:t>
      </w:r>
      <w:r w:rsidR="007E09DC">
        <w:rPr>
          <w:rStyle w:val="lev"/>
          <w:rFonts w:ascii="Arial" w:hAnsi="Arial" w:cs="Arial"/>
          <w:b w:val="0"/>
          <w:bCs w:val="0"/>
        </w:rPr>
        <w:t xml:space="preserve"> </w:t>
      </w:r>
      <w:r w:rsidRPr="009E3B41">
        <w:rPr>
          <w:rStyle w:val="lev"/>
          <w:rFonts w:ascii="Arial" w:hAnsi="Arial" w:cs="Arial"/>
          <w:b w:val="0"/>
          <w:bCs w:val="0"/>
        </w:rPr>
        <w:t>(</w:t>
      </w:r>
      <w:r w:rsidR="00F90EE1">
        <w:rPr>
          <w:rStyle w:val="lev"/>
          <w:rFonts w:ascii="Arial" w:hAnsi="Arial" w:cs="Arial"/>
          <w:b w:val="0"/>
          <w:bCs w:val="0"/>
        </w:rPr>
        <w:t>2</w:t>
      </w:r>
      <w:r w:rsidRPr="009E3B41">
        <w:rPr>
          <w:rStyle w:val="lev"/>
          <w:rFonts w:ascii="Arial" w:hAnsi="Arial" w:cs="Arial"/>
          <w:b w:val="0"/>
          <w:bCs w:val="0"/>
        </w:rPr>
        <w:t xml:space="preserve"> points)</w:t>
      </w:r>
    </w:p>
    <w:p w14:paraId="5714FCDB" w14:textId="57255FBD" w:rsidR="009E3B41" w:rsidRPr="009E3B41" w:rsidRDefault="009E3B41" w:rsidP="009E3B41">
      <w:pPr>
        <w:pStyle w:val="NormalWeb"/>
        <w:rPr>
          <w:rFonts w:ascii="Arial" w:hAnsi="Arial" w:cs="Arial"/>
        </w:rPr>
      </w:pPr>
      <w:r w:rsidRPr="009E3B41">
        <w:rPr>
          <w:rStyle w:val="lev"/>
          <w:rFonts w:ascii="Arial" w:eastAsiaTheme="majorEastAsia" w:hAnsi="Arial" w:cs="Arial"/>
        </w:rPr>
        <w:t>a. Ratios financiers :</w:t>
      </w:r>
      <w:r w:rsidR="00F90EE1">
        <w:rPr>
          <w:rStyle w:val="lev"/>
          <w:rFonts w:ascii="Arial" w:eastAsiaTheme="majorEastAsia" w:hAnsi="Arial" w:cs="Arial"/>
        </w:rPr>
        <w:t xml:space="preserve"> </w:t>
      </w:r>
      <w:r w:rsidR="00F90EE1" w:rsidRPr="009E3B41">
        <w:rPr>
          <w:rStyle w:val="lev"/>
          <w:rFonts w:ascii="Arial" w:eastAsiaTheme="majorEastAsia" w:hAnsi="Arial" w:cs="Arial"/>
          <w:b w:val="0"/>
          <w:bCs w:val="0"/>
        </w:rPr>
        <w:t>(cf. fichier Excel)</w:t>
      </w:r>
    </w:p>
    <w:p w14:paraId="600AAED9" w14:textId="12E8ADC1" w:rsidR="009E3B41" w:rsidRPr="009E3B41" w:rsidRDefault="009E3B41" w:rsidP="009E3B41">
      <w:pPr>
        <w:pStyle w:val="NormalWeb"/>
        <w:rPr>
          <w:rFonts w:ascii="Arial" w:hAnsi="Arial" w:cs="Arial"/>
        </w:rPr>
      </w:pPr>
      <w:r w:rsidRPr="009E3B41">
        <w:rPr>
          <w:rStyle w:val="lev"/>
          <w:rFonts w:ascii="Arial" w:eastAsiaTheme="majorEastAsia" w:hAnsi="Arial" w:cs="Arial"/>
        </w:rPr>
        <w:t>b. Analyse :</w:t>
      </w:r>
      <w:r w:rsidRPr="009E3B41">
        <w:rPr>
          <w:rFonts w:ascii="Arial" w:hAnsi="Arial" w:cs="Arial"/>
        </w:rPr>
        <w:t xml:space="preserve"> </w:t>
      </w:r>
      <w:r w:rsidR="00F90EE1">
        <w:rPr>
          <w:rFonts w:ascii="Arial" w:hAnsi="Arial" w:cs="Arial"/>
        </w:rPr>
        <w:t>L’endettement a explosé et dépasse les limites communément admises qu’il s’agisse du taux d’endettement (supérieur à 33%)</w:t>
      </w:r>
      <w:r w:rsidR="003C720D">
        <w:rPr>
          <w:rFonts w:ascii="Arial" w:hAnsi="Arial" w:cs="Arial"/>
        </w:rPr>
        <w:t xml:space="preserve"> </w:t>
      </w:r>
      <w:r w:rsidR="00F90EE1">
        <w:rPr>
          <w:rFonts w:ascii="Arial" w:hAnsi="Arial" w:cs="Arial"/>
        </w:rPr>
        <w:t>ou de l’autonomie financière (les dettes financières sont supérieures aux capitaux propres).</w:t>
      </w:r>
      <w:r w:rsidR="006D1760">
        <w:rPr>
          <w:rFonts w:ascii="Arial" w:hAnsi="Arial" w:cs="Arial"/>
        </w:rPr>
        <w:t xml:space="preserve"> Le tableau des flux montre que l’entreprise ne dégage pas de flux positif du fait de son expl</w:t>
      </w:r>
      <w:r w:rsidR="008A1D47">
        <w:rPr>
          <w:rFonts w:ascii="Arial" w:hAnsi="Arial" w:cs="Arial"/>
        </w:rPr>
        <w:t>oitation</w:t>
      </w:r>
      <w:r w:rsidR="006D1760">
        <w:rPr>
          <w:rFonts w:ascii="Arial" w:hAnsi="Arial" w:cs="Arial"/>
        </w:rPr>
        <w:t xml:space="preserve"> du fait d’une part d’un résultat net négatif et d’</w:t>
      </w:r>
      <w:r w:rsidR="00756160">
        <w:rPr>
          <w:rFonts w:ascii="Arial" w:hAnsi="Arial" w:cs="Arial"/>
        </w:rPr>
        <w:t>autre part d’</w:t>
      </w:r>
      <w:r w:rsidR="006D1760">
        <w:rPr>
          <w:rFonts w:ascii="Arial" w:hAnsi="Arial" w:cs="Arial"/>
        </w:rPr>
        <w:t xml:space="preserve">une forte augmentation du BFR. L’entreprise poursuit ses investissements qui sont financés </w:t>
      </w:r>
      <w:r w:rsidR="003F3236">
        <w:rPr>
          <w:rFonts w:ascii="Arial" w:hAnsi="Arial" w:cs="Arial"/>
        </w:rPr>
        <w:t xml:space="preserve">quasi </w:t>
      </w:r>
      <w:r w:rsidR="006D1760">
        <w:rPr>
          <w:rFonts w:ascii="Arial" w:hAnsi="Arial" w:cs="Arial"/>
        </w:rPr>
        <w:t>uniquement par endettement, ce qui se traduit in fine par une dégradation modérée de la trésorerie.</w:t>
      </w:r>
    </w:p>
    <w:p w14:paraId="14E2AC5A" w14:textId="77777777" w:rsidR="009E3B41" w:rsidRPr="009E3B41" w:rsidRDefault="00140621" w:rsidP="009E3B41">
      <w:pPr>
        <w:rPr>
          <w:rFonts w:ascii="Arial" w:hAnsi="Arial" w:cs="Arial"/>
        </w:rPr>
      </w:pPr>
      <w:r>
        <w:rPr>
          <w:rFonts w:ascii="Arial" w:hAnsi="Arial" w:cs="Arial"/>
          <w:noProof/>
        </w:rPr>
        <w:pict w14:anchorId="0CB4583F">
          <v:rect id="_x0000_i1026" alt="" style="width:453.6pt;height:.05pt;mso-width-percent:0;mso-height-percent:0;mso-width-percent:0;mso-height-percent:0" o:hralign="center" o:hrstd="t" o:hr="t" fillcolor="#a0a0a0" stroked="f"/>
        </w:pict>
      </w:r>
    </w:p>
    <w:p w14:paraId="56FAB34A" w14:textId="4445B5EC" w:rsidR="009E3B41" w:rsidRPr="009E3B41" w:rsidRDefault="009E3B41" w:rsidP="009E3B41">
      <w:pPr>
        <w:pStyle w:val="Titre3"/>
        <w:rPr>
          <w:rFonts w:ascii="Arial" w:hAnsi="Arial" w:cs="Arial"/>
        </w:rPr>
      </w:pPr>
      <w:r w:rsidRPr="009E3B41">
        <w:rPr>
          <w:rStyle w:val="lev"/>
          <w:rFonts w:ascii="Arial" w:hAnsi="Arial" w:cs="Arial"/>
          <w:b w:val="0"/>
          <w:bCs w:val="0"/>
        </w:rPr>
        <w:t>5. Diagnostic global (</w:t>
      </w:r>
      <w:r w:rsidR="00F90EE1">
        <w:rPr>
          <w:rStyle w:val="lev"/>
          <w:rFonts w:ascii="Arial" w:hAnsi="Arial" w:cs="Arial"/>
          <w:b w:val="0"/>
          <w:bCs w:val="0"/>
        </w:rPr>
        <w:t>2</w:t>
      </w:r>
      <w:r w:rsidRPr="009E3B41">
        <w:rPr>
          <w:rStyle w:val="lev"/>
          <w:rFonts w:ascii="Arial" w:hAnsi="Arial" w:cs="Arial"/>
          <w:b w:val="0"/>
          <w:bCs w:val="0"/>
        </w:rPr>
        <w:t xml:space="preserve"> poin</w:t>
      </w:r>
      <w:r w:rsidR="00F90EE1">
        <w:rPr>
          <w:rStyle w:val="lev"/>
          <w:rFonts w:ascii="Arial" w:hAnsi="Arial" w:cs="Arial"/>
          <w:b w:val="0"/>
          <w:bCs w:val="0"/>
        </w:rPr>
        <w:t>ts</w:t>
      </w:r>
      <w:r w:rsidRPr="009E3B41">
        <w:rPr>
          <w:rStyle w:val="lev"/>
          <w:rFonts w:ascii="Arial" w:hAnsi="Arial" w:cs="Arial"/>
          <w:b w:val="0"/>
          <w:bCs w:val="0"/>
        </w:rPr>
        <w:t>)</w:t>
      </w:r>
    </w:p>
    <w:p w14:paraId="6ABCF95E" w14:textId="77777777" w:rsidR="009E3B41" w:rsidRPr="009E3B41" w:rsidRDefault="009E3B41" w:rsidP="009E3B41">
      <w:pPr>
        <w:pStyle w:val="NormalWeb"/>
        <w:rPr>
          <w:rFonts w:ascii="Arial" w:hAnsi="Arial" w:cs="Arial"/>
        </w:rPr>
      </w:pPr>
      <w:r w:rsidRPr="009E3B41">
        <w:rPr>
          <w:rStyle w:val="lev"/>
          <w:rFonts w:ascii="Arial" w:eastAsiaTheme="majorEastAsia" w:hAnsi="Arial" w:cs="Arial"/>
        </w:rPr>
        <w:t>a. Points forts :</w:t>
      </w:r>
    </w:p>
    <w:p w14:paraId="6EB78308" w14:textId="77777777" w:rsidR="009E3B41" w:rsidRPr="009E3B41" w:rsidRDefault="009E3B41" w:rsidP="009E3B41">
      <w:pPr>
        <w:pStyle w:val="NormalWeb"/>
        <w:numPr>
          <w:ilvl w:val="0"/>
          <w:numId w:val="6"/>
        </w:numPr>
        <w:rPr>
          <w:rFonts w:ascii="Arial" w:hAnsi="Arial" w:cs="Arial"/>
        </w:rPr>
      </w:pPr>
      <w:r w:rsidRPr="009E3B41">
        <w:rPr>
          <w:rFonts w:ascii="Arial" w:hAnsi="Arial" w:cs="Arial"/>
        </w:rPr>
        <w:t>Activité résiliente malgré un contexte difficile.</w:t>
      </w:r>
    </w:p>
    <w:p w14:paraId="112ABBBA" w14:textId="77777777" w:rsidR="009E3B41" w:rsidRDefault="009E3B41" w:rsidP="009E3B41">
      <w:pPr>
        <w:pStyle w:val="NormalWeb"/>
        <w:numPr>
          <w:ilvl w:val="0"/>
          <w:numId w:val="6"/>
        </w:numPr>
        <w:rPr>
          <w:rFonts w:ascii="Arial" w:hAnsi="Arial" w:cs="Arial"/>
        </w:rPr>
      </w:pPr>
      <w:r w:rsidRPr="009E3B41">
        <w:rPr>
          <w:rFonts w:ascii="Arial" w:hAnsi="Arial" w:cs="Arial"/>
        </w:rPr>
        <w:t>Capacité à lever des financements pour soutenir le BFR.</w:t>
      </w:r>
    </w:p>
    <w:p w14:paraId="7D8A58DD" w14:textId="37E4A6D9" w:rsidR="000B7D2A" w:rsidRPr="009E3B41" w:rsidRDefault="000B7D2A" w:rsidP="009E3B41">
      <w:pPr>
        <w:pStyle w:val="NormalWeb"/>
        <w:numPr>
          <w:ilvl w:val="0"/>
          <w:numId w:val="6"/>
        </w:numPr>
        <w:rPr>
          <w:rFonts w:ascii="Arial" w:hAnsi="Arial" w:cs="Arial"/>
        </w:rPr>
      </w:pPr>
      <w:r>
        <w:rPr>
          <w:rFonts w:ascii="Arial" w:hAnsi="Arial" w:cs="Arial"/>
        </w:rPr>
        <w:t>Une politique d’investissement soutenue.</w:t>
      </w:r>
    </w:p>
    <w:p w14:paraId="2F707EC0" w14:textId="77777777" w:rsidR="009E3B41" w:rsidRPr="009E3B41" w:rsidRDefault="009E3B41" w:rsidP="009E3B41">
      <w:pPr>
        <w:pStyle w:val="NormalWeb"/>
        <w:rPr>
          <w:rFonts w:ascii="Arial" w:hAnsi="Arial" w:cs="Arial"/>
        </w:rPr>
      </w:pPr>
      <w:r w:rsidRPr="009E3B41">
        <w:rPr>
          <w:rStyle w:val="lev"/>
          <w:rFonts w:ascii="Arial" w:eastAsiaTheme="majorEastAsia" w:hAnsi="Arial" w:cs="Arial"/>
        </w:rPr>
        <w:t>b. Points faibles :</w:t>
      </w:r>
    </w:p>
    <w:p w14:paraId="09BB5DBA" w14:textId="4165BED6" w:rsidR="009E3B41" w:rsidRPr="009E3B41" w:rsidRDefault="00F90EE1" w:rsidP="009E3B41">
      <w:pPr>
        <w:pStyle w:val="NormalWeb"/>
        <w:numPr>
          <w:ilvl w:val="0"/>
          <w:numId w:val="7"/>
        </w:numPr>
        <w:rPr>
          <w:rFonts w:ascii="Arial" w:hAnsi="Arial" w:cs="Arial"/>
        </w:rPr>
      </w:pPr>
      <w:r>
        <w:rPr>
          <w:rFonts w:ascii="Arial" w:hAnsi="Arial" w:cs="Arial"/>
        </w:rPr>
        <w:t>M</w:t>
      </w:r>
      <w:r w:rsidR="009E3B41" w:rsidRPr="009E3B41">
        <w:rPr>
          <w:rFonts w:ascii="Arial" w:hAnsi="Arial" w:cs="Arial"/>
        </w:rPr>
        <w:t xml:space="preserve">arges </w:t>
      </w:r>
      <w:r>
        <w:rPr>
          <w:rFonts w:ascii="Arial" w:hAnsi="Arial" w:cs="Arial"/>
        </w:rPr>
        <w:t xml:space="preserve">en </w:t>
      </w:r>
      <w:r w:rsidR="003C720D">
        <w:rPr>
          <w:rFonts w:ascii="Arial" w:hAnsi="Arial" w:cs="Arial"/>
        </w:rPr>
        <w:t>baisse</w:t>
      </w:r>
    </w:p>
    <w:p w14:paraId="7407511B" w14:textId="1178D1CC" w:rsidR="009E3B41" w:rsidRDefault="00F90EE1" w:rsidP="009E3B41">
      <w:pPr>
        <w:pStyle w:val="NormalWeb"/>
        <w:numPr>
          <w:ilvl w:val="0"/>
          <w:numId w:val="7"/>
        </w:numPr>
        <w:rPr>
          <w:rFonts w:ascii="Arial" w:hAnsi="Arial" w:cs="Arial"/>
        </w:rPr>
      </w:pPr>
      <w:r>
        <w:rPr>
          <w:rFonts w:ascii="Arial" w:hAnsi="Arial" w:cs="Arial"/>
        </w:rPr>
        <w:t xml:space="preserve">Gestion non maîtrisée du </w:t>
      </w:r>
      <w:r w:rsidR="009E3B41" w:rsidRPr="009E3B41">
        <w:rPr>
          <w:rFonts w:ascii="Arial" w:hAnsi="Arial" w:cs="Arial"/>
        </w:rPr>
        <w:t>BFR en forte croissance</w:t>
      </w:r>
    </w:p>
    <w:p w14:paraId="421115D5" w14:textId="5C6FB3CC" w:rsidR="00F90EE1" w:rsidRPr="009E3B41" w:rsidRDefault="00F90EE1" w:rsidP="009E3B41">
      <w:pPr>
        <w:pStyle w:val="NormalWeb"/>
        <w:numPr>
          <w:ilvl w:val="0"/>
          <w:numId w:val="7"/>
        </w:numPr>
        <w:rPr>
          <w:rFonts w:ascii="Arial" w:hAnsi="Arial" w:cs="Arial"/>
        </w:rPr>
      </w:pPr>
      <w:r>
        <w:rPr>
          <w:rFonts w:ascii="Arial" w:hAnsi="Arial" w:cs="Arial"/>
        </w:rPr>
        <w:t>Endettement excessif</w:t>
      </w:r>
    </w:p>
    <w:p w14:paraId="57BF5CE9" w14:textId="77777777" w:rsidR="009E3B41" w:rsidRPr="009E3B41" w:rsidRDefault="009E3B41" w:rsidP="009E3B41">
      <w:pPr>
        <w:pStyle w:val="NormalWeb"/>
        <w:rPr>
          <w:rFonts w:ascii="Arial" w:hAnsi="Arial" w:cs="Arial"/>
        </w:rPr>
      </w:pPr>
      <w:r w:rsidRPr="009E3B41">
        <w:rPr>
          <w:rStyle w:val="lev"/>
          <w:rFonts w:ascii="Arial" w:eastAsiaTheme="majorEastAsia" w:hAnsi="Arial" w:cs="Arial"/>
        </w:rPr>
        <w:t>Recommandations :</w:t>
      </w:r>
    </w:p>
    <w:p w14:paraId="635C4A42" w14:textId="77777777" w:rsidR="009E3B41" w:rsidRPr="009E3B41" w:rsidRDefault="009E3B41" w:rsidP="009E3B41">
      <w:pPr>
        <w:pStyle w:val="NormalWeb"/>
        <w:numPr>
          <w:ilvl w:val="0"/>
          <w:numId w:val="8"/>
        </w:numPr>
        <w:rPr>
          <w:rFonts w:ascii="Arial" w:hAnsi="Arial" w:cs="Arial"/>
        </w:rPr>
      </w:pPr>
      <w:r w:rsidRPr="009E3B41">
        <w:rPr>
          <w:rFonts w:ascii="Arial" w:hAnsi="Arial" w:cs="Arial"/>
        </w:rPr>
        <w:t>Réduire les délais clients et optimiser la gestion des stocks.</w:t>
      </w:r>
    </w:p>
    <w:p w14:paraId="6699AA3B" w14:textId="77777777" w:rsidR="009E3B41" w:rsidRPr="009E3B41" w:rsidRDefault="009E3B41" w:rsidP="009E3B41">
      <w:pPr>
        <w:pStyle w:val="NormalWeb"/>
        <w:numPr>
          <w:ilvl w:val="0"/>
          <w:numId w:val="8"/>
        </w:numPr>
        <w:rPr>
          <w:rFonts w:ascii="Arial" w:hAnsi="Arial" w:cs="Arial"/>
        </w:rPr>
      </w:pPr>
      <w:r w:rsidRPr="009E3B41">
        <w:rPr>
          <w:rFonts w:ascii="Arial" w:hAnsi="Arial" w:cs="Arial"/>
        </w:rPr>
        <w:t>Suivre les marges de près, renégocier les contrats d’approvisionnement.</w:t>
      </w:r>
    </w:p>
    <w:p w14:paraId="3024749F" w14:textId="73381B1F" w:rsidR="009E3B41" w:rsidRDefault="00F90EE1" w:rsidP="009E3B41">
      <w:pPr>
        <w:pStyle w:val="NormalWeb"/>
        <w:numPr>
          <w:ilvl w:val="0"/>
          <w:numId w:val="8"/>
        </w:numPr>
        <w:rPr>
          <w:rFonts w:ascii="Arial" w:hAnsi="Arial" w:cs="Arial"/>
        </w:rPr>
      </w:pPr>
      <w:r>
        <w:rPr>
          <w:rFonts w:ascii="Arial" w:hAnsi="Arial" w:cs="Arial"/>
        </w:rPr>
        <w:t>Rétablir la structure financière en envisageant un apport en capital et une réduction de l’endettement</w:t>
      </w:r>
      <w:r w:rsidR="009E3B41" w:rsidRPr="009E3B41">
        <w:rPr>
          <w:rFonts w:ascii="Arial" w:hAnsi="Arial" w:cs="Arial"/>
        </w:rPr>
        <w:t>.</w:t>
      </w:r>
    </w:p>
    <w:p w14:paraId="17974441" w14:textId="41ADA7BD" w:rsidR="00F90EE1" w:rsidRPr="009E3B41" w:rsidRDefault="00F90EE1" w:rsidP="009E3B41">
      <w:pPr>
        <w:pStyle w:val="NormalWeb"/>
        <w:numPr>
          <w:ilvl w:val="0"/>
          <w:numId w:val="8"/>
        </w:numPr>
        <w:rPr>
          <w:rFonts w:ascii="Arial" w:hAnsi="Arial" w:cs="Arial"/>
        </w:rPr>
      </w:pPr>
      <w:r>
        <w:rPr>
          <w:rFonts w:ascii="Arial" w:hAnsi="Arial" w:cs="Arial"/>
        </w:rPr>
        <w:t>Néanmoins, c’est avant tout par le rétablissement des marges que la situation pourra être durablement assainie.</w:t>
      </w:r>
    </w:p>
    <w:p w14:paraId="1E3E5FCB" w14:textId="77777777" w:rsidR="00FB1617" w:rsidRPr="009E3B41" w:rsidRDefault="00140621" w:rsidP="00FB1617">
      <w:pPr>
        <w:rPr>
          <w:rFonts w:ascii="Arial" w:hAnsi="Arial" w:cs="Arial"/>
        </w:rPr>
      </w:pPr>
      <w:r>
        <w:rPr>
          <w:rFonts w:ascii="Arial" w:hAnsi="Arial" w:cs="Arial"/>
          <w:noProof/>
        </w:rPr>
        <w:pict w14:anchorId="10C0CCC3">
          <v:rect id="_x0000_i1025" alt="" style="width:453.6pt;height:.05pt;mso-width-percent:0;mso-height-percent:0;mso-width-percent:0;mso-height-percent:0" o:hralign="center" o:hrstd="t" o:hr="t" fillcolor="#a0a0a0" stroked="f"/>
        </w:pict>
      </w:r>
    </w:p>
    <w:p w14:paraId="59EDB926" w14:textId="7ADD8C0F" w:rsidR="00FB1617" w:rsidRPr="009E3B41" w:rsidRDefault="00FB1617" w:rsidP="00FB1617">
      <w:pPr>
        <w:pStyle w:val="Titre3"/>
        <w:rPr>
          <w:rFonts w:ascii="Arial" w:hAnsi="Arial" w:cs="Arial"/>
        </w:rPr>
      </w:pPr>
      <w:r>
        <w:rPr>
          <w:rStyle w:val="lev"/>
          <w:rFonts w:ascii="Arial" w:hAnsi="Arial" w:cs="Arial"/>
          <w:b w:val="0"/>
          <w:bCs w:val="0"/>
        </w:rPr>
        <w:t>6</w:t>
      </w:r>
      <w:r w:rsidRPr="009E3B41">
        <w:rPr>
          <w:rStyle w:val="lev"/>
          <w:rFonts w:ascii="Arial" w:hAnsi="Arial" w:cs="Arial"/>
          <w:b w:val="0"/>
          <w:bCs w:val="0"/>
        </w:rPr>
        <w:t xml:space="preserve">. </w:t>
      </w:r>
      <w:r>
        <w:rPr>
          <w:rStyle w:val="lev"/>
          <w:rFonts w:ascii="Arial" w:hAnsi="Arial" w:cs="Arial"/>
          <w:b w:val="0"/>
          <w:bCs w:val="0"/>
        </w:rPr>
        <w:t>Bonus</w:t>
      </w:r>
      <w:r w:rsidRPr="009E3B41">
        <w:rPr>
          <w:rStyle w:val="lev"/>
          <w:rFonts w:ascii="Arial" w:hAnsi="Arial" w:cs="Arial"/>
          <w:b w:val="0"/>
          <w:bCs w:val="0"/>
        </w:rPr>
        <w:t xml:space="preserve"> (</w:t>
      </w:r>
      <w:r>
        <w:rPr>
          <w:rStyle w:val="lev"/>
          <w:rFonts w:ascii="Arial" w:hAnsi="Arial" w:cs="Arial"/>
          <w:b w:val="0"/>
          <w:bCs w:val="0"/>
        </w:rPr>
        <w:t>1</w:t>
      </w:r>
      <w:r w:rsidRPr="009E3B41">
        <w:rPr>
          <w:rStyle w:val="lev"/>
          <w:rFonts w:ascii="Arial" w:hAnsi="Arial" w:cs="Arial"/>
          <w:b w:val="0"/>
          <w:bCs w:val="0"/>
        </w:rPr>
        <w:t xml:space="preserve"> poin</w:t>
      </w:r>
      <w:r>
        <w:rPr>
          <w:rStyle w:val="lev"/>
          <w:rFonts w:ascii="Arial" w:hAnsi="Arial" w:cs="Arial"/>
          <w:b w:val="0"/>
          <w:bCs w:val="0"/>
        </w:rPr>
        <w:t>t</w:t>
      </w:r>
      <w:r w:rsidRPr="009E3B41">
        <w:rPr>
          <w:rStyle w:val="lev"/>
          <w:rFonts w:ascii="Arial" w:hAnsi="Arial" w:cs="Arial"/>
          <w:b w:val="0"/>
          <w:bCs w:val="0"/>
        </w:rPr>
        <w:t>)</w:t>
      </w:r>
    </w:p>
    <w:p w14:paraId="73652AF7" w14:textId="68B03542" w:rsidR="00664858" w:rsidRPr="00FB1617" w:rsidRDefault="00FB1617" w:rsidP="00FB1617">
      <w:pPr>
        <w:pStyle w:val="NormalWeb"/>
        <w:rPr>
          <w:rFonts w:ascii="Arial" w:eastAsiaTheme="majorEastAsia" w:hAnsi="Arial" w:cs="Arial"/>
          <w:b/>
          <w:bCs/>
        </w:rPr>
      </w:pPr>
      <w:r w:rsidRPr="00FB1617">
        <w:rPr>
          <w:rStyle w:val="lev"/>
          <w:rFonts w:ascii="Arial" w:eastAsiaTheme="majorEastAsia" w:hAnsi="Arial" w:cs="Arial"/>
          <w:b w:val="0"/>
          <w:bCs w:val="0"/>
        </w:rPr>
        <w:t>1 point de bonus pour ceux qui ont repéré qu’il fallait ajouter 500 de autres charges dans le compte de résultat 2024</w:t>
      </w:r>
      <w:r w:rsidR="007E09DC">
        <w:rPr>
          <w:rStyle w:val="lev"/>
          <w:rFonts w:ascii="Arial" w:eastAsiaTheme="majorEastAsia" w:hAnsi="Arial" w:cs="Arial"/>
          <w:b w:val="0"/>
          <w:bCs w:val="0"/>
        </w:rPr>
        <w:t>.</w:t>
      </w:r>
    </w:p>
    <w:sectPr w:rsidR="00664858" w:rsidRPr="00FB1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154A"/>
    <w:multiLevelType w:val="multilevel"/>
    <w:tmpl w:val="B344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A7623"/>
    <w:multiLevelType w:val="multilevel"/>
    <w:tmpl w:val="C3D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181"/>
    <w:multiLevelType w:val="multilevel"/>
    <w:tmpl w:val="9FF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45A6"/>
    <w:multiLevelType w:val="multilevel"/>
    <w:tmpl w:val="73C49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8621A"/>
    <w:multiLevelType w:val="multilevel"/>
    <w:tmpl w:val="9118A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D2839"/>
    <w:multiLevelType w:val="multilevel"/>
    <w:tmpl w:val="8BB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36CF9"/>
    <w:multiLevelType w:val="multilevel"/>
    <w:tmpl w:val="AD0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578CE"/>
    <w:multiLevelType w:val="multilevel"/>
    <w:tmpl w:val="9082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647810">
    <w:abstractNumId w:val="7"/>
  </w:num>
  <w:num w:numId="2" w16cid:durableId="728456432">
    <w:abstractNumId w:val="3"/>
  </w:num>
  <w:num w:numId="3" w16cid:durableId="921764389">
    <w:abstractNumId w:val="5"/>
  </w:num>
  <w:num w:numId="4" w16cid:durableId="1625306929">
    <w:abstractNumId w:val="1"/>
  </w:num>
  <w:num w:numId="5" w16cid:durableId="168326514">
    <w:abstractNumId w:val="4"/>
  </w:num>
  <w:num w:numId="6" w16cid:durableId="1697121983">
    <w:abstractNumId w:val="6"/>
  </w:num>
  <w:num w:numId="7" w16cid:durableId="999775818">
    <w:abstractNumId w:val="2"/>
  </w:num>
  <w:num w:numId="8" w16cid:durableId="163401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6E"/>
    <w:rsid w:val="00043E24"/>
    <w:rsid w:val="00047F1B"/>
    <w:rsid w:val="000A41EB"/>
    <w:rsid w:val="000B7D2A"/>
    <w:rsid w:val="000F4E61"/>
    <w:rsid w:val="00140621"/>
    <w:rsid w:val="00175AF8"/>
    <w:rsid w:val="001837F3"/>
    <w:rsid w:val="001B4EA2"/>
    <w:rsid w:val="00255528"/>
    <w:rsid w:val="002B3D6E"/>
    <w:rsid w:val="003811BC"/>
    <w:rsid w:val="003C720D"/>
    <w:rsid w:val="003F3236"/>
    <w:rsid w:val="004659C9"/>
    <w:rsid w:val="00473F2D"/>
    <w:rsid w:val="005153B6"/>
    <w:rsid w:val="00551BD7"/>
    <w:rsid w:val="005E3B17"/>
    <w:rsid w:val="0061710A"/>
    <w:rsid w:val="00650E96"/>
    <w:rsid w:val="00664858"/>
    <w:rsid w:val="006850DB"/>
    <w:rsid w:val="006D1760"/>
    <w:rsid w:val="00756160"/>
    <w:rsid w:val="00765A00"/>
    <w:rsid w:val="0079732E"/>
    <w:rsid w:val="007D791B"/>
    <w:rsid w:val="007E09DC"/>
    <w:rsid w:val="008051A8"/>
    <w:rsid w:val="0087417A"/>
    <w:rsid w:val="008A1D47"/>
    <w:rsid w:val="00946C7B"/>
    <w:rsid w:val="009747A8"/>
    <w:rsid w:val="009876EC"/>
    <w:rsid w:val="009E3B41"/>
    <w:rsid w:val="00A04AB7"/>
    <w:rsid w:val="00A12136"/>
    <w:rsid w:val="00A47691"/>
    <w:rsid w:val="00AF0184"/>
    <w:rsid w:val="00BF6942"/>
    <w:rsid w:val="00DE7DE8"/>
    <w:rsid w:val="00E60304"/>
    <w:rsid w:val="00F90EE1"/>
    <w:rsid w:val="00FB1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6B3C"/>
  <w15:chartTrackingRefBased/>
  <w15:docId w15:val="{D295A866-E8A1-1043-8026-990C56B5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3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3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3D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3D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3D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3D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3D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3D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3D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D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3D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3D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3D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3D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3D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3D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3D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3D6E"/>
    <w:rPr>
      <w:rFonts w:eastAsiaTheme="majorEastAsia" w:cstheme="majorBidi"/>
      <w:color w:val="272727" w:themeColor="text1" w:themeTint="D8"/>
    </w:rPr>
  </w:style>
  <w:style w:type="paragraph" w:styleId="Titre">
    <w:name w:val="Title"/>
    <w:basedOn w:val="Normal"/>
    <w:next w:val="Normal"/>
    <w:link w:val="TitreCar"/>
    <w:uiPriority w:val="10"/>
    <w:qFormat/>
    <w:rsid w:val="002B3D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D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3D6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3D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3D6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B3D6E"/>
    <w:rPr>
      <w:i/>
      <w:iCs/>
      <w:color w:val="404040" w:themeColor="text1" w:themeTint="BF"/>
    </w:rPr>
  </w:style>
  <w:style w:type="paragraph" w:styleId="Paragraphedeliste">
    <w:name w:val="List Paragraph"/>
    <w:basedOn w:val="Normal"/>
    <w:uiPriority w:val="34"/>
    <w:qFormat/>
    <w:rsid w:val="002B3D6E"/>
    <w:pPr>
      <w:ind w:left="720"/>
      <w:contextualSpacing/>
    </w:pPr>
  </w:style>
  <w:style w:type="character" w:styleId="Accentuationintense">
    <w:name w:val="Intense Emphasis"/>
    <w:basedOn w:val="Policepardfaut"/>
    <w:uiPriority w:val="21"/>
    <w:qFormat/>
    <w:rsid w:val="002B3D6E"/>
    <w:rPr>
      <w:i/>
      <w:iCs/>
      <w:color w:val="0F4761" w:themeColor="accent1" w:themeShade="BF"/>
    </w:rPr>
  </w:style>
  <w:style w:type="paragraph" w:styleId="Citationintense">
    <w:name w:val="Intense Quote"/>
    <w:basedOn w:val="Normal"/>
    <w:next w:val="Normal"/>
    <w:link w:val="CitationintenseCar"/>
    <w:uiPriority w:val="30"/>
    <w:qFormat/>
    <w:rsid w:val="002B3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3D6E"/>
    <w:rPr>
      <w:i/>
      <w:iCs/>
      <w:color w:val="0F4761" w:themeColor="accent1" w:themeShade="BF"/>
    </w:rPr>
  </w:style>
  <w:style w:type="character" w:styleId="Rfrenceintense">
    <w:name w:val="Intense Reference"/>
    <w:basedOn w:val="Policepardfaut"/>
    <w:uiPriority w:val="32"/>
    <w:qFormat/>
    <w:rsid w:val="002B3D6E"/>
    <w:rPr>
      <w:b/>
      <w:bCs/>
      <w:smallCaps/>
      <w:color w:val="0F4761" w:themeColor="accent1" w:themeShade="BF"/>
      <w:spacing w:val="5"/>
    </w:rPr>
  </w:style>
  <w:style w:type="paragraph" w:styleId="NormalWeb">
    <w:name w:val="Normal (Web)"/>
    <w:basedOn w:val="Normal"/>
    <w:uiPriority w:val="99"/>
    <w:unhideWhenUsed/>
    <w:rsid w:val="002B3D6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relative">
    <w:name w:val="relative"/>
    <w:basedOn w:val="Policepardfaut"/>
    <w:rsid w:val="002B3D6E"/>
  </w:style>
  <w:style w:type="character" w:styleId="lev">
    <w:name w:val="Strong"/>
    <w:basedOn w:val="Policepardfaut"/>
    <w:uiPriority w:val="22"/>
    <w:qFormat/>
    <w:rsid w:val="009E3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07415">
      <w:bodyDiv w:val="1"/>
      <w:marLeft w:val="0"/>
      <w:marRight w:val="0"/>
      <w:marTop w:val="0"/>
      <w:marBottom w:val="0"/>
      <w:divBdr>
        <w:top w:val="none" w:sz="0" w:space="0" w:color="auto"/>
        <w:left w:val="none" w:sz="0" w:space="0" w:color="auto"/>
        <w:bottom w:val="none" w:sz="0" w:space="0" w:color="auto"/>
        <w:right w:val="none" w:sz="0" w:space="0" w:color="auto"/>
      </w:divBdr>
      <w:divsChild>
        <w:div w:id="1414550714">
          <w:marLeft w:val="0"/>
          <w:marRight w:val="0"/>
          <w:marTop w:val="0"/>
          <w:marBottom w:val="0"/>
          <w:divBdr>
            <w:top w:val="none" w:sz="0" w:space="0" w:color="auto"/>
            <w:left w:val="none" w:sz="0" w:space="0" w:color="auto"/>
            <w:bottom w:val="none" w:sz="0" w:space="0" w:color="auto"/>
            <w:right w:val="none" w:sz="0" w:space="0" w:color="auto"/>
          </w:divBdr>
        </w:div>
        <w:div w:id="623999773">
          <w:marLeft w:val="0"/>
          <w:marRight w:val="0"/>
          <w:marTop w:val="0"/>
          <w:marBottom w:val="0"/>
          <w:divBdr>
            <w:top w:val="none" w:sz="0" w:space="0" w:color="auto"/>
            <w:left w:val="none" w:sz="0" w:space="0" w:color="auto"/>
            <w:bottom w:val="none" w:sz="0" w:space="0" w:color="auto"/>
            <w:right w:val="none" w:sz="0" w:space="0" w:color="auto"/>
          </w:divBdr>
        </w:div>
        <w:div w:id="224492024">
          <w:marLeft w:val="0"/>
          <w:marRight w:val="0"/>
          <w:marTop w:val="0"/>
          <w:marBottom w:val="0"/>
          <w:divBdr>
            <w:top w:val="none" w:sz="0" w:space="0" w:color="auto"/>
            <w:left w:val="none" w:sz="0" w:space="0" w:color="auto"/>
            <w:bottom w:val="none" w:sz="0" w:space="0" w:color="auto"/>
            <w:right w:val="none" w:sz="0" w:space="0" w:color="auto"/>
          </w:divBdr>
        </w:div>
        <w:div w:id="1783963198">
          <w:marLeft w:val="0"/>
          <w:marRight w:val="0"/>
          <w:marTop w:val="0"/>
          <w:marBottom w:val="0"/>
          <w:divBdr>
            <w:top w:val="none" w:sz="0" w:space="0" w:color="auto"/>
            <w:left w:val="none" w:sz="0" w:space="0" w:color="auto"/>
            <w:bottom w:val="none" w:sz="0" w:space="0" w:color="auto"/>
            <w:right w:val="none" w:sz="0" w:space="0" w:color="auto"/>
          </w:divBdr>
        </w:div>
      </w:divsChild>
    </w:div>
    <w:div w:id="1210338560">
      <w:bodyDiv w:val="1"/>
      <w:marLeft w:val="0"/>
      <w:marRight w:val="0"/>
      <w:marTop w:val="0"/>
      <w:marBottom w:val="0"/>
      <w:divBdr>
        <w:top w:val="none" w:sz="0" w:space="0" w:color="auto"/>
        <w:left w:val="none" w:sz="0" w:space="0" w:color="auto"/>
        <w:bottom w:val="none" w:sz="0" w:space="0" w:color="auto"/>
        <w:right w:val="none" w:sz="0" w:space="0" w:color="auto"/>
      </w:divBdr>
    </w:div>
    <w:div w:id="20042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512</Words>
  <Characters>2746</Characters>
  <Application>Microsoft Office Word</Application>
  <DocSecurity>0</DocSecurity>
  <Lines>49</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Caby</dc:creator>
  <cp:keywords/>
  <dc:description/>
  <cp:lastModifiedBy>Jérôme Caby</cp:lastModifiedBy>
  <cp:revision>25</cp:revision>
  <dcterms:created xsi:type="dcterms:W3CDTF">2025-05-27T15:07:00Z</dcterms:created>
  <dcterms:modified xsi:type="dcterms:W3CDTF">2025-07-11T11:57:00Z</dcterms:modified>
</cp:coreProperties>
</file>