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9D0C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9773E">
        <w:rPr>
          <w:rFonts w:ascii="Times New Roman" w:hAnsi="Times New Roman" w:cs="Times New Roman"/>
          <w:smallCaps/>
          <w:sz w:val="24"/>
          <w:szCs w:val="24"/>
        </w:rPr>
        <w:t>Université Paris 1 Panthéon-Sorbonne – Ecole de droit de la Sorbonne</w:t>
      </w:r>
    </w:p>
    <w:p w14:paraId="759BB929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>Master 2 Droit international privé et du commerce international</w:t>
      </w:r>
    </w:p>
    <w:p w14:paraId="721B57FF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773E">
        <w:rPr>
          <w:rFonts w:ascii="Times New Roman" w:hAnsi="Times New Roman" w:cs="Times New Roman"/>
          <w:i/>
          <w:iCs/>
          <w:sz w:val="24"/>
          <w:szCs w:val="24"/>
        </w:rPr>
        <w:t>Droit international privé approfondi</w:t>
      </w:r>
    </w:p>
    <w:p w14:paraId="1E0BC674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73E">
        <w:rPr>
          <w:rFonts w:ascii="Times New Roman" w:hAnsi="Times New Roman" w:cs="Times New Roman"/>
          <w:b/>
          <w:sz w:val="24"/>
          <w:szCs w:val="24"/>
        </w:rPr>
        <w:t>Le droit international privé face aux mutations des sources du droit</w:t>
      </w:r>
    </w:p>
    <w:p w14:paraId="44C90A83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50A2B" w14:textId="43FFA14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Séance </w:t>
      </w:r>
      <w:r w:rsidR="005B3D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B0423" w:rsidRPr="007B0423">
        <w:rPr>
          <w:rFonts w:ascii="Times New Roman" w:hAnsi="Times New Roman" w:cs="Times New Roman"/>
          <w:b/>
          <w:bCs/>
          <w:sz w:val="24"/>
          <w:szCs w:val="24"/>
        </w:rPr>
        <w:t>Les limites de la mise en œuvre du système de sources d</w:t>
      </w:r>
      <w:r w:rsidR="001C3F60">
        <w:rPr>
          <w:rFonts w:ascii="Times New Roman" w:hAnsi="Times New Roman" w:cs="Times New Roman"/>
          <w:b/>
          <w:bCs/>
          <w:sz w:val="24"/>
          <w:szCs w:val="24"/>
        </w:rPr>
        <w:t xml:space="preserve">e loi </w:t>
      </w:r>
      <w:r w:rsidR="007B0423" w:rsidRPr="007B0423">
        <w:rPr>
          <w:rFonts w:ascii="Times New Roman" w:hAnsi="Times New Roman" w:cs="Times New Roman"/>
          <w:b/>
          <w:bCs/>
          <w:sz w:val="24"/>
          <w:szCs w:val="24"/>
        </w:rPr>
        <w:t>désigné</w:t>
      </w:r>
      <w:r w:rsidR="001C3F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B0423" w:rsidRPr="007B0423">
        <w:rPr>
          <w:rFonts w:ascii="Times New Roman" w:hAnsi="Times New Roman" w:cs="Times New Roman"/>
          <w:b/>
          <w:bCs/>
          <w:sz w:val="24"/>
          <w:szCs w:val="24"/>
        </w:rPr>
        <w:t xml:space="preserve"> par la règle de conflit</w:t>
      </w:r>
    </w:p>
    <w:p w14:paraId="298417DF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4906A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773E">
        <w:rPr>
          <w:rFonts w:ascii="Times New Roman" w:hAnsi="Times New Roman" w:cs="Times New Roman"/>
          <w:sz w:val="24"/>
          <w:szCs w:val="24"/>
          <w:u w:val="single"/>
        </w:rPr>
        <w:t>Plan</w:t>
      </w:r>
    </w:p>
    <w:p w14:paraId="1D751A83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6CB90" w14:textId="7C387023" w:rsidR="00ED477B" w:rsidRPr="00C9773E" w:rsidRDefault="00AE5A1D" w:rsidP="00ED477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C92">
        <w:rPr>
          <w:rFonts w:ascii="Times New Roman" w:hAnsi="Times New Roman" w:cs="Times New Roman"/>
          <w:b/>
          <w:bCs/>
          <w:sz w:val="24"/>
          <w:szCs w:val="24"/>
        </w:rPr>
        <w:t>L’admissibilité du contrôle de constitutionnalité ou de conventionnalité de la loi étrangère</w:t>
      </w:r>
    </w:p>
    <w:p w14:paraId="3E3C2117" w14:textId="4A80E7F3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F2753" w14:textId="4CF4B7D5" w:rsidR="00ED477B" w:rsidRPr="00165C61" w:rsidRDefault="00165C61" w:rsidP="00ED477B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65C61">
        <w:rPr>
          <w:rFonts w:ascii="Times New Roman" w:hAnsi="Times New Roman" w:cs="Times New Roman"/>
          <w:i/>
          <w:iCs/>
          <w:sz w:val="24"/>
          <w:szCs w:val="24"/>
          <w:u w:val="single"/>
        </w:rPr>
        <w:t>Admissibilité du contrôle de la loi étrangère en vertu des normes constitutionnelles et conventionnelles du for</w:t>
      </w:r>
    </w:p>
    <w:p w14:paraId="75EE35A5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DBB71" w14:textId="34B35A02" w:rsidR="00ED477B" w:rsidRPr="00346886" w:rsidRDefault="00346886" w:rsidP="00ED477B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46886">
        <w:rPr>
          <w:rFonts w:ascii="Times New Roman" w:hAnsi="Times New Roman" w:cs="Times New Roman"/>
          <w:i/>
          <w:iCs/>
          <w:sz w:val="24"/>
          <w:szCs w:val="24"/>
          <w:u w:val="single"/>
        </w:rPr>
        <w:t>Admissibilité du contrôle de la loi étrangère en vertu des normes constitutionnelles et conventionnelles étrangères</w:t>
      </w:r>
    </w:p>
    <w:p w14:paraId="3890ACCD" w14:textId="5BD2771F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0D826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E37AA" w14:textId="1E211A25" w:rsidR="00ED477B" w:rsidRPr="00C9773E" w:rsidRDefault="001D570C" w:rsidP="00ED477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8AD">
        <w:rPr>
          <w:rFonts w:ascii="Times New Roman" w:hAnsi="Times New Roman" w:cs="Times New Roman"/>
          <w:b/>
          <w:bCs/>
          <w:sz w:val="24"/>
          <w:szCs w:val="24"/>
        </w:rPr>
        <w:t>Les obstacles au contrôle de constitutionnalité ou de conventionnalité de la loi étrangère</w:t>
      </w:r>
    </w:p>
    <w:p w14:paraId="393A3319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8C724B8" w14:textId="2CF7B431" w:rsidR="00ED477B" w:rsidRPr="009A1101" w:rsidRDefault="009A1101" w:rsidP="00ED477B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</w:pPr>
      <w:r w:rsidRPr="009A1101">
        <w:rPr>
          <w:rFonts w:ascii="Times New Roman" w:hAnsi="Times New Roman" w:cs="Times New Roman"/>
          <w:i/>
          <w:iCs/>
          <w:sz w:val="24"/>
          <w:szCs w:val="24"/>
          <w:u w:val="single"/>
        </w:rPr>
        <w:t>L’extériorité du juge du for par rapport à l’organisation judiciaire étrangère</w:t>
      </w:r>
    </w:p>
    <w:p w14:paraId="5AD86A21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6C522C" w14:textId="5A821750" w:rsidR="00ED477B" w:rsidRPr="0072360D" w:rsidRDefault="0072360D" w:rsidP="00ED477B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</w:pPr>
      <w:r w:rsidRPr="0072360D">
        <w:rPr>
          <w:rFonts w:ascii="Times New Roman" w:hAnsi="Times New Roman" w:cs="Times New Roman"/>
          <w:i/>
          <w:iCs/>
          <w:sz w:val="24"/>
          <w:szCs w:val="24"/>
          <w:u w:val="single"/>
        </w:rPr>
        <w:t>L’absence de pouvoir créateur du juge du for en droit étranger</w:t>
      </w:r>
    </w:p>
    <w:p w14:paraId="45994830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00F02E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0ADAEC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773E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Documents à étudier</w:t>
      </w:r>
    </w:p>
    <w:p w14:paraId="19171EE0" w14:textId="3E0C9492" w:rsidR="00EF59C9" w:rsidRDefault="00ED477B" w:rsidP="00EF5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3E">
        <w:rPr>
          <w:rFonts w:ascii="Times New Roman" w:hAnsi="Times New Roman" w:cs="Times New Roman"/>
          <w:sz w:val="24"/>
          <w:szCs w:val="24"/>
        </w:rPr>
        <w:t xml:space="preserve">* </w:t>
      </w:r>
      <w:r w:rsidR="00EF59C9">
        <w:rPr>
          <w:rFonts w:ascii="Times New Roman" w:hAnsi="Times New Roman" w:cs="Times New Roman"/>
          <w:sz w:val="24"/>
          <w:szCs w:val="24"/>
        </w:rPr>
        <w:t xml:space="preserve">P. Lagarde, « Rapport de synthèse », </w:t>
      </w:r>
      <w:r w:rsidR="00EF59C9" w:rsidRPr="000116CD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EF59C9" w:rsidRPr="000116CD">
        <w:rPr>
          <w:rFonts w:ascii="Times New Roman" w:hAnsi="Times New Roman" w:cs="Times New Roman"/>
          <w:sz w:val="24"/>
          <w:szCs w:val="24"/>
        </w:rPr>
        <w:t xml:space="preserve"> G. Cerqueira et N. Nord (dir.), </w:t>
      </w:r>
      <w:r w:rsidR="00EF59C9" w:rsidRPr="000116CD">
        <w:rPr>
          <w:rFonts w:ascii="Times New Roman" w:hAnsi="Times New Roman" w:cs="Times New Roman"/>
          <w:i/>
          <w:iCs/>
          <w:sz w:val="24"/>
          <w:szCs w:val="24"/>
        </w:rPr>
        <w:t>Contrôle de constitutionnalité et de conventionnalité du droit étranger</w:t>
      </w:r>
      <w:r w:rsidR="00EF59C9" w:rsidRPr="000116CD">
        <w:rPr>
          <w:rFonts w:ascii="Times New Roman" w:hAnsi="Times New Roman" w:cs="Times New Roman"/>
          <w:sz w:val="24"/>
          <w:szCs w:val="24"/>
        </w:rPr>
        <w:t>, SLC, 2017, p. 265</w:t>
      </w:r>
      <w:r w:rsidR="00EF59C9">
        <w:rPr>
          <w:rFonts w:ascii="Times New Roman" w:hAnsi="Times New Roman" w:cs="Times New Roman"/>
          <w:sz w:val="24"/>
          <w:szCs w:val="24"/>
        </w:rPr>
        <w:t> ;</w:t>
      </w:r>
    </w:p>
    <w:p w14:paraId="2708351E" w14:textId="46A981B2" w:rsidR="00EF59C9" w:rsidRPr="00450A8C" w:rsidRDefault="00EF59C9" w:rsidP="00EF5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027C0">
        <w:rPr>
          <w:rFonts w:ascii="Times New Roman" w:hAnsi="Times New Roman" w:cs="Times New Roman"/>
          <w:sz w:val="24"/>
          <w:szCs w:val="24"/>
        </w:rPr>
        <w:t>Cass. civ. 1</w:t>
      </w:r>
      <w:r w:rsidRPr="004027C0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 w:rsidRPr="004027C0">
        <w:rPr>
          <w:rFonts w:ascii="Times New Roman" w:hAnsi="Times New Roman" w:cs="Times New Roman"/>
          <w:sz w:val="24"/>
          <w:szCs w:val="24"/>
        </w:rPr>
        <w:t xml:space="preserve">, 31 janv. 1990, n° 87-18.955, </w:t>
      </w:r>
      <w:r w:rsidRPr="004027C0">
        <w:rPr>
          <w:rFonts w:ascii="Times New Roman" w:hAnsi="Times New Roman" w:cs="Times New Roman"/>
          <w:i/>
          <w:iCs/>
          <w:sz w:val="24"/>
          <w:szCs w:val="24"/>
        </w:rPr>
        <w:t>Pistre</w:t>
      </w:r>
      <w:r w:rsidR="00450A8C" w:rsidRPr="00FA3134">
        <w:rPr>
          <w:rFonts w:ascii="Times New Roman" w:hAnsi="Times New Roman" w:cs="Times New Roman"/>
          <w:sz w:val="24"/>
          <w:szCs w:val="24"/>
        </w:rPr>
        <w:t>,</w:t>
      </w:r>
      <w:r w:rsidR="00450A8C">
        <w:rPr>
          <w:rFonts w:ascii="Times New Roman" w:hAnsi="Times New Roman" w:cs="Times New Roman"/>
          <w:sz w:val="24"/>
          <w:szCs w:val="24"/>
        </w:rPr>
        <w:t xml:space="preserve"> </w:t>
      </w:r>
      <w:r w:rsidR="00450A8C" w:rsidRPr="004027C0">
        <w:rPr>
          <w:rFonts w:ascii="Times New Roman" w:hAnsi="Times New Roman" w:cs="Times New Roman"/>
          <w:i/>
          <w:iCs/>
          <w:sz w:val="24"/>
          <w:szCs w:val="24"/>
        </w:rPr>
        <w:t>Bull</w:t>
      </w:r>
      <w:r w:rsidR="00450A8C">
        <w:rPr>
          <w:rFonts w:ascii="Times New Roman" w:hAnsi="Times New Roman" w:cs="Times New Roman"/>
          <w:sz w:val="24"/>
          <w:szCs w:val="24"/>
        </w:rPr>
        <w:t>. n° 29 ;</w:t>
      </w:r>
    </w:p>
    <w:p w14:paraId="00EA8D27" w14:textId="6529FC41" w:rsidR="00EF59C9" w:rsidRDefault="004E138D" w:rsidP="00EF5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EF59C9" w:rsidRPr="004027C0">
        <w:rPr>
          <w:rFonts w:ascii="Times New Roman" w:hAnsi="Times New Roman" w:cs="Times New Roman"/>
          <w:sz w:val="24"/>
          <w:szCs w:val="24"/>
        </w:rPr>
        <w:t>Cass. civ. 1</w:t>
      </w:r>
      <w:r w:rsidR="00EF59C9" w:rsidRPr="004027C0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 w:rsidR="00EF59C9" w:rsidRPr="004027C0">
        <w:rPr>
          <w:rFonts w:ascii="Times New Roman" w:hAnsi="Times New Roman" w:cs="Times New Roman"/>
          <w:sz w:val="24"/>
          <w:szCs w:val="24"/>
        </w:rPr>
        <w:t>, 17 févr. 2004, n° 01-11.549</w:t>
      </w:r>
      <w:r w:rsidR="00EF59C9" w:rsidRPr="00FA3134">
        <w:rPr>
          <w:rFonts w:ascii="Times New Roman" w:hAnsi="Times New Roman" w:cs="Times New Roman"/>
          <w:sz w:val="24"/>
          <w:szCs w:val="24"/>
        </w:rPr>
        <w:t>,</w:t>
      </w:r>
      <w:r w:rsidR="00EF59C9">
        <w:rPr>
          <w:rFonts w:ascii="Times New Roman" w:hAnsi="Times New Roman" w:cs="Times New Roman"/>
          <w:sz w:val="24"/>
          <w:szCs w:val="24"/>
        </w:rPr>
        <w:t xml:space="preserve"> </w:t>
      </w:r>
      <w:r w:rsidR="00EF59C9" w:rsidRPr="004027C0">
        <w:rPr>
          <w:rFonts w:ascii="Times New Roman" w:hAnsi="Times New Roman" w:cs="Times New Roman"/>
          <w:i/>
          <w:iCs/>
          <w:sz w:val="24"/>
          <w:szCs w:val="24"/>
        </w:rPr>
        <w:t>Bull</w:t>
      </w:r>
      <w:r w:rsidR="00EF59C9">
        <w:rPr>
          <w:rFonts w:ascii="Times New Roman" w:hAnsi="Times New Roman" w:cs="Times New Roman"/>
          <w:sz w:val="24"/>
          <w:szCs w:val="24"/>
        </w:rPr>
        <w:t xml:space="preserve">. </w:t>
      </w:r>
      <w:r w:rsidR="00C06649">
        <w:rPr>
          <w:rFonts w:ascii="Times New Roman" w:hAnsi="Times New Roman" w:cs="Times New Roman"/>
          <w:sz w:val="24"/>
          <w:szCs w:val="24"/>
        </w:rPr>
        <w:t>n° 47 ;</w:t>
      </w:r>
    </w:p>
    <w:p w14:paraId="4135CF0F" w14:textId="1FEFD1D6" w:rsidR="00EF59C9" w:rsidRDefault="004E138D" w:rsidP="00EF5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626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="00EF59C9" w:rsidRPr="006F6626">
        <w:rPr>
          <w:rFonts w:ascii="Times New Roman" w:hAnsi="Times New Roman" w:cs="Times New Roman"/>
          <w:sz w:val="24"/>
          <w:szCs w:val="24"/>
          <w:lang w:val="en-US"/>
        </w:rPr>
        <w:t xml:space="preserve">Paris, 24 nov. 2011, </w:t>
      </w:r>
      <w:r w:rsidR="00EF59C9" w:rsidRPr="006F6626">
        <w:rPr>
          <w:rFonts w:ascii="Times New Roman" w:hAnsi="Times New Roman" w:cs="Times New Roman"/>
          <w:i/>
          <w:iCs/>
          <w:sz w:val="24"/>
          <w:szCs w:val="24"/>
          <w:lang w:val="en-US"/>
        </w:rPr>
        <w:t>Natgas</w:t>
      </w:r>
      <w:r w:rsidR="00EF59C9" w:rsidRPr="006F66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F59C9" w:rsidRPr="006F6626">
        <w:rPr>
          <w:rFonts w:ascii="Times New Roman" w:hAnsi="Times New Roman" w:cs="Times New Roman"/>
          <w:i/>
          <w:iCs/>
          <w:sz w:val="24"/>
          <w:szCs w:val="24"/>
          <w:lang w:val="en-US"/>
        </w:rPr>
        <w:t>Rev. arb</w:t>
      </w:r>
      <w:r w:rsidR="00EF59C9" w:rsidRPr="006F6626">
        <w:rPr>
          <w:rFonts w:ascii="Times New Roman" w:hAnsi="Times New Roman" w:cs="Times New Roman"/>
          <w:sz w:val="24"/>
          <w:szCs w:val="24"/>
          <w:lang w:val="en-US"/>
        </w:rPr>
        <w:t xml:space="preserve">. 2012. </w:t>
      </w:r>
      <w:r w:rsidR="00EF59C9" w:rsidRPr="00B5403C">
        <w:rPr>
          <w:rFonts w:ascii="Times New Roman" w:hAnsi="Times New Roman" w:cs="Times New Roman"/>
          <w:sz w:val="24"/>
          <w:szCs w:val="24"/>
        </w:rPr>
        <w:t>134, note M. Laazouzi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01DC43F2" w14:textId="4234D423" w:rsidR="00ED477B" w:rsidRDefault="004E138D" w:rsidP="004E138D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EF59C9" w:rsidRPr="00F860CF">
        <w:rPr>
          <w:rFonts w:ascii="Times New Roman" w:hAnsi="Times New Roman" w:cs="Times New Roman"/>
          <w:sz w:val="24"/>
          <w:szCs w:val="24"/>
        </w:rPr>
        <w:t xml:space="preserve">Ass. Plén. 3 mai 2024, n° 21-21.615, </w:t>
      </w:r>
      <w:r w:rsidR="00EF59C9" w:rsidRPr="005B7CAA">
        <w:rPr>
          <w:rFonts w:ascii="Times New Roman" w:hAnsi="Times New Roman" w:cs="Times New Roman"/>
          <w:i/>
          <w:iCs/>
          <w:sz w:val="24"/>
          <w:szCs w:val="24"/>
        </w:rPr>
        <w:t>CACIB</w:t>
      </w:r>
      <w:r w:rsidR="00EF59C9">
        <w:rPr>
          <w:rFonts w:ascii="Times New Roman" w:hAnsi="Times New Roman" w:cs="Times New Roman"/>
          <w:sz w:val="24"/>
          <w:szCs w:val="24"/>
        </w:rPr>
        <w:t xml:space="preserve">, </w:t>
      </w:r>
      <w:r w:rsidR="003F3162">
        <w:rPr>
          <w:rFonts w:ascii="Times New Roman" w:hAnsi="Times New Roman" w:cs="Times New Roman"/>
          <w:sz w:val="24"/>
          <w:szCs w:val="24"/>
        </w:rPr>
        <w:t xml:space="preserve">publié au </w:t>
      </w:r>
      <w:r w:rsidR="00EF59C9" w:rsidRPr="005B7CAA">
        <w:rPr>
          <w:rFonts w:ascii="Times New Roman" w:hAnsi="Times New Roman" w:cs="Times New Roman"/>
          <w:i/>
          <w:iCs/>
          <w:sz w:val="24"/>
          <w:szCs w:val="24"/>
        </w:rPr>
        <w:t>Bull</w:t>
      </w:r>
      <w:r w:rsidR="00EF59C9">
        <w:rPr>
          <w:rFonts w:ascii="Times New Roman" w:hAnsi="Times New Roman" w:cs="Times New Roman"/>
          <w:sz w:val="24"/>
          <w:szCs w:val="24"/>
        </w:rPr>
        <w:t>.</w:t>
      </w:r>
    </w:p>
    <w:sectPr w:rsidR="00ED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7D5"/>
    <w:multiLevelType w:val="hybridMultilevel"/>
    <w:tmpl w:val="983CDD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D1B1A"/>
    <w:multiLevelType w:val="hybridMultilevel"/>
    <w:tmpl w:val="8D78C1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E5C1B"/>
    <w:multiLevelType w:val="hybridMultilevel"/>
    <w:tmpl w:val="9DD44DC6"/>
    <w:lvl w:ilvl="0" w:tplc="AEE89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43BB4"/>
    <w:multiLevelType w:val="hybridMultilevel"/>
    <w:tmpl w:val="0F94E97E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7B"/>
    <w:rsid w:val="00165C61"/>
    <w:rsid w:val="001C3F60"/>
    <w:rsid w:val="001D570C"/>
    <w:rsid w:val="002A1E63"/>
    <w:rsid w:val="00346886"/>
    <w:rsid w:val="00362560"/>
    <w:rsid w:val="003F3162"/>
    <w:rsid w:val="00450A8C"/>
    <w:rsid w:val="004E138D"/>
    <w:rsid w:val="005B3D2E"/>
    <w:rsid w:val="006F6626"/>
    <w:rsid w:val="0072360D"/>
    <w:rsid w:val="007B0423"/>
    <w:rsid w:val="008235FF"/>
    <w:rsid w:val="00844EBE"/>
    <w:rsid w:val="00962CCA"/>
    <w:rsid w:val="009A1101"/>
    <w:rsid w:val="00AE5A1D"/>
    <w:rsid w:val="00C06649"/>
    <w:rsid w:val="00C9773E"/>
    <w:rsid w:val="00EA66E7"/>
    <w:rsid w:val="00ED477B"/>
    <w:rsid w:val="00EF59C9"/>
    <w:rsid w:val="00F12D0E"/>
    <w:rsid w:val="00F53977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A748"/>
  <w15:chartTrackingRefBased/>
  <w15:docId w15:val="{FC933C19-575D-4F42-A921-80080EED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7B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477B"/>
    <w:pPr>
      <w:ind w:left="720"/>
      <w:contextualSpacing/>
    </w:pPr>
  </w:style>
  <w:style w:type="character" w:styleId="lev">
    <w:name w:val="Strong"/>
    <w:uiPriority w:val="22"/>
    <w:qFormat/>
    <w:rsid w:val="00ED477B"/>
    <w:rPr>
      <w:b/>
      <w:bCs/>
    </w:rPr>
  </w:style>
  <w:style w:type="character" w:customStyle="1" w:styleId="documentfirstua">
    <w:name w:val="documentfirstua"/>
    <w:basedOn w:val="Policepardfaut"/>
    <w:rsid w:val="0082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19</cp:revision>
  <dcterms:created xsi:type="dcterms:W3CDTF">2025-02-18T14:48:00Z</dcterms:created>
  <dcterms:modified xsi:type="dcterms:W3CDTF">2026-01-09T16:02:00Z</dcterms:modified>
</cp:coreProperties>
</file>