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7332B17D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Séance</w:t>
      </w:r>
      <w:r w:rsidR="00AF23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B5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3D8">
        <w:rPr>
          <w:rFonts w:ascii="Times New Roman" w:hAnsi="Times New Roman" w:cs="Times New Roman"/>
          <w:b/>
          <w:bCs/>
          <w:sz w:val="24"/>
          <w:szCs w:val="24"/>
        </w:rPr>
        <w:t xml:space="preserve">et 11 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6B025F">
        <w:rPr>
          <w:rFonts w:ascii="Times New Roman" w:hAnsi="Times New Roman" w:cs="Times New Roman"/>
          <w:b/>
          <w:bCs/>
          <w:sz w:val="24"/>
          <w:szCs w:val="24"/>
        </w:rPr>
        <w:t xml:space="preserve"> résolution des conflits entre 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>source</w:t>
      </w:r>
      <w:r w:rsidR="006B02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 xml:space="preserve"> du droit international privé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4830" w14:textId="40B99CD2" w:rsidR="00ED477B" w:rsidRPr="00AE7197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6123BE46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6596" w14:textId="3CF43A19" w:rsidR="00AE7197" w:rsidRDefault="003A7FA4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B5">
        <w:rPr>
          <w:rFonts w:ascii="Times New Roman" w:hAnsi="Times New Roman" w:cs="Times New Roman"/>
          <w:b/>
          <w:bCs/>
          <w:sz w:val="24"/>
          <w:szCs w:val="24"/>
        </w:rPr>
        <w:t xml:space="preserve">Les conflits entre sources </w:t>
      </w:r>
      <w:r>
        <w:rPr>
          <w:rFonts w:ascii="Times New Roman" w:hAnsi="Times New Roman" w:cs="Times New Roman"/>
          <w:b/>
          <w:bCs/>
          <w:sz w:val="24"/>
          <w:szCs w:val="24"/>
        </w:rPr>
        <w:t>nationales et supranationales</w:t>
      </w:r>
    </w:p>
    <w:p w14:paraId="0D28FC80" w14:textId="1A93A458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476D9" w14:textId="12B53C2D" w:rsidR="006B025F" w:rsidRDefault="006B025F" w:rsidP="006B025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025F">
        <w:rPr>
          <w:rFonts w:ascii="Times New Roman" w:hAnsi="Times New Roman" w:cs="Times New Roman"/>
          <w:sz w:val="24"/>
          <w:szCs w:val="24"/>
          <w:u w:val="single"/>
        </w:rPr>
        <w:t>La primauté des sources supranationales</w:t>
      </w:r>
    </w:p>
    <w:p w14:paraId="6AF16BA9" w14:textId="77777777" w:rsidR="006B025F" w:rsidRPr="006B025F" w:rsidRDefault="006B025F" w:rsidP="006B0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03042" w14:textId="491A10B2" w:rsidR="006B025F" w:rsidRPr="006B025F" w:rsidRDefault="006B025F" w:rsidP="006B025F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25F">
        <w:rPr>
          <w:rFonts w:ascii="Times New Roman" w:hAnsi="Times New Roman" w:cs="Times New Roman"/>
          <w:sz w:val="24"/>
          <w:szCs w:val="24"/>
          <w:u w:val="single"/>
        </w:rPr>
        <w:t>La place résiduelle des sources nationales</w:t>
      </w:r>
    </w:p>
    <w:p w14:paraId="4C51F5D1" w14:textId="04B728B0" w:rsidR="006B025F" w:rsidRDefault="006B025F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08BE8" w14:textId="77777777" w:rsidR="00E45A36" w:rsidRDefault="00E45A36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8520" w14:textId="142DABCC" w:rsidR="00AE7197" w:rsidRDefault="003A7FA4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AB5">
        <w:rPr>
          <w:rFonts w:ascii="Times New Roman" w:hAnsi="Times New Roman" w:cs="Times New Roman"/>
          <w:b/>
          <w:bCs/>
          <w:sz w:val="24"/>
          <w:szCs w:val="24"/>
        </w:rPr>
        <w:t xml:space="preserve">Les conflits entre sources </w:t>
      </w:r>
      <w:r>
        <w:rPr>
          <w:rFonts w:ascii="Times New Roman" w:hAnsi="Times New Roman" w:cs="Times New Roman"/>
          <w:b/>
          <w:bCs/>
          <w:sz w:val="24"/>
          <w:szCs w:val="24"/>
        </w:rPr>
        <w:t>supranationales</w:t>
      </w:r>
    </w:p>
    <w:p w14:paraId="7FAC7314" w14:textId="77777777" w:rsidR="00153AEE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6DBB2" w14:textId="77777777" w:rsidR="003A7FA4" w:rsidRPr="00503DCA" w:rsidRDefault="003A7FA4" w:rsidP="003A7FA4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DCA">
        <w:rPr>
          <w:rFonts w:ascii="Times New Roman" w:hAnsi="Times New Roman" w:cs="Times New Roman"/>
          <w:sz w:val="24"/>
          <w:szCs w:val="24"/>
          <w:u w:val="single"/>
        </w:rPr>
        <w:t>La résolution des conflits par les textes</w:t>
      </w:r>
    </w:p>
    <w:p w14:paraId="67C7107B" w14:textId="77777777" w:rsidR="003A7FA4" w:rsidRPr="007222DF" w:rsidRDefault="003A7FA4" w:rsidP="003A7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53D27" w14:textId="77777777" w:rsidR="00576B51" w:rsidRPr="00503DCA" w:rsidRDefault="00576B51" w:rsidP="00576B51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3DCA">
        <w:rPr>
          <w:rFonts w:ascii="Times New Roman" w:hAnsi="Times New Roman" w:cs="Times New Roman"/>
          <w:sz w:val="24"/>
          <w:szCs w:val="24"/>
          <w:u w:val="single"/>
        </w:rPr>
        <w:t>La résolution des conflits par le juge</w:t>
      </w:r>
    </w:p>
    <w:p w14:paraId="1D87C714" w14:textId="77777777" w:rsidR="00576B51" w:rsidRDefault="00576B51" w:rsidP="0057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56AA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4085FC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432EC0BE" w14:textId="018A6D4B" w:rsidR="00E642B5" w:rsidRDefault="00D844EC" w:rsidP="00E642B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>Sur le champ d’application dans l’espace des règlements européens en matière de compétence internationale </w:t>
      </w:r>
      <w:r w:rsidR="00E642B5">
        <w:rPr>
          <w:rFonts w:ascii="Times New Roman" w:hAnsi="Times New Roman" w:cs="Times New Roman"/>
          <w:sz w:val="24"/>
          <w:szCs w:val="24"/>
        </w:rPr>
        <w:t>:</w:t>
      </w:r>
    </w:p>
    <w:p w14:paraId="5BAC9E5B" w14:textId="77777777" w:rsidR="00D844EC" w:rsidRPr="00634AE5" w:rsidRDefault="00D844EC" w:rsidP="00D84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4AE5">
        <w:rPr>
          <w:rFonts w:ascii="Times New Roman" w:hAnsi="Times New Roman" w:cs="Times New Roman"/>
          <w:sz w:val="24"/>
          <w:szCs w:val="24"/>
        </w:rPr>
        <w:t>ègl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AE5">
        <w:rPr>
          <w:rFonts w:ascii="Times New Roman" w:hAnsi="Times New Roman" w:cs="Times New Roman"/>
          <w:sz w:val="24"/>
          <w:szCs w:val="24"/>
        </w:rPr>
        <w:t xml:space="preserve">(UE) n° 1215/2012 du 12 déc. 2012 (Bruxelles I </w:t>
      </w:r>
      <w:r w:rsidRPr="00634AE5">
        <w:rPr>
          <w:rFonts w:ascii="Times New Roman" w:hAnsi="Times New Roman" w:cs="Times New Roman"/>
          <w:i/>
          <w:sz w:val="24"/>
          <w:szCs w:val="24"/>
        </w:rPr>
        <w:t>bis</w:t>
      </w:r>
      <w:r w:rsidRPr="00634A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AE5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AE5">
        <w:rPr>
          <w:rFonts w:ascii="Times New Roman" w:hAnsi="Times New Roman" w:cs="Times New Roman"/>
          <w:sz w:val="24"/>
          <w:szCs w:val="24"/>
        </w:rPr>
        <w:t xml:space="preserve"> 5 et 6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0843E06E" w14:textId="77777777" w:rsidR="00D844EC" w:rsidRPr="00634AE5" w:rsidRDefault="00D844EC" w:rsidP="00D84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4AE5">
        <w:rPr>
          <w:rFonts w:ascii="Times New Roman" w:hAnsi="Times New Roman" w:cs="Times New Roman"/>
          <w:sz w:val="24"/>
          <w:szCs w:val="24"/>
        </w:rPr>
        <w:t>ègl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AE5">
        <w:rPr>
          <w:rFonts w:ascii="Times New Roman" w:hAnsi="Times New Roman" w:cs="Times New Roman"/>
          <w:sz w:val="24"/>
          <w:szCs w:val="24"/>
        </w:rPr>
        <w:t xml:space="preserve">(UE) 2019/1111 du 25 juin 2019 (Bruxelles II </w:t>
      </w:r>
      <w:r w:rsidRPr="00634AE5">
        <w:rPr>
          <w:rFonts w:ascii="Times New Roman" w:hAnsi="Times New Roman" w:cs="Times New Roman"/>
          <w:i/>
          <w:sz w:val="24"/>
          <w:szCs w:val="24"/>
        </w:rPr>
        <w:t>ter</w:t>
      </w:r>
      <w:r w:rsidRPr="00634A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7195">
        <w:rPr>
          <w:rFonts w:ascii="Times New Roman" w:hAnsi="Times New Roman" w:cs="Times New Roman"/>
          <w:sz w:val="24"/>
          <w:szCs w:val="24"/>
        </w:rPr>
        <w:t xml:space="preserve"> </w:t>
      </w:r>
      <w:r w:rsidRPr="00634AE5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AE5">
        <w:rPr>
          <w:rFonts w:ascii="Times New Roman" w:hAnsi="Times New Roman" w:cs="Times New Roman"/>
          <w:sz w:val="24"/>
          <w:szCs w:val="24"/>
        </w:rPr>
        <w:t xml:space="preserve"> 6 et 14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2F05877F" w14:textId="77777777" w:rsidR="00D844EC" w:rsidRPr="00634AE5" w:rsidRDefault="00D844EC" w:rsidP="00D84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34AE5">
        <w:rPr>
          <w:rFonts w:ascii="Times New Roman" w:hAnsi="Times New Roman" w:cs="Times New Roman"/>
          <w:sz w:val="24"/>
          <w:szCs w:val="24"/>
        </w:rPr>
        <w:t>ègl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AE5">
        <w:rPr>
          <w:rFonts w:ascii="Times New Roman" w:hAnsi="Times New Roman" w:cs="Times New Roman"/>
          <w:sz w:val="24"/>
          <w:szCs w:val="24"/>
        </w:rPr>
        <w:t>(UE) n° 650/2012 du 4 juill. 2012 (Successions)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AE5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AE5">
        <w:rPr>
          <w:rFonts w:ascii="Times New Roman" w:hAnsi="Times New Roman" w:cs="Times New Roman"/>
          <w:sz w:val="24"/>
          <w:szCs w:val="24"/>
        </w:rPr>
        <w:t xml:space="preserve"> 10 et 11.</w:t>
      </w:r>
    </w:p>
    <w:p w14:paraId="3A048D47" w14:textId="77777777" w:rsidR="00D844EC" w:rsidRPr="00D844EC" w:rsidRDefault="00D844EC" w:rsidP="00D84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C8D52" w14:textId="2FD162FF" w:rsidR="00D844EC" w:rsidRDefault="00D844EC" w:rsidP="00E642B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>Sur le problème de l’effet réflexe :</w:t>
      </w:r>
    </w:p>
    <w:p w14:paraId="54D5D174" w14:textId="337FBA92" w:rsidR="0067414E" w:rsidRPr="00634AE5" w:rsidRDefault="0067414E" w:rsidP="006741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AE5">
        <w:rPr>
          <w:rFonts w:ascii="Times New Roman" w:hAnsi="Times New Roman" w:cs="Times New Roman"/>
          <w:bCs/>
          <w:sz w:val="24"/>
          <w:szCs w:val="24"/>
        </w:rPr>
        <w:t>* Cass. civ. 1</w:t>
      </w:r>
      <w:r w:rsidRPr="00634AE5">
        <w:rPr>
          <w:rFonts w:ascii="Times New Roman" w:hAnsi="Times New Roman" w:cs="Times New Roman"/>
          <w:bCs/>
          <w:sz w:val="24"/>
          <w:szCs w:val="24"/>
          <w:vertAlign w:val="superscript"/>
        </w:rPr>
        <w:t>re</w:t>
      </w:r>
      <w:r w:rsidRPr="00634AE5">
        <w:rPr>
          <w:rFonts w:ascii="Times New Roman" w:hAnsi="Times New Roman" w:cs="Times New Roman"/>
          <w:bCs/>
          <w:sz w:val="24"/>
          <w:szCs w:val="24"/>
        </w:rPr>
        <w:t>, 1</w:t>
      </w:r>
      <w:r w:rsidRPr="00634AE5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634AE5">
        <w:rPr>
          <w:rFonts w:ascii="Times New Roman" w:hAnsi="Times New Roman" w:cs="Times New Roman"/>
          <w:bCs/>
          <w:sz w:val="24"/>
          <w:szCs w:val="24"/>
        </w:rPr>
        <w:t xml:space="preserve"> déc. 2010, n° </w:t>
      </w:r>
      <w:r w:rsidRPr="00634AE5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09-70.132</w:t>
      </w:r>
      <w:r w:rsidR="00C86AB4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C86AB4">
        <w:rPr>
          <w:rStyle w:val="lev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Bull. </w:t>
      </w:r>
      <w:r w:rsidR="00C86AB4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n° 247</w:t>
      </w:r>
      <w:r w:rsidRPr="00634AE5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 ;</w:t>
      </w:r>
    </w:p>
    <w:p w14:paraId="29D13DA9" w14:textId="77777777" w:rsidR="0067414E" w:rsidRPr="00634AE5" w:rsidRDefault="0067414E" w:rsidP="00674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Règl. </w:t>
      </w:r>
      <w:r>
        <w:rPr>
          <w:rFonts w:ascii="Times New Roman" w:hAnsi="Times New Roman" w:cs="Times New Roman"/>
          <w:sz w:val="24"/>
          <w:szCs w:val="24"/>
        </w:rPr>
        <w:t xml:space="preserve">(UE) </w:t>
      </w:r>
      <w:r w:rsidRPr="00634AE5">
        <w:rPr>
          <w:rFonts w:ascii="Times New Roman" w:hAnsi="Times New Roman" w:cs="Times New Roman"/>
          <w:sz w:val="24"/>
          <w:szCs w:val="24"/>
        </w:rPr>
        <w:t xml:space="preserve">n° 1215/2012 du 12 déc. 2012 (Bruxelles I </w:t>
      </w:r>
      <w:r w:rsidRPr="00634AE5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634AE5">
        <w:rPr>
          <w:rFonts w:ascii="Times New Roman" w:hAnsi="Times New Roman" w:cs="Times New Roman"/>
          <w:sz w:val="24"/>
          <w:szCs w:val="24"/>
        </w:rPr>
        <w:t>), art. 33 et 34 ;</w:t>
      </w:r>
    </w:p>
    <w:p w14:paraId="5B375329" w14:textId="77777777" w:rsidR="0067414E" w:rsidRPr="00634AE5" w:rsidRDefault="0067414E" w:rsidP="00674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Règl. </w:t>
      </w:r>
      <w:r>
        <w:rPr>
          <w:rFonts w:ascii="Times New Roman" w:hAnsi="Times New Roman" w:cs="Times New Roman"/>
          <w:sz w:val="24"/>
          <w:szCs w:val="24"/>
        </w:rPr>
        <w:t xml:space="preserve">(UE) </w:t>
      </w:r>
      <w:r w:rsidRPr="00634AE5">
        <w:rPr>
          <w:rFonts w:ascii="Times New Roman" w:hAnsi="Times New Roman" w:cs="Times New Roman"/>
          <w:sz w:val="24"/>
          <w:szCs w:val="24"/>
        </w:rPr>
        <w:t>n° 650/2012 du 4 juill. 2012 (Successions), art. 12 ;</w:t>
      </w:r>
    </w:p>
    <w:p w14:paraId="747E32C5" w14:textId="77777777" w:rsidR="0067414E" w:rsidRPr="00634AE5" w:rsidRDefault="0067414E" w:rsidP="00674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lastRenderedPageBreak/>
        <w:t>* CJUE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4AE5">
        <w:rPr>
          <w:rFonts w:ascii="Times New Roman" w:hAnsi="Times New Roman" w:cs="Times New Roman"/>
          <w:sz w:val="24"/>
          <w:szCs w:val="24"/>
        </w:rPr>
        <w:t xml:space="preserve"> 25 févr. 2025, aff. C-339/22, </w:t>
      </w:r>
      <w:r w:rsidRPr="00634AE5">
        <w:rPr>
          <w:rFonts w:ascii="Times New Roman" w:hAnsi="Times New Roman" w:cs="Times New Roman"/>
          <w:i/>
          <w:iCs/>
          <w:sz w:val="24"/>
          <w:szCs w:val="24"/>
        </w:rPr>
        <w:t xml:space="preserve">BSH </w:t>
      </w:r>
      <w:r w:rsidRPr="00634AE5">
        <w:rPr>
          <w:rFonts w:ascii="Times New Roman" w:hAnsi="Times New Roman" w:cs="Times New Roman"/>
          <w:sz w:val="24"/>
          <w:szCs w:val="24"/>
        </w:rPr>
        <w:t xml:space="preserve">c. </w:t>
      </w:r>
      <w:r w:rsidRPr="00634AE5">
        <w:rPr>
          <w:rFonts w:ascii="Times New Roman" w:hAnsi="Times New Roman" w:cs="Times New Roman"/>
          <w:i/>
          <w:iCs/>
          <w:sz w:val="24"/>
          <w:szCs w:val="24"/>
        </w:rPr>
        <w:t>Electrolux</w:t>
      </w:r>
      <w:r w:rsidRPr="00634AE5">
        <w:rPr>
          <w:rFonts w:ascii="Times New Roman" w:hAnsi="Times New Roman" w:cs="Times New Roman"/>
          <w:sz w:val="24"/>
          <w:szCs w:val="24"/>
        </w:rPr>
        <w:t>.</w:t>
      </w:r>
    </w:p>
    <w:p w14:paraId="286E9878" w14:textId="77777777" w:rsidR="0067414E" w:rsidRPr="00B04E8A" w:rsidRDefault="0067414E" w:rsidP="0067414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343C1">
        <w:rPr>
          <w:rFonts w:ascii="Times New Roman" w:hAnsi="Times New Roman" w:cs="Times New Roman"/>
          <w:sz w:val="24"/>
          <w:szCs w:val="24"/>
        </w:rPr>
        <w:t>Cass. civ. 1</w:t>
      </w:r>
      <w:r w:rsidRPr="00F343C1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 w:rsidRPr="00F343C1">
        <w:rPr>
          <w:rFonts w:ascii="Times New Roman" w:hAnsi="Times New Roman" w:cs="Times New Roman"/>
          <w:sz w:val="24"/>
          <w:szCs w:val="24"/>
        </w:rPr>
        <w:t xml:space="preserve">, 18 juin 2025, n° </w:t>
      </w:r>
      <w:r w:rsidRPr="00F343C1">
        <w:rPr>
          <w:rStyle w:val="documentfirstua"/>
          <w:rFonts w:ascii="Times New Roman" w:hAnsi="Times New Roman" w:cs="Times New Roman"/>
          <w:sz w:val="24"/>
          <w:szCs w:val="24"/>
        </w:rPr>
        <w:t>23-21.709</w:t>
      </w:r>
      <w:r>
        <w:rPr>
          <w:rStyle w:val="documentfirstua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documentfirstua"/>
          <w:rFonts w:ascii="Times New Roman" w:hAnsi="Times New Roman" w:cs="Times New Roman"/>
          <w:i/>
          <w:iCs/>
          <w:sz w:val="24"/>
          <w:szCs w:val="24"/>
        </w:rPr>
        <w:t>J.J. Administration</w:t>
      </w:r>
      <w:r>
        <w:rPr>
          <w:rStyle w:val="documentfirstua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documentfirstua"/>
          <w:rFonts w:ascii="Times New Roman" w:hAnsi="Times New Roman" w:cs="Times New Roman"/>
          <w:i/>
          <w:iCs/>
          <w:sz w:val="24"/>
          <w:szCs w:val="24"/>
        </w:rPr>
        <w:t>Bull.</w:t>
      </w:r>
    </w:p>
    <w:p w14:paraId="62BE213D" w14:textId="77777777" w:rsidR="00D844EC" w:rsidRPr="00D844EC" w:rsidRDefault="00D844EC" w:rsidP="00D84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A5A92" w14:textId="746C4E1F" w:rsidR="00D844EC" w:rsidRDefault="00D844EC" w:rsidP="00E642B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>Sur la résolution des conflits entre instruments supranationaux de droit international privé par les textes :</w:t>
      </w:r>
    </w:p>
    <w:p w14:paraId="778B6D29" w14:textId="049E1B58" w:rsidR="00576B51" w:rsidRPr="00634AE5" w:rsidRDefault="00634AE5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6B51" w:rsidRPr="00634AE5">
        <w:rPr>
          <w:rFonts w:ascii="Times New Roman" w:hAnsi="Times New Roman" w:cs="Times New Roman"/>
          <w:sz w:val="24"/>
          <w:szCs w:val="24"/>
        </w:rPr>
        <w:t xml:space="preserve"> </w:t>
      </w:r>
      <w:r w:rsidR="00807122" w:rsidRPr="00634AE5">
        <w:rPr>
          <w:rFonts w:ascii="Times New Roman" w:hAnsi="Times New Roman" w:cs="Times New Roman"/>
          <w:sz w:val="24"/>
          <w:szCs w:val="24"/>
        </w:rPr>
        <w:t xml:space="preserve">Règl. </w:t>
      </w:r>
      <w:r w:rsidR="00937E66">
        <w:rPr>
          <w:rFonts w:ascii="Times New Roman" w:hAnsi="Times New Roman" w:cs="Times New Roman"/>
          <w:sz w:val="24"/>
          <w:szCs w:val="24"/>
        </w:rPr>
        <w:t xml:space="preserve">(UE) </w:t>
      </w:r>
      <w:r w:rsidR="00807122" w:rsidRPr="00634AE5">
        <w:rPr>
          <w:rFonts w:ascii="Times New Roman" w:hAnsi="Times New Roman" w:cs="Times New Roman"/>
          <w:sz w:val="24"/>
          <w:szCs w:val="24"/>
        </w:rPr>
        <w:t xml:space="preserve">n° 1215/2012 du 12 déc. 2012 (Bruxelles I </w:t>
      </w:r>
      <w:r w:rsidR="00807122" w:rsidRPr="00634AE5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807122" w:rsidRPr="00634AE5">
        <w:rPr>
          <w:rFonts w:ascii="Times New Roman" w:hAnsi="Times New Roman" w:cs="Times New Roman"/>
          <w:sz w:val="24"/>
          <w:szCs w:val="24"/>
        </w:rPr>
        <w:t xml:space="preserve">), </w:t>
      </w:r>
      <w:r w:rsidR="00576B51" w:rsidRPr="00634AE5">
        <w:rPr>
          <w:rFonts w:ascii="Times New Roman" w:hAnsi="Times New Roman" w:cs="Times New Roman"/>
          <w:sz w:val="24"/>
          <w:szCs w:val="24"/>
        </w:rPr>
        <w:t>art. 71 ;</w:t>
      </w:r>
    </w:p>
    <w:p w14:paraId="3AE7A5BF" w14:textId="2C0ADC32" w:rsidR="00576B51" w:rsidRPr="00634AE5" w:rsidRDefault="00634AE5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6B51" w:rsidRPr="00634AE5">
        <w:rPr>
          <w:rFonts w:ascii="Times New Roman" w:hAnsi="Times New Roman" w:cs="Times New Roman"/>
          <w:sz w:val="24"/>
          <w:szCs w:val="24"/>
        </w:rPr>
        <w:t xml:space="preserve"> Règl</w:t>
      </w:r>
      <w:r w:rsidR="00807122">
        <w:rPr>
          <w:rFonts w:ascii="Times New Roman" w:hAnsi="Times New Roman" w:cs="Times New Roman"/>
          <w:sz w:val="24"/>
          <w:szCs w:val="24"/>
        </w:rPr>
        <w:t>. (CE) n° 864/2007 du 11 juill. 2007 (</w:t>
      </w:r>
      <w:r w:rsidR="00576B51" w:rsidRPr="00634AE5">
        <w:rPr>
          <w:rFonts w:ascii="Times New Roman" w:hAnsi="Times New Roman" w:cs="Times New Roman"/>
          <w:sz w:val="24"/>
          <w:szCs w:val="24"/>
        </w:rPr>
        <w:t>Rome II</w:t>
      </w:r>
      <w:r w:rsidR="00807122">
        <w:rPr>
          <w:rFonts w:ascii="Times New Roman" w:hAnsi="Times New Roman" w:cs="Times New Roman"/>
          <w:sz w:val="24"/>
          <w:szCs w:val="24"/>
        </w:rPr>
        <w:t>)</w:t>
      </w:r>
      <w:r w:rsidR="00576B51" w:rsidRPr="00634AE5">
        <w:rPr>
          <w:rFonts w:ascii="Times New Roman" w:hAnsi="Times New Roman" w:cs="Times New Roman"/>
          <w:sz w:val="24"/>
          <w:szCs w:val="24"/>
        </w:rPr>
        <w:t>, art. 28 ;</w:t>
      </w:r>
    </w:p>
    <w:p w14:paraId="63CE60EF" w14:textId="0A0D8BB8" w:rsidR="00576B51" w:rsidRPr="00634AE5" w:rsidRDefault="00634AE5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6B51" w:rsidRPr="00634AE5">
        <w:rPr>
          <w:rFonts w:ascii="Times New Roman" w:hAnsi="Times New Roman" w:cs="Times New Roman"/>
          <w:sz w:val="24"/>
          <w:szCs w:val="24"/>
        </w:rPr>
        <w:t xml:space="preserve"> </w:t>
      </w:r>
      <w:r w:rsidR="00807122">
        <w:rPr>
          <w:rFonts w:ascii="Times New Roman" w:hAnsi="Times New Roman" w:cs="Times New Roman"/>
          <w:sz w:val="24"/>
          <w:szCs w:val="24"/>
        </w:rPr>
        <w:t>R</w:t>
      </w:r>
      <w:r w:rsidR="00807122" w:rsidRPr="00634AE5">
        <w:rPr>
          <w:rFonts w:ascii="Times New Roman" w:hAnsi="Times New Roman" w:cs="Times New Roman"/>
          <w:sz w:val="24"/>
          <w:szCs w:val="24"/>
        </w:rPr>
        <w:t>ègl</w:t>
      </w:r>
      <w:r w:rsidR="00807122">
        <w:rPr>
          <w:rFonts w:ascii="Times New Roman" w:hAnsi="Times New Roman" w:cs="Times New Roman"/>
          <w:sz w:val="24"/>
          <w:szCs w:val="24"/>
        </w:rPr>
        <w:t xml:space="preserve">. </w:t>
      </w:r>
      <w:r w:rsidR="00807122" w:rsidRPr="00634AE5">
        <w:rPr>
          <w:rFonts w:ascii="Times New Roman" w:hAnsi="Times New Roman" w:cs="Times New Roman"/>
          <w:sz w:val="24"/>
          <w:szCs w:val="24"/>
        </w:rPr>
        <w:t xml:space="preserve">(UE) 2019/1111 du 25 juin 2019 (Bruxelles II </w:t>
      </w:r>
      <w:r w:rsidR="00807122" w:rsidRPr="00634AE5">
        <w:rPr>
          <w:rFonts w:ascii="Times New Roman" w:hAnsi="Times New Roman" w:cs="Times New Roman"/>
          <w:i/>
          <w:sz w:val="24"/>
          <w:szCs w:val="24"/>
        </w:rPr>
        <w:t>ter</w:t>
      </w:r>
      <w:r w:rsidR="00807122" w:rsidRPr="00634AE5">
        <w:rPr>
          <w:rFonts w:ascii="Times New Roman" w:hAnsi="Times New Roman" w:cs="Times New Roman"/>
          <w:sz w:val="24"/>
          <w:szCs w:val="24"/>
        </w:rPr>
        <w:t>)</w:t>
      </w:r>
      <w:r w:rsidR="00807122">
        <w:rPr>
          <w:rFonts w:ascii="Times New Roman" w:hAnsi="Times New Roman" w:cs="Times New Roman"/>
          <w:sz w:val="24"/>
          <w:szCs w:val="24"/>
        </w:rPr>
        <w:t>,</w:t>
      </w:r>
      <w:r w:rsidR="00807122" w:rsidRPr="00787195">
        <w:rPr>
          <w:rFonts w:ascii="Times New Roman" w:hAnsi="Times New Roman" w:cs="Times New Roman"/>
          <w:sz w:val="24"/>
          <w:szCs w:val="24"/>
        </w:rPr>
        <w:t xml:space="preserve"> </w:t>
      </w:r>
      <w:r w:rsidR="00576B51" w:rsidRPr="00634AE5">
        <w:rPr>
          <w:rFonts w:ascii="Times New Roman" w:hAnsi="Times New Roman" w:cs="Times New Roman"/>
          <w:sz w:val="24"/>
          <w:szCs w:val="24"/>
        </w:rPr>
        <w:t>art. 97 ;</w:t>
      </w:r>
    </w:p>
    <w:p w14:paraId="7F6994C6" w14:textId="5F7120CB" w:rsidR="00576B51" w:rsidRPr="00634AE5" w:rsidRDefault="00634AE5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6B51" w:rsidRPr="00634AE5">
        <w:rPr>
          <w:rFonts w:ascii="Times New Roman" w:hAnsi="Times New Roman" w:cs="Times New Roman"/>
          <w:sz w:val="24"/>
          <w:szCs w:val="24"/>
        </w:rPr>
        <w:t xml:space="preserve"> Convention de La Haye du 30 juin 2005 sur les accords exclusifs d’élection de for, art. 26.</w:t>
      </w:r>
    </w:p>
    <w:p w14:paraId="3B4934A1" w14:textId="77777777" w:rsidR="00634AE5" w:rsidRDefault="00634AE5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D7BF9" w14:textId="20509146" w:rsidR="00576B51" w:rsidRPr="0067414E" w:rsidRDefault="0067414E" w:rsidP="00634AE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>Sur la résolution des conflits entre instruments supranationaux de droit international privé par le juge :</w:t>
      </w:r>
    </w:p>
    <w:p w14:paraId="3909C5AA" w14:textId="1B874EE5" w:rsidR="00576B51" w:rsidRPr="00B4285D" w:rsidRDefault="00576B51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6C">
        <w:rPr>
          <w:rFonts w:ascii="Times New Roman" w:hAnsi="Times New Roman" w:cs="Times New Roman"/>
          <w:sz w:val="24"/>
          <w:szCs w:val="24"/>
        </w:rPr>
        <w:t>* CJCE</w:t>
      </w:r>
      <w:r w:rsidR="00634AE5" w:rsidRPr="00121B6C">
        <w:rPr>
          <w:rFonts w:ascii="Times New Roman" w:hAnsi="Times New Roman" w:cs="Times New Roman"/>
          <w:sz w:val="24"/>
          <w:szCs w:val="24"/>
        </w:rPr>
        <w:t>,</w:t>
      </w:r>
      <w:r w:rsidRPr="00121B6C">
        <w:rPr>
          <w:rFonts w:ascii="Times New Roman" w:hAnsi="Times New Roman" w:cs="Times New Roman"/>
          <w:sz w:val="24"/>
          <w:szCs w:val="24"/>
        </w:rPr>
        <w:t xml:space="preserve"> 6 avr. 1994, aff. </w:t>
      </w:r>
      <w:r w:rsidRPr="00B4285D">
        <w:rPr>
          <w:rFonts w:ascii="Times New Roman" w:hAnsi="Times New Roman" w:cs="Times New Roman"/>
          <w:sz w:val="24"/>
          <w:szCs w:val="24"/>
        </w:rPr>
        <w:t xml:space="preserve">C-406/92, </w:t>
      </w:r>
      <w:r w:rsidRPr="00B4285D">
        <w:rPr>
          <w:rFonts w:ascii="Times New Roman" w:hAnsi="Times New Roman" w:cs="Times New Roman"/>
          <w:i/>
          <w:iCs/>
          <w:sz w:val="24"/>
          <w:szCs w:val="24"/>
        </w:rPr>
        <w:t>Tatry</w:t>
      </w:r>
      <w:r w:rsidR="00B4285D" w:rsidRPr="00B4285D">
        <w:rPr>
          <w:rFonts w:ascii="Times New Roman" w:hAnsi="Times New Roman" w:cs="Times New Roman"/>
          <w:sz w:val="24"/>
          <w:szCs w:val="24"/>
        </w:rPr>
        <w:t xml:space="preserve"> (sp</w:t>
      </w:r>
      <w:r w:rsidR="00B4285D">
        <w:rPr>
          <w:rFonts w:ascii="Times New Roman" w:hAnsi="Times New Roman" w:cs="Times New Roman"/>
          <w:sz w:val="24"/>
          <w:szCs w:val="24"/>
        </w:rPr>
        <w:t>é</w:t>
      </w:r>
      <w:r w:rsidR="00B4285D" w:rsidRPr="00B4285D">
        <w:rPr>
          <w:rFonts w:ascii="Times New Roman" w:hAnsi="Times New Roman" w:cs="Times New Roman"/>
          <w:sz w:val="24"/>
          <w:szCs w:val="24"/>
        </w:rPr>
        <w:t>c. troisième question préjudicielle)</w:t>
      </w:r>
      <w:r w:rsidRPr="00B4285D">
        <w:rPr>
          <w:rFonts w:ascii="Times New Roman" w:hAnsi="Times New Roman" w:cs="Times New Roman"/>
          <w:sz w:val="24"/>
          <w:szCs w:val="24"/>
        </w:rPr>
        <w:t> ;</w:t>
      </w:r>
    </w:p>
    <w:p w14:paraId="46F0EC2A" w14:textId="77777777" w:rsidR="00576B51" w:rsidRPr="00634AE5" w:rsidRDefault="00576B51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6C">
        <w:rPr>
          <w:rFonts w:ascii="Times New Roman" w:hAnsi="Times New Roman" w:cs="Times New Roman"/>
          <w:sz w:val="24"/>
          <w:szCs w:val="24"/>
        </w:rPr>
        <w:t xml:space="preserve">* </w:t>
      </w:r>
      <w:r w:rsidRPr="00121B6C">
        <w:rPr>
          <w:rFonts w:ascii="Times New Roman" w:hAnsi="Times New Roman" w:cs="Times New Roman"/>
          <w:bCs/>
          <w:sz w:val="24"/>
          <w:szCs w:val="24"/>
        </w:rPr>
        <w:t xml:space="preserve">CJCE, 9 juill. 2009, aff. </w:t>
      </w:r>
      <w:r w:rsidRPr="00634AE5">
        <w:rPr>
          <w:rFonts w:ascii="Times New Roman" w:hAnsi="Times New Roman" w:cs="Times New Roman"/>
          <w:bCs/>
          <w:sz w:val="24"/>
          <w:szCs w:val="24"/>
        </w:rPr>
        <w:t xml:space="preserve">C-204/08, </w:t>
      </w:r>
      <w:r w:rsidRPr="00634AE5">
        <w:rPr>
          <w:rFonts w:ascii="Times New Roman" w:hAnsi="Times New Roman" w:cs="Times New Roman"/>
          <w:bCs/>
          <w:i/>
          <w:sz w:val="24"/>
          <w:szCs w:val="24"/>
        </w:rPr>
        <w:t>Rehder c. Air Baltic</w:t>
      </w:r>
      <w:r w:rsidRPr="00634AE5">
        <w:rPr>
          <w:rFonts w:ascii="Times New Roman" w:hAnsi="Times New Roman" w:cs="Times New Roman"/>
          <w:sz w:val="24"/>
          <w:szCs w:val="24"/>
        </w:rPr>
        <w:t xml:space="preserve"> (spéc. pts 26 à 28) ;</w:t>
      </w:r>
    </w:p>
    <w:p w14:paraId="23A0E632" w14:textId="57EC94E9" w:rsidR="00576B51" w:rsidRPr="00634AE5" w:rsidRDefault="00576B51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>* CJUE</w:t>
      </w:r>
      <w:r w:rsidR="00634AE5">
        <w:rPr>
          <w:rFonts w:ascii="Times New Roman" w:hAnsi="Times New Roman" w:cs="Times New Roman"/>
          <w:sz w:val="24"/>
          <w:szCs w:val="24"/>
        </w:rPr>
        <w:t>,</w:t>
      </w:r>
      <w:r w:rsidRPr="00634AE5">
        <w:rPr>
          <w:rFonts w:ascii="Times New Roman" w:hAnsi="Times New Roman" w:cs="Times New Roman"/>
          <w:sz w:val="24"/>
          <w:szCs w:val="24"/>
        </w:rPr>
        <w:t xml:space="preserve"> 4 mai 2010, aff. C-533/08, </w:t>
      </w:r>
      <w:r w:rsidRPr="00634AE5">
        <w:rPr>
          <w:rFonts w:ascii="Times New Roman" w:hAnsi="Times New Roman" w:cs="Times New Roman"/>
          <w:i/>
          <w:iCs/>
          <w:sz w:val="24"/>
          <w:szCs w:val="24"/>
        </w:rPr>
        <w:t>TNT Express Nederland</w:t>
      </w:r>
      <w:r w:rsidRPr="00634AE5">
        <w:rPr>
          <w:rFonts w:ascii="Times New Roman" w:hAnsi="Times New Roman" w:cs="Times New Roman"/>
          <w:sz w:val="24"/>
          <w:szCs w:val="24"/>
        </w:rPr>
        <w:t>.</w:t>
      </w:r>
    </w:p>
    <w:p w14:paraId="2740B8CB" w14:textId="5BDDDFD9" w:rsidR="00243880" w:rsidRPr="00634AE5" w:rsidRDefault="00243880" w:rsidP="00634AE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43880" w:rsidRPr="0063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" w15:restartNumberingAfterBreak="0">
    <w:nsid w:val="28C24DB2"/>
    <w:multiLevelType w:val="hybridMultilevel"/>
    <w:tmpl w:val="077ED5B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745BFA"/>
    <w:multiLevelType w:val="hybridMultilevel"/>
    <w:tmpl w:val="08C4B976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C25A4A"/>
    <w:multiLevelType w:val="hybridMultilevel"/>
    <w:tmpl w:val="21949F66"/>
    <w:lvl w:ilvl="0" w:tplc="859412C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2905"/>
    <w:multiLevelType w:val="hybridMultilevel"/>
    <w:tmpl w:val="455679A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027BF"/>
    <w:multiLevelType w:val="hybridMultilevel"/>
    <w:tmpl w:val="FB047E00"/>
    <w:lvl w:ilvl="0" w:tplc="CB5A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7595"/>
    <w:multiLevelType w:val="hybridMultilevel"/>
    <w:tmpl w:val="3FA85B4E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B33A17"/>
    <w:multiLevelType w:val="hybridMultilevel"/>
    <w:tmpl w:val="0524A7BA"/>
    <w:lvl w:ilvl="0" w:tplc="9FFE55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12"/>
  </w:num>
  <w:num w:numId="6">
    <w:abstractNumId w:val="8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0902A1"/>
    <w:rsid w:val="000B1155"/>
    <w:rsid w:val="00114551"/>
    <w:rsid w:val="00115893"/>
    <w:rsid w:val="00121B6C"/>
    <w:rsid w:val="00131374"/>
    <w:rsid w:val="00153AEE"/>
    <w:rsid w:val="00165C61"/>
    <w:rsid w:val="001D570C"/>
    <w:rsid w:val="00200C1B"/>
    <w:rsid w:val="00243880"/>
    <w:rsid w:val="00272BA5"/>
    <w:rsid w:val="002A1E63"/>
    <w:rsid w:val="002F1559"/>
    <w:rsid w:val="0033277D"/>
    <w:rsid w:val="00346886"/>
    <w:rsid w:val="003772E1"/>
    <w:rsid w:val="003A7FA4"/>
    <w:rsid w:val="003B610B"/>
    <w:rsid w:val="003F3162"/>
    <w:rsid w:val="00427ADD"/>
    <w:rsid w:val="00450A8C"/>
    <w:rsid w:val="004731D5"/>
    <w:rsid w:val="004818BC"/>
    <w:rsid w:val="004C34C7"/>
    <w:rsid w:val="004E138D"/>
    <w:rsid w:val="0051183F"/>
    <w:rsid w:val="00573D63"/>
    <w:rsid w:val="00576B51"/>
    <w:rsid w:val="005A246D"/>
    <w:rsid w:val="005A3F50"/>
    <w:rsid w:val="005D71F4"/>
    <w:rsid w:val="005F3826"/>
    <w:rsid w:val="00634AE5"/>
    <w:rsid w:val="0067414E"/>
    <w:rsid w:val="006B025F"/>
    <w:rsid w:val="006D5007"/>
    <w:rsid w:val="0072360D"/>
    <w:rsid w:val="00777ECC"/>
    <w:rsid w:val="00787195"/>
    <w:rsid w:val="007B0423"/>
    <w:rsid w:val="007C4370"/>
    <w:rsid w:val="007D250F"/>
    <w:rsid w:val="007F5EE8"/>
    <w:rsid w:val="00807122"/>
    <w:rsid w:val="008235FF"/>
    <w:rsid w:val="00844EBE"/>
    <w:rsid w:val="00933B99"/>
    <w:rsid w:val="00937E66"/>
    <w:rsid w:val="00962CCA"/>
    <w:rsid w:val="009A1101"/>
    <w:rsid w:val="00A90926"/>
    <w:rsid w:val="00AB7ED0"/>
    <w:rsid w:val="00AC54A8"/>
    <w:rsid w:val="00AE5A1D"/>
    <w:rsid w:val="00AE7197"/>
    <w:rsid w:val="00AF0B2C"/>
    <w:rsid w:val="00AF23D8"/>
    <w:rsid w:val="00AF3D45"/>
    <w:rsid w:val="00B04E8A"/>
    <w:rsid w:val="00B069A9"/>
    <w:rsid w:val="00B4285D"/>
    <w:rsid w:val="00C06649"/>
    <w:rsid w:val="00C2163C"/>
    <w:rsid w:val="00C61AB2"/>
    <w:rsid w:val="00C61ADA"/>
    <w:rsid w:val="00C86AB4"/>
    <w:rsid w:val="00C9773E"/>
    <w:rsid w:val="00CB1A8F"/>
    <w:rsid w:val="00CE28D4"/>
    <w:rsid w:val="00CF6DAC"/>
    <w:rsid w:val="00D844EC"/>
    <w:rsid w:val="00DB7DC4"/>
    <w:rsid w:val="00DC097D"/>
    <w:rsid w:val="00DE6373"/>
    <w:rsid w:val="00E45A36"/>
    <w:rsid w:val="00E62573"/>
    <w:rsid w:val="00E642B5"/>
    <w:rsid w:val="00E9443C"/>
    <w:rsid w:val="00EA66E7"/>
    <w:rsid w:val="00ED477B"/>
    <w:rsid w:val="00EF59C9"/>
    <w:rsid w:val="00F1051E"/>
    <w:rsid w:val="00F12D0E"/>
    <w:rsid w:val="00F343C1"/>
    <w:rsid w:val="00F53977"/>
    <w:rsid w:val="00FA149C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30</cp:revision>
  <dcterms:created xsi:type="dcterms:W3CDTF">2025-03-27T16:28:00Z</dcterms:created>
  <dcterms:modified xsi:type="dcterms:W3CDTF">2026-01-10T16:21:00Z</dcterms:modified>
</cp:coreProperties>
</file>