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7EA" w:rsidRPr="008E79AE" w:rsidRDefault="003157EA" w:rsidP="003157EA">
      <w:pPr>
        <w:spacing w:line="360" w:lineRule="auto"/>
        <w:jc w:val="center"/>
        <w:rPr>
          <w:szCs w:val="25"/>
        </w:rPr>
      </w:pPr>
      <w:r w:rsidRPr="008E79AE">
        <w:rPr>
          <w:szCs w:val="25"/>
        </w:rPr>
        <w:t>Université Paris 1 Panthéon-Sorbonne</w:t>
      </w:r>
    </w:p>
    <w:p w:rsidR="003157EA" w:rsidRPr="008E79AE" w:rsidRDefault="003157EA" w:rsidP="003157EA">
      <w:pPr>
        <w:spacing w:line="360" w:lineRule="auto"/>
        <w:jc w:val="center"/>
        <w:rPr>
          <w:szCs w:val="25"/>
        </w:rPr>
      </w:pPr>
      <w:r w:rsidRPr="008E79AE">
        <w:rPr>
          <w:szCs w:val="25"/>
        </w:rPr>
        <w:t>École de Droit de la Sorbonne</w:t>
      </w:r>
    </w:p>
    <w:p w:rsidR="003157EA" w:rsidRPr="008E79AE" w:rsidRDefault="003157EA" w:rsidP="003157EA">
      <w:pPr>
        <w:spacing w:line="360" w:lineRule="auto"/>
        <w:jc w:val="center"/>
        <w:rPr>
          <w:szCs w:val="25"/>
        </w:rPr>
      </w:pPr>
      <w:r w:rsidRPr="008E79AE">
        <w:rPr>
          <w:szCs w:val="25"/>
        </w:rPr>
        <w:t xml:space="preserve">Master 1 </w:t>
      </w:r>
    </w:p>
    <w:p w:rsidR="003157EA" w:rsidRDefault="003157EA" w:rsidP="003157EA">
      <w:pPr>
        <w:spacing w:line="360" w:lineRule="auto"/>
        <w:jc w:val="center"/>
        <w:rPr>
          <w:b/>
          <w:bCs/>
          <w:szCs w:val="25"/>
          <w:u w:val="single"/>
        </w:rPr>
      </w:pPr>
    </w:p>
    <w:p w:rsidR="003157EA" w:rsidRPr="008E79AE" w:rsidRDefault="003157EA" w:rsidP="003157EA">
      <w:pPr>
        <w:spacing w:line="360" w:lineRule="auto"/>
        <w:jc w:val="center"/>
        <w:rPr>
          <w:b/>
          <w:bCs/>
          <w:szCs w:val="25"/>
          <w:u w:val="single"/>
        </w:rPr>
      </w:pPr>
      <w:r w:rsidRPr="008E79AE">
        <w:rPr>
          <w:b/>
          <w:bCs/>
          <w:szCs w:val="25"/>
          <w:u w:val="single"/>
        </w:rPr>
        <w:t>Droit du secteur public concurrentiel</w:t>
      </w:r>
    </w:p>
    <w:p w:rsidR="003157EA" w:rsidRDefault="003157EA" w:rsidP="003157EA">
      <w:pPr>
        <w:pStyle w:val="TM3"/>
        <w:tabs>
          <w:tab w:val="right" w:leader="dot" w:pos="9062"/>
        </w:tabs>
        <w:rPr>
          <w:szCs w:val="25"/>
        </w:rPr>
      </w:pPr>
    </w:p>
    <w:p w:rsidR="003157EA" w:rsidRDefault="003157EA" w:rsidP="003157EA">
      <w:pPr>
        <w:pStyle w:val="TM3"/>
        <w:tabs>
          <w:tab w:val="right" w:leader="dot" w:pos="9062"/>
        </w:tabs>
        <w:rPr>
          <w:szCs w:val="25"/>
        </w:rPr>
      </w:pPr>
    </w:p>
    <w:p w:rsidR="003157EA" w:rsidRDefault="003157EA" w:rsidP="003157EA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szCs w:val="25"/>
        </w:rPr>
        <w:fldChar w:fldCharType="begin"/>
      </w:r>
      <w:r>
        <w:rPr>
          <w:szCs w:val="25"/>
        </w:rPr>
        <w:instrText xml:space="preserve"> TOC \o "1-7" \n \u </w:instrText>
      </w:r>
      <w:r>
        <w:rPr>
          <w:szCs w:val="25"/>
        </w:rPr>
        <w:fldChar w:fldCharType="separate"/>
      </w:r>
      <w:r>
        <w:rPr>
          <w:noProof/>
        </w:rPr>
        <w:t>CHAPITRE 1 – LE PERIMÈTRE DU SECTEUR PUBLIC CONCURRENTIEL : NOTIONS ET CLASSIFICATIONS</w:t>
      </w:r>
    </w:p>
    <w:p w:rsidR="003157EA" w:rsidRDefault="003157EA" w:rsidP="003157EA">
      <w:pPr>
        <w:pStyle w:val="TM3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Section 1 : La notion d’entreprises publiques et les notions voisines (secteur public et prises de participation)</w:t>
      </w:r>
    </w:p>
    <w:p w:rsidR="003157EA" w:rsidRDefault="003157EA" w:rsidP="003157EA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§ 1 – Les définitions de l’entreprise publique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 – La définition issue de la doctrine administrative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B – La définition jurisprudentielle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C – La définition textuelle</w:t>
      </w:r>
    </w:p>
    <w:p w:rsidR="003157EA" w:rsidRDefault="003157EA" w:rsidP="003157EA">
      <w:pPr>
        <w:pStyle w:val="TM5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 xml:space="preserve">=&gt; </w:t>
      </w:r>
      <w:r>
        <w:rPr>
          <w:noProof/>
        </w:rPr>
        <w:t>La définition proposée (3 critères)</w:t>
      </w:r>
    </w:p>
    <w:p w:rsidR="003157EA" w:rsidRDefault="003157EA" w:rsidP="003157EA">
      <w:pPr>
        <w:pStyle w:val="TM4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Précision : D</w:t>
      </w:r>
      <w:r>
        <w:rPr>
          <w:noProof/>
        </w:rPr>
        <w:t>istinction entre l’entreprise publique et l’opérateur (public) économique</w:t>
      </w:r>
      <w:r>
        <w:rPr>
          <w:noProof/>
        </w:rPr>
        <w:t xml:space="preserve"> (</w:t>
      </w:r>
      <w:r>
        <w:rPr>
          <w:noProof/>
        </w:rPr>
        <w:t>autonomie</w:t>
      </w:r>
      <w:r>
        <w:rPr>
          <w:noProof/>
        </w:rPr>
        <w:t xml:space="preserve">; </w:t>
      </w:r>
      <w:r>
        <w:rPr>
          <w:noProof/>
        </w:rPr>
        <w:t>activité économiqu</w:t>
      </w:r>
      <w:r>
        <w:rPr>
          <w:noProof/>
        </w:rPr>
        <w:t xml:space="preserve">e ; </w:t>
      </w:r>
      <w:r>
        <w:rPr>
          <w:noProof/>
        </w:rPr>
        <w:t>influence publique</w:t>
      </w:r>
      <w:r>
        <w:rPr>
          <w:noProof/>
        </w:rPr>
        <w:t>)</w:t>
      </w:r>
    </w:p>
    <w:p w:rsidR="003157EA" w:rsidRDefault="003157EA" w:rsidP="003157EA">
      <w:pPr>
        <w:pStyle w:val="TM4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 xml:space="preserve">§ </w:t>
      </w:r>
      <w:r>
        <w:rPr>
          <w:noProof/>
        </w:rPr>
        <w:t>2</w:t>
      </w:r>
      <w:r>
        <w:rPr>
          <w:noProof/>
        </w:rPr>
        <w:t xml:space="preserve"> – La notion de participation publique</w:t>
      </w:r>
    </w:p>
    <w:p w:rsidR="003157EA" w:rsidRDefault="003157EA" w:rsidP="003157EA">
      <w:pPr>
        <w:pStyle w:val="TM3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Section 2 : La classification des entreprises appartenant au secteur public national</w:t>
      </w:r>
    </w:p>
    <w:p w:rsidR="003157EA" w:rsidRDefault="003157EA" w:rsidP="003157EA">
      <w:pPr>
        <w:pStyle w:val="TM5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5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§ 1 – Les entreprises publiques à statut public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 – Le recours à l’EPIC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1-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Les critères de l’EPIC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2-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Le choix de recourir à un EPIC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B – Les formes juridiques de droit public autres que les EP</w:t>
      </w:r>
    </w:p>
    <w:p w:rsidR="003157EA" w:rsidRDefault="003157EA" w:rsidP="003157EA">
      <w:pPr>
        <w:pStyle w:val="TM5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§ 2 – Les entreprises publiques à statut privé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 – Formes et transformations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1-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La société anonyme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lastRenderedPageBreak/>
        <w:t>2 – Les groupements d’intérêt économique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B – La « sociétisation » des entreprises publiques : l’influence du droit de l’Union européenne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1-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Les causes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2 – Les conséquences : trois illustrations</w:t>
      </w:r>
    </w:p>
    <w:p w:rsidR="003157EA" w:rsidRDefault="003157EA" w:rsidP="003157EA">
      <w:pPr>
        <w:pStyle w:val="TM3"/>
        <w:tabs>
          <w:tab w:val="right" w:leader="dot" w:pos="9062"/>
        </w:tabs>
        <w:rPr>
          <w:noProof/>
          <w:shd w:val="clear" w:color="auto" w:fill="FFFFFF"/>
        </w:rPr>
      </w:pPr>
    </w:p>
    <w:p w:rsidR="003157EA" w:rsidRDefault="003157EA" w:rsidP="003157EA">
      <w:pPr>
        <w:pStyle w:val="TM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shd w:val="clear" w:color="auto" w:fill="FFFFFF"/>
        </w:rPr>
        <w:t>Section 3 : La classification des entreprises appartenant au secteur public local</w:t>
      </w:r>
    </w:p>
    <w:p w:rsidR="003157EA" w:rsidRDefault="003157EA" w:rsidP="003157EA">
      <w:pPr>
        <w:pStyle w:val="TM5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§1 - Les sociétés d’économie mixte locales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 – Les sociétés d’économie mixte classiques (à durée indéterminée)</w:t>
      </w:r>
    </w:p>
    <w:p w:rsidR="003157EA" w:rsidRDefault="003157EA" w:rsidP="003157EA">
      <w:pPr>
        <w:pStyle w:val="TM7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Définition et caractéristiques</w:t>
      </w:r>
    </w:p>
    <w:p w:rsidR="003157EA" w:rsidRDefault="003157EA" w:rsidP="003157EA">
      <w:pPr>
        <w:pStyle w:val="TM7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Évolution historique</w:t>
      </w:r>
    </w:p>
    <w:p w:rsidR="003157EA" w:rsidRDefault="003157EA" w:rsidP="003157EA">
      <w:pPr>
        <w:pStyle w:val="TM7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3157EA">
        <w:rPr>
          <w:noProof/>
        </w:rPr>
        <w:t>3.</w:t>
      </w:r>
      <w:r w:rsidRPr="003157EA"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 w:rsidRPr="003157EA">
        <w:rPr>
          <w:noProof/>
        </w:rPr>
        <w:t>Finalités : un outil de gestion d’un service public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a) Les domaines historiques d’intervention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b) L’élargissement des domaines d’intervention</w:t>
      </w:r>
    </w:p>
    <w:p w:rsidR="003157EA" w:rsidRDefault="003157EA" w:rsidP="003157EA">
      <w:pPr>
        <w:pStyle w:val="TM6"/>
        <w:tabs>
          <w:tab w:val="right" w:leader="dot" w:pos="9062"/>
        </w:tabs>
        <w:rPr>
          <w:noProof/>
        </w:rPr>
      </w:pP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B – Les SEMOP (stés d’économie mixte à opération unique)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bdr w:val="none" w:sz="0" w:space="0" w:color="auto" w:frame="1"/>
        </w:rPr>
        <w:t>1-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 w:rsidRPr="005C7121">
        <w:rPr>
          <w:noProof/>
          <w:bdr w:val="none" w:sz="0" w:space="0" w:color="auto" w:frame="1"/>
        </w:rPr>
        <w:t>Origine</w:t>
      </w:r>
    </w:p>
    <w:p w:rsidR="003157EA" w:rsidRP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2.</w:t>
      </w:r>
      <w:r w:rsidRPr="005C7121">
        <w:rPr>
          <w:rFonts w:ascii="Open-Sans" w:hAnsi="Open-Sans"/>
          <w:noProof/>
          <w:color w:val="000000"/>
        </w:rPr>
        <w:t> </w:t>
      </w:r>
      <w:r>
        <w:rPr>
          <w:noProof/>
        </w:rPr>
        <w:t>Statut</w:t>
      </w:r>
      <w:r>
        <w:rPr>
          <w:noProof/>
        </w:rPr>
        <w:t xml:space="preserve"> (</w:t>
      </w:r>
      <w:r>
        <w:rPr>
          <w:noProof/>
          <w:color w:val="272727" w:themeColor="text1" w:themeTint="D8"/>
        </w:rPr>
        <w:t xml:space="preserve">Qui ? </w:t>
      </w:r>
      <w:r>
        <w:t xml:space="preserve">Comment ? </w:t>
      </w:r>
      <w:r w:rsidRPr="005C7121">
        <w:rPr>
          <w:noProof/>
          <w:color w:val="272727" w:themeColor="text1" w:themeTint="D8"/>
        </w:rPr>
        <w:t>Combien de temps ?</w:t>
      </w:r>
      <w:r>
        <w:rPr>
          <w:noProof/>
          <w:color w:val="272727" w:themeColor="text1" w:themeTint="D8"/>
        </w:rPr>
        <w:t>)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3. Finalités</w:t>
      </w:r>
    </w:p>
    <w:p w:rsidR="003157EA" w:rsidRDefault="003157EA" w:rsidP="003157EA">
      <w:pPr>
        <w:pStyle w:val="TM7"/>
        <w:tabs>
          <w:tab w:val="left" w:pos="19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>
        <w:rPr>
          <w:noProof/>
        </w:rPr>
        <w:t>Cas particulier de la SEMOP à tiers investisseur</w:t>
      </w:r>
    </w:p>
    <w:p w:rsidR="003157EA" w:rsidRDefault="003157EA" w:rsidP="003157EA">
      <w:pPr>
        <w:pStyle w:val="TM4"/>
        <w:tabs>
          <w:tab w:val="right" w:leader="dot" w:pos="9062"/>
        </w:tabs>
        <w:rPr>
          <w:noProof/>
          <w:highlight w:val="yellow"/>
        </w:rPr>
      </w:pPr>
    </w:p>
    <w:p w:rsidR="003157EA" w:rsidRDefault="003157EA" w:rsidP="003157EA">
      <w:pPr>
        <w:pStyle w:val="TM4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3157EA">
        <w:rPr>
          <w:noProof/>
        </w:rPr>
        <w:t>§ 2 – Les sociétés publiques locales (SPL) et sociétés publiques locales d’aménagement (SPLA)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</w:rPr>
        <w:t>A - Origine : soumission des SEM aux obligations de publicité et de mise en concurrence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rFonts w:eastAsia="Times New Roman"/>
          <w:noProof/>
          <w:lang w:eastAsia="fr-FR"/>
        </w:rPr>
        <w:t>B - Catégories de SPL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>
        <w:rPr>
          <w:noProof/>
          <w:lang w:eastAsia="fr-FR"/>
        </w:rPr>
        <w:t xml:space="preserve">3 – Les règles communes : les relations </w:t>
      </w:r>
      <w:r>
        <w:rPr>
          <w:noProof/>
        </w:rPr>
        <w:t>entre les collectivités actionnaires et les SPL et SPLA</w:t>
      </w:r>
    </w:p>
    <w:p w:rsidR="003157EA" w:rsidRDefault="003157EA" w:rsidP="003157EA">
      <w:pPr>
        <w:pStyle w:val="TM6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bdr w:val="none" w:sz="0" w:space="0" w:color="auto" w:frame="1"/>
          <w:lang w:val="en-US"/>
        </w:rPr>
        <w:t xml:space="preserve">C – SPL et exception </w:t>
      </w:r>
      <w:r w:rsidRPr="005C7121">
        <w:rPr>
          <w:i/>
          <w:iCs/>
          <w:noProof/>
          <w:bdr w:val="none" w:sz="0" w:space="0" w:color="auto" w:frame="1"/>
          <w:lang w:val="en-US"/>
        </w:rPr>
        <w:t>in house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bdr w:val="none" w:sz="0" w:space="0" w:color="auto" w:frame="1"/>
        </w:rPr>
        <w:t>1-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 w:rsidRPr="005C7121">
        <w:rPr>
          <w:noProof/>
          <w:bdr w:val="none" w:sz="0" w:space="0" w:color="auto" w:frame="1"/>
        </w:rPr>
        <w:t>Quasi-régie descendante</w:t>
      </w:r>
    </w:p>
    <w:p w:rsidR="003157EA" w:rsidRDefault="003157EA" w:rsidP="003157EA">
      <w:pPr>
        <w:pStyle w:val="TM7"/>
        <w:tabs>
          <w:tab w:val="left" w:pos="1951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bdr w:val="none" w:sz="0" w:space="0" w:color="auto" w:frame="1"/>
        </w:rPr>
        <w:t>2-</w:t>
      </w:r>
      <w:r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  <w:tab/>
      </w:r>
      <w:r w:rsidRPr="005C7121">
        <w:rPr>
          <w:noProof/>
          <w:bdr w:val="none" w:sz="0" w:space="0" w:color="auto" w:frame="1"/>
        </w:rPr>
        <w:t>Quasi-régie horizontale ou conjointe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rFonts w:eastAsia="Times New Roman"/>
          <w:noProof/>
          <w:lang w:eastAsia="fr-FR"/>
        </w:rPr>
        <w:t>3 – Réhabilitation de l’économie mixte ?</w:t>
      </w:r>
    </w:p>
    <w:p w:rsidR="003157EA" w:rsidRDefault="003157EA" w:rsidP="003157EA">
      <w:pPr>
        <w:pStyle w:val="TM7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lang w:eastAsia="fr-FR"/>
          <w14:ligatures w14:val="standardContextual"/>
        </w:rPr>
      </w:pPr>
      <w:r w:rsidRPr="005C7121">
        <w:rPr>
          <w:noProof/>
          <w:bdr w:val="none" w:sz="0" w:space="0" w:color="auto" w:frame="1"/>
        </w:rPr>
        <w:t>4- Encadrement du in house</w:t>
      </w:r>
    </w:p>
    <w:p w:rsidR="003157EA" w:rsidRDefault="003157EA" w:rsidP="003157EA">
      <w:pPr>
        <w:pStyle w:val="TM4"/>
        <w:tabs>
          <w:tab w:val="right" w:leader="dot" w:pos="9062"/>
        </w:tabs>
        <w:rPr>
          <w:noProof/>
          <w:highlight w:val="yellow"/>
        </w:rPr>
      </w:pPr>
    </w:p>
    <w:p w:rsidR="00591E19" w:rsidRDefault="003157EA" w:rsidP="003157EA">
      <w:r>
        <w:rPr>
          <w:szCs w:val="25"/>
        </w:rPr>
        <w:fldChar w:fldCharType="end"/>
      </w:r>
    </w:p>
    <w:sectPr w:rsidR="0059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-San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EA"/>
    <w:rsid w:val="00280C4B"/>
    <w:rsid w:val="0030695A"/>
    <w:rsid w:val="003157EA"/>
    <w:rsid w:val="003E2747"/>
    <w:rsid w:val="00591E19"/>
    <w:rsid w:val="00702440"/>
    <w:rsid w:val="00D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FF6A9"/>
  <w15:chartTrackingRefBased/>
  <w15:docId w15:val="{4BFD41D1-EAE4-3349-88E8-2DDBC2F4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EA"/>
    <w:pPr>
      <w:spacing w:line="288" w:lineRule="auto"/>
      <w:jc w:val="both"/>
    </w:pPr>
    <w:rPr>
      <w:rFonts w:ascii="Bell MT" w:hAnsi="Bell MT" w:cs="Times New Roman (Corps CS)"/>
      <w:kern w:val="0"/>
      <w:sz w:val="25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157EA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7EA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7EA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7EA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7EA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7EA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7EA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7EA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7EA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7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7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7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7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7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7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7E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1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7EA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1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7EA"/>
    <w:pPr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157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7EA"/>
    <w:pPr>
      <w:spacing w:line="240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157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7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7EA"/>
    <w:rPr>
      <w:b/>
      <w:bCs/>
      <w:smallCaps/>
      <w:color w:val="2F5496" w:themeColor="accent1" w:themeShade="BF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3157EA"/>
    <w:pPr>
      <w:spacing w:after="100"/>
      <w:ind w:left="500"/>
    </w:pPr>
  </w:style>
  <w:style w:type="paragraph" w:styleId="TM4">
    <w:name w:val="toc 4"/>
    <w:basedOn w:val="Normal"/>
    <w:next w:val="Normal"/>
    <w:autoRedefine/>
    <w:uiPriority w:val="39"/>
    <w:unhideWhenUsed/>
    <w:rsid w:val="003157EA"/>
    <w:pPr>
      <w:spacing w:after="100"/>
      <w:ind w:left="750"/>
    </w:pPr>
  </w:style>
  <w:style w:type="paragraph" w:styleId="TM6">
    <w:name w:val="toc 6"/>
    <w:basedOn w:val="Normal"/>
    <w:next w:val="Normal"/>
    <w:autoRedefine/>
    <w:uiPriority w:val="39"/>
    <w:unhideWhenUsed/>
    <w:rsid w:val="003157EA"/>
    <w:pPr>
      <w:spacing w:after="100"/>
      <w:ind w:left="1250"/>
    </w:pPr>
  </w:style>
  <w:style w:type="paragraph" w:styleId="TM5">
    <w:name w:val="toc 5"/>
    <w:basedOn w:val="Normal"/>
    <w:next w:val="Normal"/>
    <w:autoRedefine/>
    <w:uiPriority w:val="39"/>
    <w:unhideWhenUsed/>
    <w:rsid w:val="003157E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7EA"/>
    <w:pPr>
      <w:spacing w:after="100"/>
      <w:ind w:left="1500"/>
    </w:pPr>
  </w:style>
  <w:style w:type="paragraph" w:styleId="TM2">
    <w:name w:val="toc 2"/>
    <w:basedOn w:val="Normal"/>
    <w:next w:val="Normal"/>
    <w:autoRedefine/>
    <w:uiPriority w:val="39"/>
    <w:unhideWhenUsed/>
    <w:rsid w:val="003157EA"/>
    <w:pPr>
      <w:spacing w:after="100"/>
      <w:ind w:left="250"/>
    </w:pPr>
  </w:style>
  <w:style w:type="paragraph" w:styleId="TM1">
    <w:name w:val="toc 1"/>
    <w:basedOn w:val="Normal"/>
    <w:next w:val="Normal"/>
    <w:autoRedefine/>
    <w:uiPriority w:val="39"/>
    <w:unhideWhenUsed/>
    <w:rsid w:val="003157EA"/>
    <w:pPr>
      <w:spacing w:after="100" w:line="278" w:lineRule="auto"/>
      <w:jc w:val="left"/>
    </w:pPr>
    <w:rPr>
      <w:rFonts w:asciiTheme="minorHAnsi" w:eastAsiaTheme="minorEastAsia" w:hAnsiTheme="minorHAnsi" w:cstheme="minorBidi"/>
      <w:kern w:val="2"/>
      <w:sz w:val="24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2026-02-17T10:43:00Z</dcterms:created>
  <dcterms:modified xsi:type="dcterms:W3CDTF">2026-02-17T10:43:00Z</dcterms:modified>
</cp:coreProperties>
</file>