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6E9D" w14:textId="060D7586" w:rsidR="00F55EA3" w:rsidRPr="00F55EA3" w:rsidRDefault="00F55EA3" w:rsidP="00F55EA3">
      <w:pPr>
        <w:spacing w:before="100" w:beforeAutospacing="1" w:after="100" w:afterAutospacing="1" w:line="240" w:lineRule="auto"/>
        <w:jc w:val="center"/>
        <w:rPr>
          <w:rFonts w:eastAsia="Times New Roman" w:cstheme="minorHAnsi"/>
          <w:b/>
          <w:bCs/>
          <w:sz w:val="28"/>
          <w:szCs w:val="28"/>
          <w:lang w:val="en-US" w:eastAsia="fr-FR"/>
        </w:rPr>
      </w:pPr>
      <w:r w:rsidRPr="00F55EA3">
        <w:rPr>
          <w:rFonts w:eastAsia="Times New Roman" w:cstheme="minorHAnsi"/>
          <w:b/>
          <w:bCs/>
          <w:sz w:val="28"/>
          <w:szCs w:val="28"/>
          <w:lang w:val="en-US" w:eastAsia="fr-FR"/>
        </w:rPr>
        <w:t>Some points about inequality and poverty</w:t>
      </w:r>
    </w:p>
    <w:p w14:paraId="0405D2AC" w14:textId="5561C73D" w:rsidR="00F55EA3" w:rsidRPr="00F55EA3" w:rsidRDefault="00F55EA3" w:rsidP="00F55EA3">
      <w:pPr>
        <w:spacing w:before="100" w:beforeAutospacing="1" w:after="100" w:afterAutospacing="1" w:line="240" w:lineRule="auto"/>
        <w:rPr>
          <w:rFonts w:eastAsia="Times New Roman" w:cstheme="minorHAnsi"/>
          <w:lang w:val="en-US" w:eastAsia="fr-FR"/>
        </w:rPr>
      </w:pPr>
      <w:r>
        <w:rPr>
          <w:rFonts w:eastAsia="Times New Roman" w:cstheme="minorHAnsi"/>
          <w:b/>
          <w:bCs/>
          <w:lang w:val="en-US" w:eastAsia="fr-FR"/>
        </w:rPr>
        <w:t xml:space="preserve">(Le Chat, Mistral) </w:t>
      </w:r>
      <w:r w:rsidRPr="00F55EA3">
        <w:rPr>
          <w:rFonts w:eastAsia="Times New Roman" w:cstheme="minorHAnsi"/>
          <w:b/>
          <w:bCs/>
          <w:lang w:val="en-US" w:eastAsia="fr-FR"/>
        </w:rPr>
        <w:t>Inequality</w:t>
      </w:r>
      <w:r w:rsidRPr="00F55EA3">
        <w:rPr>
          <w:rFonts w:eastAsia="Times New Roman" w:cstheme="minorHAnsi"/>
          <w:lang w:val="en-US" w:eastAsia="fr-FR"/>
        </w:rPr>
        <w:t xml:space="preserve"> refers to the unequal distribution of resources, opportunities, or outcomes among individuals or groups in society. It can manifest in various forms, such as income, wealth, education, health, and social status. Economists and social scientists often focus on </w:t>
      </w:r>
      <w:r w:rsidRPr="00F55EA3">
        <w:rPr>
          <w:rFonts w:eastAsia="Times New Roman" w:cstheme="minorHAnsi"/>
          <w:b/>
          <w:bCs/>
          <w:lang w:val="en-US" w:eastAsia="fr-FR"/>
        </w:rPr>
        <w:t>economic inequality</w:t>
      </w:r>
      <w:r w:rsidRPr="00F55EA3">
        <w:rPr>
          <w:rFonts w:eastAsia="Times New Roman" w:cstheme="minorHAnsi"/>
          <w:lang w:val="en-US" w:eastAsia="fr-FR"/>
        </w:rPr>
        <w:t>, particularly income and wealth inequality, as key indicators of societal well-being and fairness.</w:t>
      </w:r>
    </w:p>
    <w:p w14:paraId="5197FC36" w14:textId="77777777" w:rsidR="00F55EA3" w:rsidRPr="00F55EA3" w:rsidRDefault="00F55EA3" w:rsidP="00F55EA3">
      <w:pPr>
        <w:spacing w:before="100" w:beforeAutospacing="1" w:after="100" w:afterAutospacing="1" w:line="240" w:lineRule="auto"/>
        <w:outlineLvl w:val="1"/>
        <w:rPr>
          <w:rFonts w:eastAsia="Times New Roman" w:cstheme="minorHAnsi"/>
          <w:b/>
          <w:bCs/>
          <w:lang w:val="en-US" w:eastAsia="fr-FR"/>
        </w:rPr>
      </w:pPr>
      <w:r w:rsidRPr="00F55EA3">
        <w:rPr>
          <w:rFonts w:eastAsia="Times New Roman" w:cstheme="minorHAnsi"/>
          <w:b/>
          <w:bCs/>
          <w:lang w:val="en-US" w:eastAsia="fr-FR"/>
        </w:rPr>
        <w:t>Key Measures of Inequality</w:t>
      </w:r>
    </w:p>
    <w:p w14:paraId="4EB376DD" w14:textId="77777777" w:rsidR="00F55EA3" w:rsidRPr="00F55EA3" w:rsidRDefault="00F55EA3" w:rsidP="00F55EA3">
      <w:pPr>
        <w:spacing w:before="100" w:beforeAutospacing="1" w:after="100" w:afterAutospacing="1" w:line="240" w:lineRule="auto"/>
        <w:outlineLvl w:val="2"/>
        <w:rPr>
          <w:rFonts w:eastAsia="Times New Roman" w:cstheme="minorHAnsi"/>
          <w:b/>
          <w:bCs/>
          <w:lang w:val="en-US" w:eastAsia="fr-FR"/>
        </w:rPr>
      </w:pPr>
      <w:r w:rsidRPr="00F55EA3">
        <w:rPr>
          <w:rFonts w:eastAsia="Times New Roman" w:cstheme="minorHAnsi"/>
          <w:b/>
          <w:bCs/>
          <w:lang w:val="en-US" w:eastAsia="fr-FR"/>
        </w:rPr>
        <w:t>1. Gini Coefficient</w:t>
      </w:r>
    </w:p>
    <w:p w14:paraId="55E3CE8E" w14:textId="77777777" w:rsidR="00F55EA3" w:rsidRPr="00F55EA3" w:rsidRDefault="00F55EA3" w:rsidP="00F55EA3">
      <w:pPr>
        <w:numPr>
          <w:ilvl w:val="0"/>
          <w:numId w:val="1"/>
        </w:numPr>
        <w:spacing w:before="100" w:beforeAutospacing="1" w:after="100" w:afterAutospacing="1" w:line="240" w:lineRule="auto"/>
        <w:rPr>
          <w:rFonts w:eastAsia="Times New Roman" w:cstheme="minorHAnsi"/>
          <w:lang w:eastAsia="fr-FR"/>
        </w:rPr>
      </w:pPr>
      <w:r w:rsidRPr="00F55EA3">
        <w:rPr>
          <w:rFonts w:eastAsia="Times New Roman" w:cstheme="minorHAnsi"/>
          <w:b/>
          <w:bCs/>
          <w:lang w:val="en-US" w:eastAsia="fr-FR"/>
        </w:rPr>
        <w:t>What it measures:</w:t>
      </w:r>
      <w:r w:rsidRPr="00F55EA3">
        <w:rPr>
          <w:rFonts w:eastAsia="Times New Roman" w:cstheme="minorHAnsi"/>
          <w:lang w:val="en-US" w:eastAsia="fr-FR"/>
        </w:rPr>
        <w:t xml:space="preserve"> The Gini coefficient (or Gini index) quantifies the degree of income or wealth inequality within a population. </w:t>
      </w:r>
      <w:r w:rsidRPr="00F55EA3">
        <w:rPr>
          <w:rFonts w:eastAsia="Times New Roman" w:cstheme="minorHAnsi"/>
          <w:lang w:eastAsia="fr-FR"/>
        </w:rPr>
        <w:t xml:space="preserve">It </w:t>
      </w:r>
      <w:proofErr w:type="gramStart"/>
      <w:r w:rsidRPr="00F55EA3">
        <w:rPr>
          <w:rFonts w:eastAsia="Times New Roman" w:cstheme="minorHAnsi"/>
          <w:lang w:eastAsia="fr-FR"/>
        </w:rPr>
        <w:t>ranges</w:t>
      </w:r>
      <w:proofErr w:type="gramEnd"/>
      <w:r w:rsidRPr="00F55EA3">
        <w:rPr>
          <w:rFonts w:eastAsia="Times New Roman" w:cstheme="minorHAnsi"/>
          <w:lang w:eastAsia="fr-FR"/>
        </w:rPr>
        <w:t xml:space="preserve"> </w:t>
      </w:r>
      <w:proofErr w:type="spellStart"/>
      <w:r w:rsidRPr="00F55EA3">
        <w:rPr>
          <w:rFonts w:eastAsia="Times New Roman" w:cstheme="minorHAnsi"/>
          <w:lang w:eastAsia="fr-FR"/>
        </w:rPr>
        <w:t>from</w:t>
      </w:r>
      <w:proofErr w:type="spellEnd"/>
      <w:r w:rsidRPr="00F55EA3">
        <w:rPr>
          <w:rFonts w:eastAsia="Times New Roman" w:cstheme="minorHAnsi"/>
          <w:lang w:eastAsia="fr-FR"/>
        </w:rPr>
        <w:t xml:space="preserve"> 0 (</w:t>
      </w:r>
      <w:proofErr w:type="spellStart"/>
      <w:r w:rsidRPr="00F55EA3">
        <w:rPr>
          <w:rFonts w:eastAsia="Times New Roman" w:cstheme="minorHAnsi"/>
          <w:lang w:eastAsia="fr-FR"/>
        </w:rPr>
        <w:t>perfect</w:t>
      </w:r>
      <w:proofErr w:type="spellEnd"/>
      <w:r w:rsidRPr="00F55EA3">
        <w:rPr>
          <w:rFonts w:eastAsia="Times New Roman" w:cstheme="minorHAnsi"/>
          <w:lang w:eastAsia="fr-FR"/>
        </w:rPr>
        <w:t xml:space="preserve"> </w:t>
      </w:r>
      <w:proofErr w:type="spellStart"/>
      <w:r w:rsidRPr="00F55EA3">
        <w:rPr>
          <w:rFonts w:eastAsia="Times New Roman" w:cstheme="minorHAnsi"/>
          <w:lang w:eastAsia="fr-FR"/>
        </w:rPr>
        <w:t>equality</w:t>
      </w:r>
      <w:proofErr w:type="spellEnd"/>
      <w:r w:rsidRPr="00F55EA3">
        <w:rPr>
          <w:rFonts w:eastAsia="Times New Roman" w:cstheme="minorHAnsi"/>
          <w:lang w:eastAsia="fr-FR"/>
        </w:rPr>
        <w:t>) to 1 (</w:t>
      </w:r>
      <w:proofErr w:type="spellStart"/>
      <w:r w:rsidRPr="00F55EA3">
        <w:rPr>
          <w:rFonts w:eastAsia="Times New Roman" w:cstheme="minorHAnsi"/>
          <w:lang w:eastAsia="fr-FR"/>
        </w:rPr>
        <w:t>perfect</w:t>
      </w:r>
      <w:proofErr w:type="spellEnd"/>
      <w:r w:rsidRPr="00F55EA3">
        <w:rPr>
          <w:rFonts w:eastAsia="Times New Roman" w:cstheme="minorHAnsi"/>
          <w:lang w:eastAsia="fr-FR"/>
        </w:rPr>
        <w:t xml:space="preserve"> </w:t>
      </w:r>
      <w:proofErr w:type="spellStart"/>
      <w:r w:rsidRPr="00F55EA3">
        <w:rPr>
          <w:rFonts w:eastAsia="Times New Roman" w:cstheme="minorHAnsi"/>
          <w:lang w:eastAsia="fr-FR"/>
        </w:rPr>
        <w:t>inequality</w:t>
      </w:r>
      <w:proofErr w:type="spellEnd"/>
      <w:r w:rsidRPr="00F55EA3">
        <w:rPr>
          <w:rFonts w:eastAsia="Times New Roman" w:cstheme="minorHAnsi"/>
          <w:lang w:eastAsia="fr-FR"/>
        </w:rPr>
        <w:t>).</w:t>
      </w:r>
    </w:p>
    <w:p w14:paraId="1F78085C" w14:textId="77777777" w:rsidR="00F55EA3" w:rsidRPr="00F55EA3" w:rsidRDefault="00F55EA3" w:rsidP="00F55EA3">
      <w:pPr>
        <w:numPr>
          <w:ilvl w:val="0"/>
          <w:numId w:val="1"/>
        </w:numPr>
        <w:spacing w:before="100" w:beforeAutospacing="1" w:after="100" w:afterAutospacing="1" w:line="240" w:lineRule="auto"/>
        <w:rPr>
          <w:rFonts w:eastAsia="Times New Roman" w:cstheme="minorHAnsi"/>
          <w:lang w:eastAsia="fr-FR"/>
        </w:rPr>
      </w:pPr>
      <w:r w:rsidRPr="00F55EA3">
        <w:rPr>
          <w:rFonts w:eastAsia="Times New Roman" w:cstheme="minorHAnsi"/>
          <w:b/>
          <w:bCs/>
          <w:lang w:val="en-US" w:eastAsia="fr-FR"/>
        </w:rPr>
        <w:t>How it works:</w:t>
      </w:r>
      <w:r w:rsidRPr="00F55EA3">
        <w:rPr>
          <w:rFonts w:eastAsia="Times New Roman" w:cstheme="minorHAnsi"/>
          <w:lang w:val="en-US" w:eastAsia="fr-FR"/>
        </w:rPr>
        <w:t xml:space="preserve"> It compares the actual distribution of income/wealth to a perfectly equal distribution. </w:t>
      </w:r>
      <w:r w:rsidRPr="00F55EA3">
        <w:rPr>
          <w:rFonts w:eastAsia="Times New Roman" w:cstheme="minorHAnsi"/>
          <w:lang w:eastAsia="fr-FR"/>
        </w:rPr>
        <w:t xml:space="preserve">A </w:t>
      </w:r>
      <w:proofErr w:type="spellStart"/>
      <w:r w:rsidRPr="00F55EA3">
        <w:rPr>
          <w:rFonts w:eastAsia="Times New Roman" w:cstheme="minorHAnsi"/>
          <w:lang w:eastAsia="fr-FR"/>
        </w:rPr>
        <w:t>higher</w:t>
      </w:r>
      <w:proofErr w:type="spellEnd"/>
      <w:r w:rsidRPr="00F55EA3">
        <w:rPr>
          <w:rFonts w:eastAsia="Times New Roman" w:cstheme="minorHAnsi"/>
          <w:lang w:eastAsia="fr-FR"/>
        </w:rPr>
        <w:t xml:space="preserve"> Gini coefficient </w:t>
      </w:r>
      <w:proofErr w:type="spellStart"/>
      <w:r w:rsidRPr="00F55EA3">
        <w:rPr>
          <w:rFonts w:eastAsia="Times New Roman" w:cstheme="minorHAnsi"/>
          <w:lang w:eastAsia="fr-FR"/>
        </w:rPr>
        <w:t>indicates</w:t>
      </w:r>
      <w:proofErr w:type="spellEnd"/>
      <w:r w:rsidRPr="00F55EA3">
        <w:rPr>
          <w:rFonts w:eastAsia="Times New Roman" w:cstheme="minorHAnsi"/>
          <w:lang w:eastAsia="fr-FR"/>
        </w:rPr>
        <w:t xml:space="preserve"> </w:t>
      </w:r>
      <w:proofErr w:type="spellStart"/>
      <w:r w:rsidRPr="00F55EA3">
        <w:rPr>
          <w:rFonts w:eastAsia="Times New Roman" w:cstheme="minorHAnsi"/>
          <w:lang w:eastAsia="fr-FR"/>
        </w:rPr>
        <w:t>greater</w:t>
      </w:r>
      <w:proofErr w:type="spellEnd"/>
      <w:r w:rsidRPr="00F55EA3">
        <w:rPr>
          <w:rFonts w:eastAsia="Times New Roman" w:cstheme="minorHAnsi"/>
          <w:lang w:eastAsia="fr-FR"/>
        </w:rPr>
        <w:t xml:space="preserve"> </w:t>
      </w:r>
      <w:proofErr w:type="spellStart"/>
      <w:r w:rsidRPr="00F55EA3">
        <w:rPr>
          <w:rFonts w:eastAsia="Times New Roman" w:cstheme="minorHAnsi"/>
          <w:lang w:eastAsia="fr-FR"/>
        </w:rPr>
        <w:t>inequality</w:t>
      </w:r>
      <w:proofErr w:type="spellEnd"/>
      <w:r w:rsidRPr="00F55EA3">
        <w:rPr>
          <w:rFonts w:eastAsia="Times New Roman" w:cstheme="minorHAnsi"/>
          <w:lang w:eastAsia="fr-FR"/>
        </w:rPr>
        <w:t>.</w:t>
      </w:r>
    </w:p>
    <w:p w14:paraId="4BF04B14" w14:textId="3F26D5A1" w:rsidR="00F55EA3" w:rsidRPr="00F55EA3" w:rsidRDefault="00F55EA3" w:rsidP="00F55EA3">
      <w:pPr>
        <w:spacing w:before="100" w:beforeAutospacing="1" w:after="100" w:afterAutospacing="1" w:line="240" w:lineRule="auto"/>
        <w:outlineLvl w:val="2"/>
        <w:rPr>
          <w:rFonts w:eastAsia="Times New Roman" w:cstheme="minorHAnsi"/>
          <w:b/>
          <w:bCs/>
          <w:lang w:val="en-US" w:eastAsia="fr-FR"/>
        </w:rPr>
      </w:pPr>
      <w:r w:rsidRPr="00F55EA3">
        <w:rPr>
          <w:rFonts w:eastAsia="Times New Roman" w:cstheme="minorHAnsi"/>
          <w:b/>
          <w:bCs/>
          <w:lang w:val="en-US" w:eastAsia="fr-FR"/>
        </w:rPr>
        <w:t>2</w:t>
      </w:r>
      <w:r w:rsidRPr="00F55EA3">
        <w:rPr>
          <w:rFonts w:eastAsia="Times New Roman" w:cstheme="minorHAnsi"/>
          <w:b/>
          <w:bCs/>
          <w:lang w:val="en-US" w:eastAsia="fr-FR"/>
        </w:rPr>
        <w:t>. Income/Wealth Quintiles or Deciles</w:t>
      </w:r>
    </w:p>
    <w:p w14:paraId="5C7D21C5" w14:textId="77777777" w:rsidR="00F55EA3" w:rsidRPr="00F55EA3" w:rsidRDefault="00F55EA3" w:rsidP="00F55EA3">
      <w:pPr>
        <w:numPr>
          <w:ilvl w:val="0"/>
          <w:numId w:val="3"/>
        </w:numPr>
        <w:spacing w:before="100" w:beforeAutospacing="1" w:after="100" w:afterAutospacing="1" w:line="240" w:lineRule="auto"/>
        <w:rPr>
          <w:rFonts w:eastAsia="Times New Roman" w:cstheme="minorHAnsi"/>
          <w:lang w:val="en-US" w:eastAsia="fr-FR"/>
        </w:rPr>
      </w:pPr>
      <w:r w:rsidRPr="00F55EA3">
        <w:rPr>
          <w:rFonts w:eastAsia="Times New Roman" w:cstheme="minorHAnsi"/>
          <w:b/>
          <w:bCs/>
          <w:lang w:val="en-US" w:eastAsia="fr-FR"/>
        </w:rPr>
        <w:t>What it measures:</w:t>
      </w:r>
      <w:r w:rsidRPr="00F55EA3">
        <w:rPr>
          <w:rFonts w:eastAsia="Times New Roman" w:cstheme="minorHAnsi"/>
          <w:lang w:val="en-US" w:eastAsia="fr-FR"/>
        </w:rPr>
        <w:t xml:space="preserve"> Divides the population into fifths (quintiles) or tenths (deciles) based on income or wealth, showing the share of total income/wealth held by each group.</w:t>
      </w:r>
    </w:p>
    <w:p w14:paraId="478564CC" w14:textId="77777777" w:rsidR="00F55EA3" w:rsidRPr="00F55EA3" w:rsidRDefault="00F55EA3" w:rsidP="00F55EA3">
      <w:pPr>
        <w:numPr>
          <w:ilvl w:val="0"/>
          <w:numId w:val="3"/>
        </w:numPr>
        <w:spacing w:before="100" w:beforeAutospacing="1" w:after="100" w:afterAutospacing="1" w:line="240" w:lineRule="auto"/>
        <w:rPr>
          <w:rFonts w:eastAsia="Times New Roman" w:cstheme="minorHAnsi"/>
          <w:lang w:val="en-US" w:eastAsia="fr-FR"/>
        </w:rPr>
      </w:pPr>
      <w:r w:rsidRPr="00F55EA3">
        <w:rPr>
          <w:rFonts w:eastAsia="Times New Roman" w:cstheme="minorHAnsi"/>
          <w:b/>
          <w:bCs/>
          <w:lang w:val="en-US" w:eastAsia="fr-FR"/>
        </w:rPr>
        <w:t>How it works:</w:t>
      </w:r>
      <w:r w:rsidRPr="00F55EA3">
        <w:rPr>
          <w:rFonts w:eastAsia="Times New Roman" w:cstheme="minorHAnsi"/>
          <w:lang w:val="en-US" w:eastAsia="fr-FR"/>
        </w:rPr>
        <w:t xml:space="preserve"> For example, if the top 20% of the population holds 50% of the total income, it indicates high inequality.</w:t>
      </w:r>
    </w:p>
    <w:p w14:paraId="38DDA48D" w14:textId="77777777" w:rsidR="00F55EA3" w:rsidRPr="00F55EA3" w:rsidRDefault="00F55EA3" w:rsidP="00F55EA3">
      <w:pPr>
        <w:spacing w:line="240" w:lineRule="auto"/>
        <w:ind w:left="360"/>
        <w:rPr>
          <w:rFonts w:cstheme="minorHAnsi"/>
          <w:lang w:val="en-GB"/>
        </w:rPr>
      </w:pPr>
      <w:r w:rsidRPr="00F55EA3">
        <w:rPr>
          <w:noProof/>
          <w:lang w:val="en-GB"/>
        </w:rPr>
        <w:drawing>
          <wp:inline distT="0" distB="0" distL="0" distR="0" wp14:anchorId="73024515" wp14:editId="3921375B">
            <wp:extent cx="4172532" cy="37533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72532" cy="3753374"/>
                    </a:xfrm>
                    <a:prstGeom prst="rect">
                      <a:avLst/>
                    </a:prstGeom>
                  </pic:spPr>
                </pic:pic>
              </a:graphicData>
            </a:graphic>
          </wp:inline>
        </w:drawing>
      </w:r>
    </w:p>
    <w:p w14:paraId="29FE913C" w14:textId="77777777" w:rsidR="00F55EA3" w:rsidRPr="00F55EA3" w:rsidRDefault="00F55EA3" w:rsidP="00F55EA3">
      <w:pPr>
        <w:spacing w:line="240" w:lineRule="auto"/>
        <w:ind w:left="360"/>
        <w:rPr>
          <w:rFonts w:cstheme="minorHAnsi"/>
          <w:lang w:val="en-GB"/>
        </w:rPr>
      </w:pPr>
      <w:r w:rsidRPr="00F55EA3">
        <w:rPr>
          <w:rFonts w:cstheme="minorHAnsi"/>
          <w:lang w:val="en-GB"/>
        </w:rPr>
        <w:t>https://www.inegalites.fr/evol-inegalites-long</w:t>
      </w:r>
    </w:p>
    <w:p w14:paraId="261686BC" w14:textId="636568DA" w:rsidR="00F55EA3" w:rsidRPr="00F55EA3" w:rsidRDefault="00F55EA3" w:rsidP="00F55EA3">
      <w:pPr>
        <w:spacing w:line="240" w:lineRule="auto"/>
        <w:rPr>
          <w:rFonts w:cstheme="minorHAnsi"/>
          <w:lang w:val="en-GB"/>
        </w:rPr>
      </w:pPr>
      <w:r w:rsidRPr="00F55EA3">
        <w:rPr>
          <w:rFonts w:cstheme="minorHAnsi"/>
          <w:lang w:val="en-GB"/>
        </w:rPr>
        <w:t>In France, there seems to have been a moderate fall in income inequality (excluding financial income) since 1970.</w:t>
      </w:r>
      <w:r w:rsidR="00BC4E44">
        <w:rPr>
          <w:rFonts w:cstheme="minorHAnsi"/>
          <w:lang w:val="en-GB"/>
        </w:rPr>
        <w:t xml:space="preserve"> </w:t>
      </w:r>
    </w:p>
    <w:p w14:paraId="1C3DD3F0" w14:textId="20F777AE" w:rsidR="00BC4E44" w:rsidRDefault="00BC4E44" w:rsidP="00F55EA3">
      <w:pPr>
        <w:spacing w:line="240" w:lineRule="auto"/>
        <w:rPr>
          <w:rFonts w:cstheme="minorHAnsi"/>
          <w:b/>
          <w:bCs/>
          <w:lang w:val="en-GB"/>
        </w:rPr>
      </w:pPr>
      <w:r>
        <w:rPr>
          <w:rFonts w:cstheme="minorHAnsi"/>
          <w:b/>
          <w:bCs/>
          <w:lang w:val="en-GB"/>
        </w:rPr>
        <w:lastRenderedPageBreak/>
        <w:t>WEALTH</w:t>
      </w:r>
    </w:p>
    <w:p w14:paraId="493BAF44" w14:textId="30C8A3BA" w:rsidR="00F55EA3" w:rsidRPr="00F55EA3" w:rsidRDefault="00F55EA3" w:rsidP="00F55EA3">
      <w:pPr>
        <w:spacing w:line="240" w:lineRule="auto"/>
        <w:rPr>
          <w:rFonts w:cstheme="minorHAnsi"/>
          <w:b/>
          <w:bCs/>
          <w:lang w:val="en-GB"/>
        </w:rPr>
      </w:pPr>
      <w:r w:rsidRPr="00F55EA3">
        <w:rPr>
          <w:rFonts w:cstheme="minorHAnsi"/>
          <w:b/>
          <w:bCs/>
          <w:lang w:val="en-GB"/>
        </w:rPr>
        <w:t>The Gini coefficient can also b</w:t>
      </w:r>
      <w:r>
        <w:rPr>
          <w:rFonts w:cstheme="minorHAnsi"/>
          <w:b/>
          <w:bCs/>
          <w:lang w:val="en-GB"/>
        </w:rPr>
        <w:t>e</w:t>
      </w:r>
      <w:r w:rsidRPr="00F55EA3">
        <w:rPr>
          <w:rFonts w:cstheme="minorHAnsi"/>
          <w:b/>
          <w:bCs/>
          <w:lang w:val="en-GB"/>
        </w:rPr>
        <w:t xml:space="preserve"> used to measure inequalities of wealth, and normally, the distribution of wealth is much weaker</w:t>
      </w:r>
      <w:r>
        <w:rPr>
          <w:rFonts w:cstheme="minorHAnsi"/>
          <w:b/>
          <w:bCs/>
          <w:lang w:val="en-GB"/>
        </w:rPr>
        <w:t xml:space="preserve">: </w:t>
      </w:r>
      <w:proofErr w:type="gramStart"/>
      <w:r>
        <w:rPr>
          <w:rFonts w:cstheme="minorHAnsi"/>
          <w:b/>
          <w:bCs/>
          <w:lang w:val="en-GB"/>
        </w:rPr>
        <w:t>i.e.</w:t>
      </w:r>
      <w:proofErr w:type="gramEnd"/>
      <w:r>
        <w:rPr>
          <w:rFonts w:cstheme="minorHAnsi"/>
          <w:b/>
          <w:bCs/>
          <w:lang w:val="en-GB"/>
        </w:rPr>
        <w:t xml:space="preserve"> </w:t>
      </w:r>
      <w:r w:rsidRPr="00F55EA3">
        <w:rPr>
          <w:rFonts w:cstheme="minorHAnsi"/>
          <w:b/>
          <w:bCs/>
          <w:lang w:val="en-GB"/>
        </w:rPr>
        <w:t>wealth is much more concentrated.</w:t>
      </w:r>
      <w:r>
        <w:rPr>
          <w:rFonts w:cstheme="minorHAnsi"/>
          <w:b/>
          <w:bCs/>
          <w:lang w:val="en-GB"/>
        </w:rPr>
        <w:t xml:space="preserve"> </w:t>
      </w:r>
      <w:r w:rsidR="00BC4E44">
        <w:rPr>
          <w:rFonts w:cstheme="minorHAnsi"/>
          <w:b/>
          <w:bCs/>
          <w:lang w:val="en-GB"/>
        </w:rPr>
        <w:t>The Gini for wealth is roughly twice the size of the Gini for income.</w:t>
      </w:r>
    </w:p>
    <w:p w14:paraId="5D874E4D" w14:textId="64762FA7" w:rsidR="00F55EA3" w:rsidRPr="00F55EA3" w:rsidRDefault="00F55EA3" w:rsidP="00BC4E44">
      <w:pPr>
        <w:spacing w:after="0" w:line="240" w:lineRule="auto"/>
        <w:rPr>
          <w:lang w:val="en-US"/>
        </w:rPr>
      </w:pPr>
      <w:r>
        <w:rPr>
          <w:rFonts w:eastAsia="Georgia" w:hAnsi="Georgia" w:cs="Georgia"/>
          <w:b/>
          <w:color w:val="000000"/>
          <w:lang w:val="en-US"/>
        </w:rPr>
        <w:t xml:space="preserve">According to Perplexity Pro, </w:t>
      </w:r>
      <w:r w:rsidRPr="00F55EA3">
        <w:rPr>
          <w:rFonts w:eastAsia="Georgia" w:hAnsi="Georgia" w:cs="Georgia"/>
          <w:b/>
          <w:color w:val="000000"/>
          <w:lang w:val="en-US"/>
        </w:rPr>
        <w:t>France's wealth Gini coefficient stands at 0.652 in 2024, according to official INSEE data, far exceeding the income Gini of around 0.30.</w:t>
      </w:r>
      <w:bookmarkStart w:id="0" w:name="fnref1"/>
      <w:bookmarkEnd w:id="0"/>
      <w:r>
        <w:fldChar w:fldCharType="begin"/>
      </w:r>
      <w:r w:rsidRPr="00F55EA3">
        <w:rPr>
          <w:lang w:val="en-US"/>
        </w:rPr>
        <w:instrText xml:space="preserve"> HYPERLINK "file:///C:\\Users\\nsowels\\Downloads\\Can%20you%20find%20me%20gini%20figures%20for%20the%20wealth%20inequa.docx" \l "fn1" </w:instrText>
      </w:r>
      <w:r>
        <w:fldChar w:fldCharType="separate"/>
      </w:r>
      <w:r w:rsidRPr="00F55EA3">
        <w:rPr>
          <w:rStyle w:val="Lienhypertexte"/>
          <w:rFonts w:ascii="helvetica neue" w:eastAsia="helvetica neue" w:hAnsi="helvetica neue" w:cs="helvetica neue"/>
          <w:vertAlign w:val="superscript"/>
          <w:lang w:val="en-US"/>
        </w:rPr>
        <w:t>[1]</w:t>
      </w:r>
      <w:r>
        <w:fldChar w:fldCharType="end"/>
      </w:r>
      <w:bookmarkStart w:id="1" w:name="fnref2"/>
      <w:bookmarkEnd w:id="1"/>
      <w:r>
        <w:fldChar w:fldCharType="begin"/>
      </w:r>
      <w:r w:rsidRPr="00F55EA3">
        <w:rPr>
          <w:lang w:val="en-US"/>
        </w:rPr>
        <w:instrText xml:space="preserve"> HYPERLINK "file:///C:\\Users\\nsowels\\Downloads\\Can%20you%20find%20me%20gini%20figures%20for%20the%20wealth%20inequa.docx" \l "fn2" </w:instrText>
      </w:r>
      <w:r>
        <w:fldChar w:fldCharType="separate"/>
      </w:r>
      <w:r w:rsidRPr="00F55EA3">
        <w:rPr>
          <w:rStyle w:val="Lienhypertexte"/>
          <w:rFonts w:ascii="helvetica neue" w:eastAsia="helvetica neue" w:hAnsi="helvetica neue" w:cs="helvetica neue"/>
          <w:vertAlign w:val="superscript"/>
          <w:lang w:val="en-US"/>
        </w:rPr>
        <w:t>[2]</w:t>
      </w:r>
      <w:r>
        <w:fldChar w:fldCharType="end"/>
      </w:r>
    </w:p>
    <w:p w14:paraId="2AD3D7EF" w14:textId="77777777" w:rsidR="00F55EA3" w:rsidRPr="00F55EA3" w:rsidRDefault="00F55EA3" w:rsidP="00BC4E44">
      <w:pPr>
        <w:spacing w:after="0" w:line="240" w:lineRule="auto"/>
        <w:rPr>
          <w:lang w:val="en-US"/>
        </w:rPr>
      </w:pPr>
      <w:r w:rsidRPr="00F55EA3">
        <w:rPr>
          <w:rFonts w:eastAsia="Georgia" w:hAnsi="Georgia" w:cs="Georgia"/>
          <w:color w:val="000000"/>
          <w:lang w:val="en-US"/>
        </w:rPr>
        <w:t>This reflects high wealth concentration, where the top 10% of households hold 48% of total gross wealth, and the top 5% hold 34%.</w:t>
      </w:r>
      <w:bookmarkStart w:id="2" w:name="fnref1_1"/>
      <w:bookmarkEnd w:id="2"/>
      <w:r>
        <w:fldChar w:fldCharType="begin"/>
      </w:r>
      <w:r w:rsidRPr="00F55EA3">
        <w:rPr>
          <w:lang w:val="en-US"/>
        </w:rPr>
        <w:instrText xml:space="preserve"> HYPERLINK "file:///C:\\Users\\nsowels\\Downloads\\Can%20you%20find%20me%20gini%20figures%20for%20the%20wealth%20inequa.docx" \l "fn1" </w:instrText>
      </w:r>
      <w:r>
        <w:fldChar w:fldCharType="separate"/>
      </w:r>
      <w:r w:rsidRPr="00F55EA3">
        <w:rPr>
          <w:rStyle w:val="Lienhypertexte"/>
          <w:rFonts w:ascii="helvetica neue" w:eastAsia="helvetica neue" w:hAnsi="helvetica neue" w:cs="helvetica neue"/>
          <w:vertAlign w:val="superscript"/>
          <w:lang w:val="en-US"/>
        </w:rPr>
        <w:t>[1]</w:t>
      </w:r>
      <w:r>
        <w:fldChar w:fldCharType="end"/>
      </w:r>
    </w:p>
    <w:p w14:paraId="3A1E2044" w14:textId="77777777" w:rsidR="00BC4E44" w:rsidRDefault="00BC4E44" w:rsidP="00BC4E44">
      <w:pPr>
        <w:spacing w:after="0" w:line="240" w:lineRule="auto"/>
        <w:rPr>
          <w:rFonts w:eastAsia="Georgia" w:hAnsi="Georgia" w:cs="Georgia"/>
          <w:b/>
          <w:color w:val="000000"/>
          <w:sz w:val="24"/>
          <w:lang w:val="en-US"/>
        </w:rPr>
      </w:pPr>
      <w:bookmarkStart w:id="3" w:name="recent_trends"/>
    </w:p>
    <w:p w14:paraId="1C0FBE3F" w14:textId="5B14701E" w:rsidR="00F55EA3" w:rsidRPr="00F55EA3" w:rsidRDefault="00F55EA3" w:rsidP="00BC4E44">
      <w:pPr>
        <w:spacing w:after="0" w:line="240" w:lineRule="auto"/>
        <w:rPr>
          <w:lang w:val="en-US"/>
        </w:rPr>
      </w:pPr>
      <w:r w:rsidRPr="00F55EA3">
        <w:rPr>
          <w:rFonts w:eastAsia="Georgia" w:hAnsi="Georgia" w:cs="Georgia"/>
          <w:b/>
          <w:color w:val="000000"/>
          <w:sz w:val="24"/>
          <w:lang w:val="en-US"/>
        </w:rPr>
        <w:t>Recent Trends</w:t>
      </w:r>
      <w:bookmarkEnd w:id="3"/>
    </w:p>
    <w:p w14:paraId="2302493C" w14:textId="77777777" w:rsidR="00F55EA3" w:rsidRPr="00F55EA3" w:rsidRDefault="00F55EA3" w:rsidP="00BC4E44">
      <w:pPr>
        <w:spacing w:after="0" w:line="240" w:lineRule="auto"/>
        <w:rPr>
          <w:lang w:val="en-US"/>
        </w:rPr>
      </w:pPr>
      <w:r w:rsidRPr="00F55EA3">
        <w:rPr>
          <w:rFonts w:eastAsia="Georgia" w:hAnsi="Georgia" w:cs="Georgia"/>
          <w:color w:val="000000"/>
          <w:lang w:val="en-US"/>
        </w:rPr>
        <w:t>Wealth inequality has edged up slightly from 0.645 in 2015 to 0.652 in 2024, driven mainly by rising real estate disparities (Gini from 0.644 to 0.655).</w:t>
      </w:r>
      <w:bookmarkStart w:id="4" w:name="fnref3"/>
      <w:bookmarkEnd w:id="4"/>
      <w:r>
        <w:fldChar w:fldCharType="begin"/>
      </w:r>
      <w:r w:rsidRPr="00F55EA3">
        <w:rPr>
          <w:lang w:val="en-US"/>
        </w:rPr>
        <w:instrText xml:space="preserve"> HYPERLINK "file:///C:\\Users\\nsowels\\Downloads\\Can%20you%20find%20me%20gini%20figures%20for%20the%20wealth%20inequa.docx" \l "fn3" </w:instrText>
      </w:r>
      <w:r>
        <w:fldChar w:fldCharType="separate"/>
      </w:r>
      <w:r w:rsidRPr="00F55EA3">
        <w:rPr>
          <w:rStyle w:val="Lienhypertexte"/>
          <w:rFonts w:ascii="helvetica neue" w:eastAsia="helvetica neue" w:hAnsi="helvetica neue" w:cs="helvetica neue"/>
          <w:vertAlign w:val="superscript"/>
          <w:lang w:val="en-US"/>
        </w:rPr>
        <w:t>[3]</w:t>
      </w:r>
      <w:r>
        <w:fldChar w:fldCharType="end"/>
      </w:r>
      <w:bookmarkStart w:id="5" w:name="fnref1_2"/>
      <w:bookmarkEnd w:id="5"/>
      <w:r>
        <w:fldChar w:fldCharType="begin"/>
      </w:r>
      <w:r w:rsidRPr="00F55EA3">
        <w:rPr>
          <w:lang w:val="en-US"/>
        </w:rPr>
        <w:instrText xml:space="preserve"> HYPERLINK "file:///C:\\Users\\nsowels\\Downloads\\Can%20you%20find%20me%20gini%20figures%20for%20the%20wealth%20inequa.docx" \l "fn1" </w:instrText>
      </w:r>
      <w:r>
        <w:fldChar w:fldCharType="separate"/>
      </w:r>
      <w:r w:rsidRPr="00F55EA3">
        <w:rPr>
          <w:rStyle w:val="Lienhypertexte"/>
          <w:rFonts w:ascii="helvetica neue" w:eastAsia="helvetica neue" w:hAnsi="helvetica neue" w:cs="helvetica neue"/>
          <w:vertAlign w:val="superscript"/>
          <w:lang w:val="en-US"/>
        </w:rPr>
        <w:t>[1]</w:t>
      </w:r>
      <w:r>
        <w:fldChar w:fldCharType="end"/>
      </w:r>
    </w:p>
    <w:p w14:paraId="29C04E2D" w14:textId="77777777" w:rsidR="00F55EA3" w:rsidRDefault="00F55EA3" w:rsidP="00BC4E44">
      <w:pPr>
        <w:spacing w:after="0" w:line="240" w:lineRule="auto"/>
      </w:pPr>
      <w:r w:rsidRPr="00F55EA3">
        <w:rPr>
          <w:rFonts w:eastAsia="Georgia" w:hAnsi="Georgia" w:cs="Georgia"/>
          <w:color w:val="000000"/>
          <w:lang w:val="en-US"/>
        </w:rPr>
        <w:t>Earlier data shows 0.662 in 2021, indicating some fluctuation but persistent high inequality compared to income (0.299 in 2023).</w:t>
      </w:r>
      <w:bookmarkStart w:id="6" w:name="fnref4"/>
      <w:bookmarkEnd w:id="6"/>
      <w:r>
        <w:fldChar w:fldCharType="begin"/>
      </w:r>
      <w:r w:rsidRPr="00F55EA3">
        <w:rPr>
          <w:lang w:val="en-US"/>
        </w:rPr>
        <w:instrText xml:space="preserve"> HYPERLINK "file:///C:\\Users\\nsowels\\Downloads\\Can%20you%20find%20me%20gini%20figures%20for%20the%20wealth%20inequa.docx" \l "fn4" </w:instrText>
      </w:r>
      <w:r>
        <w:fldChar w:fldCharType="separate"/>
      </w:r>
      <w:r>
        <w:rPr>
          <w:rStyle w:val="Lienhypertexte"/>
          <w:rFonts w:ascii="helvetica neue" w:eastAsia="helvetica neue" w:hAnsi="helvetica neue" w:cs="helvetica neue"/>
          <w:vertAlign w:val="superscript"/>
        </w:rPr>
        <w:t>[4]</w:t>
      </w:r>
      <w:r>
        <w:fldChar w:fldCharType="end"/>
      </w:r>
      <w:bookmarkStart w:id="7" w:name="fnref2_1"/>
      <w:bookmarkEnd w:id="7"/>
      <w:r>
        <w:fldChar w:fldCharType="begin"/>
      </w:r>
      <w:r>
        <w:instrText xml:space="preserve"> HYPERLINK "file:///C:\\Users\\nsowels\\Downloads\\Can%20you%20find%20me%20gini%20figures%20for%20the%20wealth%20inequa.docx" \l "fn2" </w:instrText>
      </w:r>
      <w:r>
        <w:fldChar w:fldCharType="separate"/>
      </w:r>
      <w:r>
        <w:rPr>
          <w:rStyle w:val="Lienhypertexte"/>
          <w:rFonts w:ascii="helvetica neue" w:eastAsia="helvetica neue" w:hAnsi="helvetica neue" w:cs="helvetica neue"/>
          <w:vertAlign w:val="superscript"/>
        </w:rPr>
        <w:t>[2]</w:t>
      </w:r>
      <w:r>
        <w:fldChar w:fldCharType="end"/>
      </w:r>
    </w:p>
    <w:p w14:paraId="07B237D4" w14:textId="77777777" w:rsidR="00BC4E44" w:rsidRDefault="00BC4E44" w:rsidP="00BC4E44">
      <w:pPr>
        <w:spacing w:after="0" w:line="240" w:lineRule="auto"/>
        <w:rPr>
          <w:rFonts w:eastAsia="Georgia" w:hAnsi="Georgia" w:cs="Georgia"/>
          <w:b/>
          <w:color w:val="000000"/>
          <w:sz w:val="24"/>
        </w:rPr>
      </w:pPr>
      <w:bookmarkStart w:id="8" w:name="key_comparisons"/>
    </w:p>
    <w:p w14:paraId="5183E3D9" w14:textId="555DB9EA" w:rsidR="00F55EA3" w:rsidRDefault="00F55EA3" w:rsidP="00BC4E44">
      <w:pPr>
        <w:spacing w:after="0" w:line="240" w:lineRule="auto"/>
      </w:pPr>
      <w:r>
        <w:rPr>
          <w:rFonts w:eastAsia="Georgia" w:hAnsi="Georgia" w:cs="Georgia"/>
          <w:b/>
          <w:color w:val="000000"/>
          <w:sz w:val="24"/>
        </w:rPr>
        <w:t xml:space="preserve">Key </w:t>
      </w:r>
      <w:proofErr w:type="spellStart"/>
      <w:r>
        <w:rPr>
          <w:rFonts w:eastAsia="Georgia" w:hAnsi="Georgia" w:cs="Georgia"/>
          <w:b/>
          <w:color w:val="000000"/>
          <w:sz w:val="24"/>
        </w:rPr>
        <w:t>Comparisons</w:t>
      </w:r>
      <w:bookmarkEnd w:id="8"/>
      <w:proofErr w:type="spellEnd"/>
    </w:p>
    <w:tbl>
      <w:tblPr>
        <w:tblStyle w:val="NormalGrid"/>
        <w:tblW w:w="0" w:type="auto"/>
        <w:jc w:val="center"/>
        <w:tblCellSpacing w:w="0" w:type="dxa"/>
        <w:tblInd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270"/>
        <w:gridCol w:w="1204"/>
        <w:gridCol w:w="1233"/>
        <w:gridCol w:w="3712"/>
      </w:tblGrid>
      <w:tr w:rsidR="00F55EA3" w14:paraId="44F06618" w14:textId="77777777" w:rsidTr="00F55EA3">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4BC8CAF5" w14:textId="77777777" w:rsidR="00F55EA3" w:rsidRDefault="00F55EA3" w:rsidP="00BC4E44">
            <w:r>
              <w:rPr>
                <w:rFonts w:ascii="helvetica neue" w:eastAsia="helvetica neue" w:hAnsi="helvetica neue" w:cs="helvetica neue"/>
                <w:color w:val="000000"/>
                <w:sz w:val="17"/>
              </w:rPr>
              <w:t>Metric</w:t>
            </w:r>
          </w:p>
        </w:tc>
        <w:tc>
          <w:tcPr>
            <w:tcW w:w="0" w:type="auto"/>
            <w:tcBorders>
              <w:top w:val="single" w:sz="2" w:space="0" w:color="000000"/>
              <w:left w:val="nil"/>
              <w:bottom w:val="single" w:sz="2" w:space="0" w:color="000000"/>
              <w:right w:val="single" w:sz="2" w:space="0" w:color="000000"/>
            </w:tcBorders>
            <w:hideMark/>
          </w:tcPr>
          <w:p w14:paraId="711EEBA6" w14:textId="77777777" w:rsidR="00F55EA3" w:rsidRDefault="00F55EA3" w:rsidP="00BC4E44">
            <w:r>
              <w:rPr>
                <w:rFonts w:ascii="helvetica neue" w:eastAsia="helvetica neue" w:hAnsi="helvetica neue" w:cs="helvetica neue"/>
                <w:color w:val="000000"/>
                <w:sz w:val="17"/>
              </w:rPr>
              <w:t>Wealth Gini</w:t>
            </w:r>
          </w:p>
        </w:tc>
        <w:tc>
          <w:tcPr>
            <w:tcW w:w="0" w:type="auto"/>
            <w:tcBorders>
              <w:top w:val="single" w:sz="2" w:space="0" w:color="000000"/>
              <w:left w:val="nil"/>
              <w:bottom w:val="single" w:sz="2" w:space="0" w:color="000000"/>
              <w:right w:val="single" w:sz="2" w:space="0" w:color="000000"/>
            </w:tcBorders>
            <w:hideMark/>
          </w:tcPr>
          <w:p w14:paraId="4A43268E" w14:textId="77777777" w:rsidR="00F55EA3" w:rsidRDefault="00F55EA3" w:rsidP="00BC4E44">
            <w:r>
              <w:rPr>
                <w:rFonts w:ascii="helvetica neue" w:eastAsia="helvetica neue" w:hAnsi="helvetica neue" w:cs="helvetica neue"/>
                <w:color w:val="000000"/>
                <w:sz w:val="17"/>
              </w:rPr>
              <w:t>Income Gini</w:t>
            </w:r>
          </w:p>
        </w:tc>
        <w:tc>
          <w:tcPr>
            <w:tcW w:w="0" w:type="auto"/>
            <w:tcBorders>
              <w:top w:val="single" w:sz="2" w:space="0" w:color="000000"/>
              <w:left w:val="nil"/>
              <w:bottom w:val="single" w:sz="2" w:space="0" w:color="000000"/>
              <w:right w:val="nil"/>
            </w:tcBorders>
            <w:hideMark/>
          </w:tcPr>
          <w:p w14:paraId="0D2AFB1E" w14:textId="77777777" w:rsidR="00F55EA3" w:rsidRDefault="00F55EA3" w:rsidP="00BC4E44">
            <w:r>
              <w:rPr>
                <w:rFonts w:ascii="helvetica neue" w:eastAsia="helvetica neue" w:hAnsi="helvetica neue" w:cs="helvetica neue"/>
                <w:color w:val="000000"/>
                <w:sz w:val="17"/>
              </w:rPr>
              <w:t>Notes</w:t>
            </w:r>
          </w:p>
        </w:tc>
      </w:tr>
      <w:tr w:rsidR="00F55EA3" w:rsidRPr="00F55EA3" w14:paraId="17D311FD" w14:textId="77777777" w:rsidTr="00F55EA3">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55898966" w14:textId="77777777" w:rsidR="00F55EA3" w:rsidRDefault="00F55EA3" w:rsidP="00BC4E44">
            <w:r>
              <w:rPr>
                <w:rFonts w:ascii="helvetica neue" w:eastAsia="helvetica neue" w:hAnsi="helvetica neue" w:cs="helvetica neue"/>
                <w:color w:val="000000"/>
                <w:sz w:val="17"/>
              </w:rPr>
              <w:t>2024 (latest)</w:t>
            </w:r>
          </w:p>
        </w:tc>
        <w:tc>
          <w:tcPr>
            <w:tcW w:w="0" w:type="auto"/>
            <w:tcBorders>
              <w:top w:val="single" w:sz="2" w:space="0" w:color="000000"/>
              <w:left w:val="nil"/>
              <w:bottom w:val="single" w:sz="2" w:space="0" w:color="000000"/>
              <w:right w:val="single" w:sz="2" w:space="0" w:color="000000"/>
            </w:tcBorders>
            <w:hideMark/>
          </w:tcPr>
          <w:p w14:paraId="1868F05D" w14:textId="77777777" w:rsidR="00F55EA3" w:rsidRDefault="00F55EA3" w:rsidP="00BC4E44">
            <w:r>
              <w:rPr>
                <w:rFonts w:ascii="helvetica neue" w:eastAsia="helvetica neue" w:hAnsi="helvetica neue" w:cs="helvetica neue"/>
                <w:color w:val="000000"/>
                <w:sz w:val="17"/>
              </w:rPr>
              <w:t>0.652</w:t>
            </w:r>
          </w:p>
        </w:tc>
        <w:tc>
          <w:tcPr>
            <w:tcW w:w="0" w:type="auto"/>
            <w:tcBorders>
              <w:top w:val="single" w:sz="2" w:space="0" w:color="000000"/>
              <w:left w:val="nil"/>
              <w:bottom w:val="single" w:sz="2" w:space="0" w:color="000000"/>
              <w:right w:val="single" w:sz="2" w:space="0" w:color="000000"/>
            </w:tcBorders>
            <w:hideMark/>
          </w:tcPr>
          <w:p w14:paraId="0CD9DF41" w14:textId="77777777" w:rsidR="00F55EA3" w:rsidRDefault="00F55EA3" w:rsidP="00BC4E44">
            <w:r>
              <w:rPr>
                <w:rFonts w:ascii="helvetica neue" w:eastAsia="helvetica neue" w:hAnsi="helvetica neue" w:cs="helvetica neue"/>
                <w:color w:val="000000"/>
                <w:sz w:val="17"/>
              </w:rPr>
              <w:t>~0.30</w:t>
            </w:r>
          </w:p>
        </w:tc>
        <w:tc>
          <w:tcPr>
            <w:tcW w:w="0" w:type="auto"/>
            <w:tcBorders>
              <w:top w:val="single" w:sz="2" w:space="0" w:color="000000"/>
              <w:left w:val="nil"/>
              <w:bottom w:val="single" w:sz="2" w:space="0" w:color="000000"/>
              <w:right w:val="nil"/>
            </w:tcBorders>
            <w:hideMark/>
          </w:tcPr>
          <w:p w14:paraId="1D566E52" w14:textId="77777777" w:rsidR="00F55EA3" w:rsidRDefault="00F55EA3" w:rsidP="00BC4E44">
            <w:r>
              <w:rPr>
                <w:rFonts w:ascii="helvetica neue" w:eastAsia="helvetica neue" w:hAnsi="helvetica neue" w:cs="helvetica neue"/>
                <w:color w:val="000000"/>
                <w:sz w:val="17"/>
              </w:rPr>
              <w:t xml:space="preserve">Wealth over twice as unequal </w:t>
            </w:r>
            <w:hyperlink r:id="rId8" w:anchor="fn1" w:history="1">
              <w:r>
                <w:rPr>
                  <w:rStyle w:val="Lienhypertexte"/>
                  <w:rFonts w:ascii="helvetica neue" w:eastAsia="helvetica neue" w:hAnsi="helvetica neue" w:cs="helvetica neue"/>
                  <w:sz w:val="17"/>
                  <w:vertAlign w:val="superscript"/>
                </w:rPr>
                <w:t>[1]</w:t>
              </w:r>
            </w:hyperlink>
          </w:p>
        </w:tc>
      </w:tr>
      <w:tr w:rsidR="00F55EA3" w:rsidRPr="00F55EA3" w14:paraId="664C4299" w14:textId="77777777" w:rsidTr="00F55EA3">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1765D45B" w14:textId="77777777" w:rsidR="00F55EA3" w:rsidRDefault="00F55EA3" w:rsidP="00BC4E44">
            <w:r>
              <w:rPr>
                <w:rFonts w:ascii="helvetica neue" w:eastAsia="helvetica neue" w:hAnsi="helvetica neue" w:cs="helvetica neue"/>
                <w:color w:val="000000"/>
                <w:sz w:val="17"/>
              </w:rPr>
              <w:t>2021</w:t>
            </w:r>
          </w:p>
        </w:tc>
        <w:tc>
          <w:tcPr>
            <w:tcW w:w="0" w:type="auto"/>
            <w:tcBorders>
              <w:top w:val="single" w:sz="2" w:space="0" w:color="000000"/>
              <w:left w:val="nil"/>
              <w:bottom w:val="single" w:sz="2" w:space="0" w:color="000000"/>
              <w:right w:val="single" w:sz="2" w:space="0" w:color="000000"/>
            </w:tcBorders>
            <w:hideMark/>
          </w:tcPr>
          <w:p w14:paraId="38905870" w14:textId="77777777" w:rsidR="00F55EA3" w:rsidRDefault="00F55EA3" w:rsidP="00BC4E44">
            <w:r>
              <w:rPr>
                <w:rFonts w:ascii="helvetica neue" w:eastAsia="helvetica neue" w:hAnsi="helvetica neue" w:cs="helvetica neue"/>
                <w:color w:val="000000"/>
                <w:sz w:val="17"/>
              </w:rPr>
              <w:t>0.662</w:t>
            </w:r>
          </w:p>
        </w:tc>
        <w:tc>
          <w:tcPr>
            <w:tcW w:w="0" w:type="auto"/>
            <w:tcBorders>
              <w:top w:val="single" w:sz="2" w:space="0" w:color="000000"/>
              <w:left w:val="nil"/>
              <w:bottom w:val="single" w:sz="2" w:space="0" w:color="000000"/>
              <w:right w:val="single" w:sz="2" w:space="0" w:color="000000"/>
            </w:tcBorders>
            <w:hideMark/>
          </w:tcPr>
          <w:p w14:paraId="149D8F11" w14:textId="77777777" w:rsidR="00F55EA3" w:rsidRDefault="00F55EA3" w:rsidP="00BC4E44">
            <w:r>
              <w:rPr>
                <w:rFonts w:ascii="helvetica neue" w:eastAsia="helvetica neue" w:hAnsi="helvetica neue" w:cs="helvetica neue"/>
                <w:color w:val="000000"/>
                <w:sz w:val="17"/>
              </w:rPr>
              <w:t>0.294</w:t>
            </w:r>
          </w:p>
        </w:tc>
        <w:tc>
          <w:tcPr>
            <w:tcW w:w="0" w:type="auto"/>
            <w:tcBorders>
              <w:top w:val="single" w:sz="2" w:space="0" w:color="000000"/>
              <w:left w:val="nil"/>
              <w:bottom w:val="single" w:sz="2" w:space="0" w:color="000000"/>
              <w:right w:val="nil"/>
            </w:tcBorders>
            <w:hideMark/>
          </w:tcPr>
          <w:p w14:paraId="7B863280" w14:textId="77777777" w:rsidR="00F55EA3" w:rsidRDefault="00F55EA3" w:rsidP="00BC4E44">
            <w:r>
              <w:rPr>
                <w:rFonts w:ascii="helvetica neue" w:eastAsia="helvetica neue" w:hAnsi="helvetica neue" w:cs="helvetica neue"/>
                <w:color w:val="000000"/>
                <w:sz w:val="17"/>
              </w:rPr>
              <w:t xml:space="preserve">Top 10% hold 48% wealth vs. 25% income </w:t>
            </w:r>
            <w:hyperlink r:id="rId9" w:anchor="fn4" w:history="1">
              <w:r>
                <w:rPr>
                  <w:rStyle w:val="Lienhypertexte"/>
                  <w:rFonts w:ascii="helvetica neue" w:eastAsia="helvetica neue" w:hAnsi="helvetica neue" w:cs="helvetica neue"/>
                  <w:sz w:val="17"/>
                  <w:vertAlign w:val="superscript"/>
                </w:rPr>
                <w:t>[4]</w:t>
              </w:r>
            </w:hyperlink>
          </w:p>
        </w:tc>
      </w:tr>
      <w:tr w:rsidR="00F55EA3" w:rsidRPr="00F55EA3" w14:paraId="33AF2A3F" w14:textId="77777777" w:rsidTr="00F55EA3">
        <w:trPr>
          <w:cantSplit/>
          <w:tblCellSpacing w:w="0" w:type="dxa"/>
          <w:jc w:val="center"/>
        </w:trPr>
        <w:tc>
          <w:tcPr>
            <w:tcW w:w="0" w:type="auto"/>
            <w:tcBorders>
              <w:top w:val="single" w:sz="2" w:space="0" w:color="000000"/>
              <w:left w:val="nil"/>
              <w:bottom w:val="single" w:sz="2" w:space="0" w:color="000000"/>
              <w:right w:val="single" w:sz="2" w:space="0" w:color="000000"/>
            </w:tcBorders>
            <w:hideMark/>
          </w:tcPr>
          <w:p w14:paraId="16A3C937" w14:textId="77777777" w:rsidR="00F55EA3" w:rsidRDefault="00F55EA3" w:rsidP="00BC4E44">
            <w:r>
              <w:rPr>
                <w:rFonts w:ascii="helvetica neue" w:eastAsia="helvetica neue" w:hAnsi="helvetica neue" w:cs="helvetica neue"/>
                <w:color w:val="000000"/>
                <w:sz w:val="17"/>
              </w:rPr>
              <w:t>2015</w:t>
            </w:r>
          </w:p>
        </w:tc>
        <w:tc>
          <w:tcPr>
            <w:tcW w:w="0" w:type="auto"/>
            <w:tcBorders>
              <w:top w:val="single" w:sz="2" w:space="0" w:color="000000"/>
              <w:left w:val="nil"/>
              <w:bottom w:val="single" w:sz="2" w:space="0" w:color="000000"/>
              <w:right w:val="single" w:sz="2" w:space="0" w:color="000000"/>
            </w:tcBorders>
            <w:hideMark/>
          </w:tcPr>
          <w:p w14:paraId="246B1075" w14:textId="77777777" w:rsidR="00F55EA3" w:rsidRDefault="00F55EA3" w:rsidP="00BC4E44">
            <w:r>
              <w:rPr>
                <w:rFonts w:ascii="helvetica neue" w:eastAsia="helvetica neue" w:hAnsi="helvetica neue" w:cs="helvetica neue"/>
                <w:color w:val="000000"/>
                <w:sz w:val="17"/>
              </w:rPr>
              <w:t>0.645</w:t>
            </w:r>
          </w:p>
        </w:tc>
        <w:tc>
          <w:tcPr>
            <w:tcW w:w="0" w:type="auto"/>
            <w:tcBorders>
              <w:top w:val="single" w:sz="2" w:space="0" w:color="000000"/>
              <w:left w:val="nil"/>
              <w:bottom w:val="single" w:sz="2" w:space="0" w:color="000000"/>
              <w:right w:val="single" w:sz="2" w:space="0" w:color="000000"/>
            </w:tcBorders>
            <w:hideMark/>
          </w:tcPr>
          <w:p w14:paraId="3A632B4D" w14:textId="77777777" w:rsidR="00F55EA3" w:rsidRDefault="00F55EA3" w:rsidP="00BC4E44">
            <w:r>
              <w:rPr>
                <w:rFonts w:ascii="helvetica neue" w:eastAsia="helvetica neue" w:hAnsi="helvetica neue" w:cs="helvetica neue"/>
                <w:color w:val="000000"/>
                <w:sz w:val="17"/>
              </w:rPr>
              <w:t>N/A</w:t>
            </w:r>
          </w:p>
        </w:tc>
        <w:tc>
          <w:tcPr>
            <w:tcW w:w="0" w:type="auto"/>
            <w:tcBorders>
              <w:top w:val="single" w:sz="2" w:space="0" w:color="000000"/>
              <w:left w:val="nil"/>
              <w:bottom w:val="single" w:sz="2" w:space="0" w:color="000000"/>
              <w:right w:val="nil"/>
            </w:tcBorders>
            <w:hideMark/>
          </w:tcPr>
          <w:p w14:paraId="0980F7CD" w14:textId="77777777" w:rsidR="00F55EA3" w:rsidRDefault="00F55EA3" w:rsidP="00BC4E44">
            <w:r>
              <w:rPr>
                <w:rFonts w:ascii="helvetica neue" w:eastAsia="helvetica neue" w:hAnsi="helvetica neue" w:cs="helvetica neue"/>
                <w:color w:val="000000"/>
                <w:sz w:val="17"/>
              </w:rPr>
              <w:t xml:space="preserve">Pre-rise in housing-driven gaps </w:t>
            </w:r>
            <w:hyperlink r:id="rId10" w:anchor="fn1" w:history="1">
              <w:r>
                <w:rPr>
                  <w:rStyle w:val="Lienhypertexte"/>
                  <w:rFonts w:ascii="helvetica neue" w:eastAsia="helvetica neue" w:hAnsi="helvetica neue" w:cs="helvetica neue"/>
                  <w:sz w:val="17"/>
                  <w:vertAlign w:val="superscript"/>
                </w:rPr>
                <w:t>[1]</w:t>
              </w:r>
            </w:hyperlink>
          </w:p>
        </w:tc>
      </w:tr>
    </w:tbl>
    <w:p w14:paraId="61F48442" w14:textId="77777777" w:rsidR="00F55EA3" w:rsidRDefault="00F55EA3" w:rsidP="00BC4E44">
      <w:pPr>
        <w:spacing w:after="0" w:line="240" w:lineRule="auto"/>
        <w:rPr>
          <w:rFonts w:ascii="Georgia"/>
          <w:sz w:val="21"/>
          <w:lang w:val="en-US"/>
        </w:rPr>
      </w:pPr>
    </w:p>
    <w:p w14:paraId="0E83E453" w14:textId="50B70821" w:rsidR="00F55EA3" w:rsidRDefault="00F55EA3" w:rsidP="00BC4E44">
      <w:pPr>
        <w:spacing w:after="0" w:line="240" w:lineRule="auto"/>
      </w:pPr>
      <w:r w:rsidRPr="00F55EA3">
        <w:rPr>
          <w:rFonts w:eastAsia="Georgia" w:hAnsi="Georgia" w:cs="Georgia"/>
          <w:color w:val="000000"/>
          <w:lang w:val="en-US"/>
        </w:rPr>
        <w:t xml:space="preserve">The median gross wealth is </w:t>
      </w:r>
      <w:r w:rsidRPr="00F55EA3">
        <w:rPr>
          <w:rFonts w:eastAsia="Georgia" w:hAnsi="Georgia" w:cs="Georgia"/>
          <w:color w:val="000000"/>
          <w:lang w:val="en-US"/>
        </w:rPr>
        <w:t>€</w:t>
      </w:r>
      <w:r w:rsidRPr="00F55EA3">
        <w:rPr>
          <w:rFonts w:eastAsia="Georgia" w:hAnsi="Georgia" w:cs="Georgia"/>
          <w:color w:val="000000"/>
          <w:lang w:val="en-US"/>
        </w:rPr>
        <w:t>205,100, with the bottom 50% holding just 7% of total wealth.</w:t>
      </w:r>
      <w:bookmarkStart w:id="9" w:name="fnref1_5"/>
      <w:bookmarkEnd w:id="9"/>
      <w:r>
        <w:fldChar w:fldCharType="begin"/>
      </w:r>
      <w:r w:rsidRPr="00F55EA3">
        <w:rPr>
          <w:lang w:val="en-US"/>
        </w:rPr>
        <w:instrText xml:space="preserve"> HYPERLINK "file:///C:\\Users\\nsowels\\Downloads\\Can%20you%20find%20me%20gini%20figures%20for%20the%20wealth%20inequa.docx" \l "fn1" </w:instrText>
      </w:r>
      <w:r>
        <w:fldChar w:fldCharType="separate"/>
      </w:r>
      <w:r>
        <w:rPr>
          <w:rStyle w:val="Lienhypertexte"/>
          <w:rFonts w:ascii="helvetica neue" w:eastAsia="helvetica neue" w:hAnsi="helvetica neue" w:cs="helvetica neue"/>
          <w:vertAlign w:val="superscript"/>
        </w:rPr>
        <w:t>[1]</w:t>
      </w:r>
      <w:r>
        <w:fldChar w:fldCharType="end"/>
      </w:r>
      <w:r>
        <w:rPr>
          <w:rFonts w:eastAsia="Georgia" w:hAnsi="Georgia" w:cs="Georgia"/>
          <w:color w:val="000000"/>
        </w:rPr>
        <w:br/>
      </w:r>
      <w:r>
        <w:rPr>
          <w:noProof/>
        </w:rPr>
        <mc:AlternateContent>
          <mc:Choice Requires="wps">
            <w:drawing>
              <wp:inline distT="0" distB="0" distL="0" distR="0" wp14:anchorId="5E7AB2C6" wp14:editId="06D883F0">
                <wp:extent cx="6038850" cy="635"/>
                <wp:effectExtent l="9525" t="9525" r="9525" b="889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53AADBAB" id="Rectangle 4"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" strokeweight="1pt">
                <v:stroke opacity="0"/>
                <w10:anchorlock/>
              </v:rect>
            </w:pict>
          </mc:Fallback>
        </mc:AlternateContent>
      </w:r>
    </w:p>
    <w:bookmarkStart w:id="10" w:name="fn1"/>
    <w:bookmarkEnd w:id="10"/>
    <w:p w14:paraId="74DAF7DA" w14:textId="77777777" w:rsidR="00F55EA3" w:rsidRDefault="00F55EA3" w:rsidP="00BC4E44">
      <w:pPr>
        <w:numPr>
          <w:ilvl w:val="0"/>
          <w:numId w:val="5"/>
        </w:numPr>
        <w:spacing w:after="0" w:line="240" w:lineRule="auto"/>
        <w:ind w:left="0" w:firstLine="0"/>
      </w:pPr>
      <w:r>
        <w:fldChar w:fldCharType="begin"/>
      </w:r>
      <w:r>
        <w:instrText xml:space="preserve"> HYPERLINK "https://tradingeconomics.com/france/gini-coefficient-of-equivalised-disposable-income-eurostat-data.html" </w:instrText>
      </w:r>
      <w:r>
        <w:fldChar w:fldCharType="separate"/>
      </w:r>
      <w:r>
        <w:rPr>
          <w:rStyle w:val="Lienhypertexte"/>
          <w:rFonts w:ascii="helvetica neue" w:eastAsia="helvetica neue" w:hAnsi="helvetica neue" w:cs="helvetica neue"/>
          <w:sz w:val="18"/>
        </w:rPr>
        <w:t>https://tradingeconomics.com/france/gini-coefficient-of-equivalised-disposable-income-eurostat-data.html</w:t>
      </w:r>
      <w:r>
        <w:fldChar w:fldCharType="end"/>
      </w:r>
      <w:r>
        <w:rPr>
          <w:rFonts w:eastAsia="Georgia" w:hAnsi="Georgia" w:cs="Georgia"/>
          <w:color w:val="000000"/>
          <w:sz w:val="18"/>
        </w:rPr>
        <w:t xml:space="preserve">      </w:t>
      </w:r>
    </w:p>
    <w:bookmarkStart w:id="11" w:name="fn2"/>
    <w:bookmarkEnd w:id="11"/>
    <w:p w14:paraId="0F634CC7" w14:textId="77777777" w:rsidR="00F55EA3" w:rsidRDefault="00F55EA3" w:rsidP="00BC4E44">
      <w:pPr>
        <w:numPr>
          <w:ilvl w:val="0"/>
          <w:numId w:val="5"/>
        </w:numPr>
        <w:spacing w:after="0" w:line="240" w:lineRule="auto"/>
        <w:ind w:left="0" w:firstLine="0"/>
      </w:pPr>
      <w:r>
        <w:fldChar w:fldCharType="begin"/>
      </w:r>
      <w:r>
        <w:instrText xml:space="preserve"> HYPERLINK "https://www.insee.fr/fr/statistiques/8672665" </w:instrText>
      </w:r>
      <w:r>
        <w:fldChar w:fldCharType="separate"/>
      </w:r>
      <w:r>
        <w:rPr>
          <w:rStyle w:val="Lienhypertexte"/>
          <w:rFonts w:ascii="helvetica neue" w:eastAsia="helvetica neue" w:hAnsi="helvetica neue" w:cs="helvetica neue"/>
          <w:sz w:val="18"/>
        </w:rPr>
        <w:t>https://www.insee.fr/fr/statistiques/8672665</w:t>
      </w:r>
      <w:r>
        <w:fldChar w:fldCharType="end"/>
      </w:r>
      <w:r>
        <w:rPr>
          <w:rFonts w:eastAsia="Georgia" w:hAnsi="Georgia" w:cs="Georgia"/>
          <w:color w:val="000000"/>
          <w:sz w:val="18"/>
        </w:rPr>
        <w:t xml:space="preserve">  </w:t>
      </w:r>
    </w:p>
    <w:bookmarkStart w:id="12" w:name="fn3"/>
    <w:bookmarkEnd w:id="12"/>
    <w:p w14:paraId="6F851507" w14:textId="77777777" w:rsidR="00F55EA3" w:rsidRDefault="00F55EA3" w:rsidP="00BC4E44">
      <w:pPr>
        <w:numPr>
          <w:ilvl w:val="0"/>
          <w:numId w:val="5"/>
        </w:numPr>
        <w:spacing w:after="0" w:line="240" w:lineRule="auto"/>
        <w:ind w:left="0" w:firstLine="0"/>
      </w:pPr>
      <w:r>
        <w:fldChar w:fldCharType="begin"/>
      </w:r>
      <w:r>
        <w:instrText xml:space="preserve"> HYPERLINK "https://www.leconseilpatrimoine.fr/actualites/patrimoines-un-fosse-qui-se-creuse-encore-entre-les-menages-francais/" </w:instrText>
      </w:r>
      <w:r>
        <w:fldChar w:fldCharType="separate"/>
      </w:r>
      <w:r>
        <w:rPr>
          <w:rStyle w:val="Lienhypertexte"/>
          <w:rFonts w:ascii="helvetica neue" w:eastAsia="helvetica neue" w:hAnsi="helvetica neue" w:cs="helvetica neue"/>
          <w:sz w:val="18"/>
        </w:rPr>
        <w:t>https://www.leconseilpatrimoine.fr/actualites/patrimoines-un-fosse-qui-se-creuse-encore-entre-les-menages-francais/</w:t>
      </w:r>
      <w:r>
        <w:fldChar w:fldCharType="end"/>
      </w:r>
      <w:r>
        <w:rPr>
          <w:rFonts w:eastAsia="Georgia" w:hAnsi="Georgia" w:cs="Georgia"/>
          <w:color w:val="000000"/>
          <w:sz w:val="18"/>
        </w:rPr>
        <w:t xml:space="preserve"> </w:t>
      </w:r>
    </w:p>
    <w:bookmarkStart w:id="13" w:name="fn4"/>
    <w:bookmarkEnd w:id="13"/>
    <w:p w14:paraId="5F84AA39" w14:textId="77777777" w:rsidR="00F55EA3" w:rsidRDefault="00F55EA3" w:rsidP="00BC4E44">
      <w:pPr>
        <w:numPr>
          <w:ilvl w:val="0"/>
          <w:numId w:val="5"/>
        </w:numPr>
        <w:spacing w:after="0" w:line="240" w:lineRule="auto"/>
        <w:ind w:left="0" w:firstLine="0"/>
      </w:pPr>
      <w:r>
        <w:fldChar w:fldCharType="begin"/>
      </w:r>
      <w:r>
        <w:instrText xml:space="preserve"> HYPERLINK "https://data.worldbank.org/indicator/SI.POV.GINI?locations=FR" </w:instrText>
      </w:r>
      <w:r>
        <w:fldChar w:fldCharType="separate"/>
      </w:r>
      <w:r>
        <w:rPr>
          <w:rStyle w:val="Lienhypertexte"/>
          <w:rFonts w:ascii="helvetica neue" w:eastAsia="helvetica neue" w:hAnsi="helvetica neue" w:cs="helvetica neue"/>
          <w:sz w:val="18"/>
        </w:rPr>
        <w:t>https://data.worldbank.org/indicator/SI.POV.GINI?locations=FR</w:t>
      </w:r>
      <w:r>
        <w:fldChar w:fldCharType="end"/>
      </w:r>
      <w:r>
        <w:rPr>
          <w:rFonts w:eastAsia="Georgia" w:hAnsi="Georgia" w:cs="Georgia"/>
          <w:color w:val="000000"/>
          <w:sz w:val="18"/>
        </w:rPr>
        <w:t xml:space="preserve">  </w:t>
      </w:r>
    </w:p>
    <w:bookmarkStart w:id="14" w:name="fn5"/>
    <w:bookmarkEnd w:id="14"/>
    <w:p w14:paraId="7F833022" w14:textId="77777777" w:rsidR="00F55EA3" w:rsidRDefault="00F55EA3" w:rsidP="00BC4E44">
      <w:pPr>
        <w:numPr>
          <w:ilvl w:val="0"/>
          <w:numId w:val="5"/>
        </w:numPr>
        <w:spacing w:after="0" w:line="240" w:lineRule="auto"/>
        <w:ind w:left="0" w:firstLine="0"/>
      </w:pPr>
      <w:r>
        <w:fldChar w:fldCharType="begin"/>
      </w:r>
      <w:r>
        <w:instrText xml:space="preserve"> HYPERLINK "https://www.alternatives-economiques.fr/inegalites-de-patrimoine-augmentent/00113227" </w:instrText>
      </w:r>
      <w:r>
        <w:fldChar w:fldCharType="separate"/>
      </w:r>
      <w:r>
        <w:rPr>
          <w:rStyle w:val="Lienhypertexte"/>
          <w:rFonts w:ascii="helvetica neue" w:eastAsia="helvetica neue" w:hAnsi="helvetica neue" w:cs="helvetica neue"/>
          <w:sz w:val="18"/>
        </w:rPr>
        <w:t>https://www.alternatives-economiques.fr/inegalites-de-patrimoine-augmentent/00113227</w:t>
      </w:r>
      <w:r>
        <w:fldChar w:fldCharType="end"/>
      </w:r>
      <w:r>
        <w:rPr>
          <w:rFonts w:eastAsia="Georgia" w:hAnsi="Georgia" w:cs="Georgia"/>
          <w:color w:val="000000"/>
          <w:sz w:val="18"/>
        </w:rPr>
        <w:t xml:space="preserve"> </w:t>
      </w:r>
    </w:p>
    <w:bookmarkStart w:id="15" w:name="fn6"/>
    <w:bookmarkEnd w:id="15"/>
    <w:p w14:paraId="66DA89FA" w14:textId="77777777" w:rsidR="00F55EA3" w:rsidRDefault="00F55EA3" w:rsidP="00BC4E44">
      <w:pPr>
        <w:numPr>
          <w:ilvl w:val="0"/>
          <w:numId w:val="5"/>
        </w:numPr>
        <w:spacing w:after="0" w:line="240" w:lineRule="auto"/>
        <w:ind w:left="0" w:firstLine="0"/>
      </w:pPr>
      <w:r>
        <w:fldChar w:fldCharType="begin"/>
      </w:r>
      <w:r>
        <w:instrText xml:space="preserve"> HYPERLINK "https://gateway.euro.who.int/en/hfa-explorer/gini-coefficient/france/" </w:instrText>
      </w:r>
      <w:r>
        <w:fldChar w:fldCharType="separate"/>
      </w:r>
      <w:r>
        <w:rPr>
          <w:rStyle w:val="Lienhypertexte"/>
          <w:rFonts w:ascii="helvetica neue" w:eastAsia="helvetica neue" w:hAnsi="helvetica neue" w:cs="helvetica neue"/>
          <w:sz w:val="18"/>
        </w:rPr>
        <w:t>https://gateway.euro.who.int/en/hfa-explorer/gini-coefficient/france/</w:t>
      </w:r>
      <w:r>
        <w:fldChar w:fldCharType="end"/>
      </w:r>
      <w:r>
        <w:rPr>
          <w:rFonts w:eastAsia="Georgia" w:hAnsi="Georgia" w:cs="Georgia"/>
          <w:color w:val="000000"/>
          <w:sz w:val="18"/>
        </w:rPr>
        <w:t xml:space="preserve"> </w:t>
      </w:r>
    </w:p>
    <w:bookmarkStart w:id="16" w:name="fn7"/>
    <w:bookmarkEnd w:id="16"/>
    <w:p w14:paraId="68EC1EF3" w14:textId="77777777" w:rsidR="00F55EA3" w:rsidRDefault="00F55EA3" w:rsidP="00BC4E44">
      <w:pPr>
        <w:numPr>
          <w:ilvl w:val="0"/>
          <w:numId w:val="5"/>
        </w:numPr>
        <w:spacing w:after="0" w:line="240" w:lineRule="auto"/>
        <w:ind w:left="0" w:firstLine="0"/>
      </w:pPr>
      <w:r>
        <w:fldChar w:fldCharType="begin"/>
      </w:r>
      <w:r>
        <w:instrText xml:space="preserve"> HYPERLINK "https://www.oecd.org/content/dam/oecd/en/data/datasets/income-and-wealth-distribution-databases/idd-key-indicators.xlsx" </w:instrText>
      </w:r>
      <w:r>
        <w:fldChar w:fldCharType="separate"/>
      </w:r>
      <w:r>
        <w:rPr>
          <w:rStyle w:val="Lienhypertexte"/>
          <w:rFonts w:ascii="helvetica neue" w:eastAsia="helvetica neue" w:hAnsi="helvetica neue" w:cs="helvetica neue"/>
          <w:sz w:val="18"/>
        </w:rPr>
        <w:t>https://www.oecd.org/content/dam/oecd/en/data/datasets/income-and-wealth-distribution-databases/idd-key-indicators.xlsx</w:t>
      </w:r>
      <w:r>
        <w:fldChar w:fldCharType="end"/>
      </w:r>
      <w:r>
        <w:rPr>
          <w:rFonts w:eastAsia="Georgia" w:hAnsi="Georgia" w:cs="Georgia"/>
          <w:color w:val="000000"/>
          <w:sz w:val="18"/>
        </w:rPr>
        <w:t xml:space="preserve"> </w:t>
      </w:r>
    </w:p>
    <w:bookmarkStart w:id="17" w:name="fn8"/>
    <w:bookmarkEnd w:id="17"/>
    <w:p w14:paraId="456C3608" w14:textId="77777777" w:rsidR="00F55EA3" w:rsidRDefault="00F55EA3" w:rsidP="00BC4E44">
      <w:pPr>
        <w:numPr>
          <w:ilvl w:val="0"/>
          <w:numId w:val="5"/>
        </w:numPr>
        <w:spacing w:after="0" w:line="240" w:lineRule="auto"/>
        <w:ind w:left="0" w:firstLine="0"/>
      </w:pPr>
      <w:r>
        <w:fldChar w:fldCharType="begin"/>
      </w:r>
      <w:r>
        <w:instrText xml:space="preserve"> HYPERLINK "https://www.insee.fr/fr/statistiques/7941439?sommaire=7941491" </w:instrText>
      </w:r>
      <w:r>
        <w:fldChar w:fldCharType="separate"/>
      </w:r>
      <w:r>
        <w:rPr>
          <w:rStyle w:val="Lienhypertexte"/>
          <w:rFonts w:ascii="helvetica neue" w:eastAsia="helvetica neue" w:hAnsi="helvetica neue" w:cs="helvetica neue"/>
          <w:sz w:val="18"/>
        </w:rPr>
        <w:t>https://www.insee.fr/fr/statistiques/7941439?sommaire=7941491</w:t>
      </w:r>
      <w:r>
        <w:fldChar w:fldCharType="end"/>
      </w:r>
      <w:r>
        <w:rPr>
          <w:rFonts w:eastAsia="Georgia" w:hAnsi="Georgia" w:cs="Georgia"/>
          <w:color w:val="000000"/>
          <w:sz w:val="18"/>
        </w:rPr>
        <w:t xml:space="preserve"> </w:t>
      </w:r>
    </w:p>
    <w:bookmarkStart w:id="18" w:name="fn9"/>
    <w:bookmarkEnd w:id="18"/>
    <w:p w14:paraId="63619E01" w14:textId="77777777" w:rsidR="00F55EA3" w:rsidRDefault="00F55EA3" w:rsidP="00BC4E44">
      <w:pPr>
        <w:numPr>
          <w:ilvl w:val="0"/>
          <w:numId w:val="5"/>
        </w:numPr>
        <w:spacing w:after="0" w:line="240" w:lineRule="auto"/>
        <w:ind w:left="0" w:firstLine="0"/>
      </w:pPr>
      <w:r>
        <w:fldChar w:fldCharType="begin"/>
      </w:r>
      <w:r>
        <w:instrText xml:space="preserve"> HYPERLINK "https://www.insee.fr/fr/statistiques/3561260" </w:instrText>
      </w:r>
      <w:r>
        <w:fldChar w:fldCharType="separate"/>
      </w:r>
      <w:r>
        <w:rPr>
          <w:rStyle w:val="Lienhypertexte"/>
          <w:rFonts w:ascii="helvetica neue" w:eastAsia="helvetica neue" w:hAnsi="helvetica neue" w:cs="helvetica neue"/>
          <w:sz w:val="18"/>
        </w:rPr>
        <w:t>https://www.insee.fr/fr/statistiques/3561260</w:t>
      </w:r>
      <w:r>
        <w:fldChar w:fldCharType="end"/>
      </w:r>
      <w:r>
        <w:rPr>
          <w:rFonts w:eastAsia="Georgia" w:hAnsi="Georgia" w:cs="Georgia"/>
          <w:color w:val="000000"/>
          <w:sz w:val="18"/>
        </w:rPr>
        <w:t xml:space="preserve"> </w:t>
      </w:r>
    </w:p>
    <w:bookmarkStart w:id="19" w:name="fn10"/>
    <w:bookmarkEnd w:id="19"/>
    <w:p w14:paraId="32F7890C" w14:textId="77777777" w:rsidR="00F55EA3" w:rsidRDefault="00F55EA3" w:rsidP="00BC4E44">
      <w:pPr>
        <w:numPr>
          <w:ilvl w:val="0"/>
          <w:numId w:val="5"/>
        </w:numPr>
        <w:spacing w:after="0" w:line="240" w:lineRule="auto"/>
        <w:ind w:left="0" w:firstLine="0"/>
      </w:pPr>
      <w:r>
        <w:fldChar w:fldCharType="begin"/>
      </w:r>
      <w:r>
        <w:instrText xml:space="preserve"> HYPERLINK "https://fr.wikipedia.org/wiki/Liste_des_pays_par_%C3%A9galit%C3%A9_de_revenus" </w:instrText>
      </w:r>
      <w:r>
        <w:fldChar w:fldCharType="separate"/>
      </w:r>
      <w:r>
        <w:rPr>
          <w:rStyle w:val="Lienhypertexte"/>
          <w:rFonts w:ascii="helvetica neue" w:eastAsia="helvetica neue" w:hAnsi="helvetica neue" w:cs="helvetica neue"/>
          <w:sz w:val="18"/>
        </w:rPr>
        <w:t>https://fr.wikipedia.org/wiki/Liste_des_pays_par_égalité_de_revenus</w:t>
      </w:r>
      <w:r>
        <w:fldChar w:fldCharType="end"/>
      </w:r>
      <w:r>
        <w:rPr>
          <w:rFonts w:eastAsia="Georgia" w:hAnsi="Georgia" w:cs="Georgia"/>
          <w:color w:val="000000"/>
          <w:sz w:val="18"/>
        </w:rPr>
        <w:t xml:space="preserve"> </w:t>
      </w:r>
    </w:p>
    <w:bookmarkStart w:id="20" w:name="fn11"/>
    <w:bookmarkEnd w:id="20"/>
    <w:p w14:paraId="5D514E6D" w14:textId="77777777" w:rsidR="00F55EA3" w:rsidRDefault="00F55EA3" w:rsidP="00BC4E44">
      <w:pPr>
        <w:numPr>
          <w:ilvl w:val="0"/>
          <w:numId w:val="5"/>
        </w:numPr>
        <w:spacing w:after="0" w:line="240" w:lineRule="auto"/>
        <w:ind w:left="0" w:firstLine="0"/>
      </w:pPr>
      <w:r>
        <w:fldChar w:fldCharType="begin"/>
      </w:r>
      <w:r>
        <w:instrText xml:space="preserve"> HYPERLINK "https://statbase.org/data/fra-gini-index/" </w:instrText>
      </w:r>
      <w:r>
        <w:fldChar w:fldCharType="separate"/>
      </w:r>
      <w:r>
        <w:rPr>
          <w:rStyle w:val="Lienhypertexte"/>
          <w:rFonts w:ascii="helvetica neue" w:eastAsia="helvetica neue" w:hAnsi="helvetica neue" w:cs="helvetica neue"/>
          <w:sz w:val="18"/>
        </w:rPr>
        <w:t>https://statbase.org/data/fra-gini-index/</w:t>
      </w:r>
      <w:r>
        <w:fldChar w:fldCharType="end"/>
      </w:r>
      <w:r>
        <w:rPr>
          <w:rFonts w:eastAsia="Georgia" w:hAnsi="Georgia" w:cs="Georgia"/>
          <w:color w:val="000000"/>
          <w:sz w:val="18"/>
        </w:rPr>
        <w:t xml:space="preserve"> </w:t>
      </w:r>
    </w:p>
    <w:bookmarkStart w:id="21" w:name="fn12"/>
    <w:bookmarkEnd w:id="21"/>
    <w:p w14:paraId="133A86DD" w14:textId="77777777" w:rsidR="00F55EA3" w:rsidRDefault="00F55EA3" w:rsidP="00BC4E44">
      <w:pPr>
        <w:numPr>
          <w:ilvl w:val="0"/>
          <w:numId w:val="5"/>
        </w:numPr>
        <w:spacing w:after="0" w:line="240" w:lineRule="auto"/>
        <w:ind w:left="0" w:firstLine="0"/>
      </w:pPr>
      <w:r>
        <w:fldChar w:fldCharType="begin"/>
      </w:r>
      <w:r>
        <w:instrText xml:space="preserve"> HYPERLINK "https://fr.theglobaleconomy.com/France/gini_inequality_index/" </w:instrText>
      </w:r>
      <w:r>
        <w:fldChar w:fldCharType="separate"/>
      </w:r>
      <w:r>
        <w:rPr>
          <w:rStyle w:val="Lienhypertexte"/>
          <w:rFonts w:ascii="helvetica neue" w:eastAsia="helvetica neue" w:hAnsi="helvetica neue" w:cs="helvetica neue"/>
          <w:sz w:val="18"/>
        </w:rPr>
        <w:t>https://fr.theglobaleconomy.com/France/gini_inequality_index/</w:t>
      </w:r>
      <w:r>
        <w:fldChar w:fldCharType="end"/>
      </w:r>
      <w:r>
        <w:rPr>
          <w:rFonts w:eastAsia="Georgia" w:hAnsi="Georgia" w:cs="Georgia"/>
          <w:color w:val="000000"/>
          <w:sz w:val="18"/>
        </w:rPr>
        <w:t xml:space="preserve"> </w:t>
      </w:r>
    </w:p>
    <w:bookmarkStart w:id="22" w:name="fn13"/>
    <w:bookmarkEnd w:id="22"/>
    <w:p w14:paraId="475488E7" w14:textId="77777777" w:rsidR="00F55EA3" w:rsidRDefault="00F55EA3" w:rsidP="00BC4E44">
      <w:pPr>
        <w:numPr>
          <w:ilvl w:val="0"/>
          <w:numId w:val="5"/>
        </w:numPr>
        <w:spacing w:after="0" w:line="240" w:lineRule="auto"/>
        <w:ind w:left="0" w:firstLine="0"/>
      </w:pPr>
      <w:r>
        <w:fldChar w:fldCharType="begin"/>
      </w:r>
      <w:r>
        <w:instrText xml:space="preserve"> HYPERLINK "https://www.oklein.fr/en/income-inequality-france-trapped-by-treating-symptoms-rather-than-root-causes/" </w:instrText>
      </w:r>
      <w:r>
        <w:fldChar w:fldCharType="separate"/>
      </w:r>
      <w:r>
        <w:rPr>
          <w:rStyle w:val="Lienhypertexte"/>
          <w:rFonts w:ascii="helvetica neue" w:eastAsia="helvetica neue" w:hAnsi="helvetica neue" w:cs="helvetica neue"/>
          <w:sz w:val="18"/>
        </w:rPr>
        <w:t>https://www.oklein.fr/en/income-inequality-france-trapped-by-treating-symptoms-rather-than-root-causes/</w:t>
      </w:r>
      <w:r>
        <w:fldChar w:fldCharType="end"/>
      </w:r>
      <w:r>
        <w:rPr>
          <w:rFonts w:eastAsia="Georgia" w:hAnsi="Georgia" w:cs="Georgia"/>
          <w:color w:val="000000"/>
          <w:sz w:val="18"/>
        </w:rPr>
        <w:t xml:space="preserve"> </w:t>
      </w:r>
    </w:p>
    <w:bookmarkStart w:id="23" w:name="fn14"/>
    <w:bookmarkEnd w:id="23"/>
    <w:p w14:paraId="1114DDBD" w14:textId="77777777" w:rsidR="00F55EA3" w:rsidRDefault="00F55EA3" w:rsidP="00BC4E44">
      <w:pPr>
        <w:numPr>
          <w:ilvl w:val="0"/>
          <w:numId w:val="5"/>
        </w:numPr>
        <w:spacing w:after="0" w:line="240" w:lineRule="auto"/>
        <w:ind w:left="0" w:firstLine="0"/>
      </w:pPr>
      <w:r>
        <w:fldChar w:fldCharType="begin"/>
      </w:r>
      <w:r>
        <w:instrText xml:space="preserve"> HYPERLINK "https://www.worldeconomics.com/Processors/Economics-Countries-Inequality-GiniCoefficient.aspx?Country=France" </w:instrText>
      </w:r>
      <w:r>
        <w:fldChar w:fldCharType="separate"/>
      </w:r>
      <w:r>
        <w:rPr>
          <w:rStyle w:val="Lienhypertexte"/>
          <w:rFonts w:ascii="helvetica neue" w:eastAsia="helvetica neue" w:hAnsi="helvetica neue" w:cs="helvetica neue"/>
          <w:sz w:val="18"/>
        </w:rPr>
        <w:t>https://www.worldeconomics.com/Processors/Economics-Countries-Inequality-GiniCoefficient.aspx?Country=France</w:t>
      </w:r>
      <w:r>
        <w:fldChar w:fldCharType="end"/>
      </w:r>
      <w:r>
        <w:rPr>
          <w:rFonts w:eastAsia="Georgia" w:hAnsi="Georgia" w:cs="Georgia"/>
          <w:color w:val="000000"/>
          <w:sz w:val="18"/>
        </w:rPr>
        <w:t xml:space="preserve"> </w:t>
      </w:r>
    </w:p>
    <w:bookmarkStart w:id="24" w:name="fn15"/>
    <w:bookmarkEnd w:id="24"/>
    <w:p w14:paraId="688B4AA3" w14:textId="77777777" w:rsidR="00F55EA3" w:rsidRDefault="00F55EA3" w:rsidP="00BC4E44">
      <w:pPr>
        <w:numPr>
          <w:ilvl w:val="0"/>
          <w:numId w:val="5"/>
        </w:numPr>
        <w:spacing w:after="0" w:line="240" w:lineRule="auto"/>
        <w:ind w:left="0" w:firstLine="0"/>
      </w:pPr>
      <w:r>
        <w:fldChar w:fldCharType="begin"/>
      </w:r>
      <w:r>
        <w:instrText xml:space="preserve"> HYPERLINK "https://www.cashbee.fr/the-interest/la-france-est-elle-particulierement-inegale" </w:instrText>
      </w:r>
      <w:r>
        <w:fldChar w:fldCharType="separate"/>
      </w:r>
      <w:r>
        <w:rPr>
          <w:rStyle w:val="Lienhypertexte"/>
          <w:rFonts w:ascii="helvetica neue" w:eastAsia="helvetica neue" w:hAnsi="helvetica neue" w:cs="helvetica neue"/>
          <w:sz w:val="18"/>
        </w:rPr>
        <w:t>https://www.cashbee.fr/the-interest/la-france-est-elle-particulierement-inegale</w:t>
      </w:r>
      <w:r>
        <w:fldChar w:fldCharType="end"/>
      </w:r>
      <w:r>
        <w:rPr>
          <w:rFonts w:eastAsia="Georgia" w:hAnsi="Georgia" w:cs="Georgia"/>
          <w:color w:val="000000"/>
          <w:sz w:val="18"/>
        </w:rPr>
        <w:t xml:space="preserve"> </w:t>
      </w:r>
    </w:p>
    <w:p w14:paraId="3F61D236" w14:textId="77777777" w:rsidR="00F55EA3" w:rsidRPr="00F55EA3" w:rsidRDefault="00F55EA3" w:rsidP="00BC4E44">
      <w:pPr>
        <w:spacing w:after="0" w:line="240" w:lineRule="auto"/>
        <w:rPr>
          <w:rFonts w:cstheme="minorHAnsi"/>
        </w:rPr>
      </w:pPr>
    </w:p>
    <w:p w14:paraId="34EDC4FB" w14:textId="18BFC37D" w:rsidR="00F55EA3" w:rsidRDefault="00F55EA3" w:rsidP="00F55EA3">
      <w:pPr>
        <w:spacing w:line="240" w:lineRule="auto"/>
        <w:rPr>
          <w:rFonts w:cstheme="minorHAnsi"/>
        </w:rPr>
      </w:pPr>
    </w:p>
    <w:p w14:paraId="0FBB62A9" w14:textId="22C4B57A" w:rsidR="00BC4E44" w:rsidRDefault="00BC4E44" w:rsidP="00F55EA3">
      <w:pPr>
        <w:spacing w:line="240" w:lineRule="auto"/>
        <w:rPr>
          <w:rFonts w:cstheme="minorHAnsi"/>
        </w:rPr>
      </w:pPr>
    </w:p>
    <w:p w14:paraId="6F72D91E" w14:textId="24003EE6" w:rsidR="00BC4E44" w:rsidRDefault="00BC4E44" w:rsidP="00F55EA3">
      <w:pPr>
        <w:spacing w:line="240" w:lineRule="auto"/>
        <w:rPr>
          <w:rFonts w:cstheme="minorHAnsi"/>
        </w:rPr>
      </w:pPr>
    </w:p>
    <w:p w14:paraId="3879BFB8" w14:textId="77777777" w:rsidR="00BC4E44" w:rsidRPr="00F55EA3" w:rsidRDefault="00BC4E44" w:rsidP="00F55EA3">
      <w:pPr>
        <w:spacing w:line="240" w:lineRule="auto"/>
        <w:rPr>
          <w:rFonts w:cstheme="minorHAnsi"/>
        </w:rPr>
      </w:pPr>
    </w:p>
    <w:p w14:paraId="2FF486BA" w14:textId="52E1587F" w:rsidR="00BC4E44" w:rsidRDefault="00BC4E44" w:rsidP="00F55EA3">
      <w:pPr>
        <w:spacing w:line="240" w:lineRule="auto"/>
        <w:rPr>
          <w:rFonts w:cstheme="minorHAnsi"/>
          <w:lang w:val="en-GB"/>
        </w:rPr>
      </w:pPr>
    </w:p>
    <w:p w14:paraId="2A0CF28E" w14:textId="2385E9C1" w:rsidR="00BC4E44" w:rsidRPr="00BC4E44" w:rsidRDefault="00BC4E44" w:rsidP="00F55EA3">
      <w:pPr>
        <w:spacing w:line="240" w:lineRule="auto"/>
        <w:rPr>
          <w:rFonts w:cstheme="minorHAnsi"/>
          <w:b/>
          <w:bCs/>
          <w:lang w:val="en-GB"/>
        </w:rPr>
      </w:pPr>
      <w:r w:rsidRPr="00BC4E44">
        <w:rPr>
          <w:rFonts w:cstheme="minorHAnsi"/>
          <w:b/>
          <w:bCs/>
          <w:lang w:val="en-GB"/>
        </w:rPr>
        <w:lastRenderedPageBreak/>
        <w:t xml:space="preserve">Thomas Piketty, </w:t>
      </w:r>
      <w:r w:rsidRPr="00BC4E44">
        <w:rPr>
          <w:rFonts w:cstheme="minorHAnsi"/>
          <w:b/>
          <w:bCs/>
          <w:lang w:val="en-GB"/>
        </w:rPr>
        <w:t>Capital in the Twenty-First Century</w:t>
      </w:r>
      <w:r w:rsidRPr="00BC4E44">
        <w:rPr>
          <w:rFonts w:cstheme="minorHAnsi"/>
          <w:b/>
          <w:bCs/>
          <w:lang w:val="en-GB"/>
        </w:rPr>
        <w:t>, Harvard University Press, 2014</w:t>
      </w:r>
    </w:p>
    <w:p w14:paraId="11BF9CCC" w14:textId="31BCB83B" w:rsidR="00F55EA3" w:rsidRPr="00F55EA3" w:rsidRDefault="00F55EA3" w:rsidP="00F55EA3">
      <w:pPr>
        <w:spacing w:line="240" w:lineRule="auto"/>
        <w:rPr>
          <w:rFonts w:cstheme="minorHAnsi"/>
          <w:lang w:val="en-GB"/>
        </w:rPr>
      </w:pPr>
      <w:r w:rsidRPr="00F55EA3">
        <w:rPr>
          <w:rFonts w:cstheme="minorHAnsi"/>
          <w:lang w:val="en-GB"/>
        </w:rPr>
        <w:t>Piketty et al. have emphasised the wealth of the top 1%. In particular, they note that the “great compression” of inequality of wealth in the 20</w:t>
      </w:r>
      <w:r w:rsidRPr="00F55EA3">
        <w:rPr>
          <w:rFonts w:cstheme="minorHAnsi"/>
          <w:vertAlign w:val="superscript"/>
          <w:lang w:val="en-GB"/>
        </w:rPr>
        <w:t>th</w:t>
      </w:r>
      <w:r w:rsidRPr="00F55EA3">
        <w:rPr>
          <w:rFonts w:cstheme="minorHAnsi"/>
          <w:lang w:val="en-GB"/>
        </w:rPr>
        <w:t xml:space="preserve"> century ended in the late 1970s with the move to neoliberal policies.</w:t>
      </w:r>
    </w:p>
    <w:p w14:paraId="25A12133" w14:textId="77777777" w:rsidR="00F55EA3" w:rsidRPr="00F55EA3" w:rsidRDefault="00F55EA3" w:rsidP="00F55EA3">
      <w:pPr>
        <w:spacing w:line="240" w:lineRule="auto"/>
        <w:rPr>
          <w:rFonts w:cstheme="minorHAnsi"/>
          <w:lang w:val="en-GB"/>
        </w:rPr>
      </w:pPr>
      <w:r w:rsidRPr="00F55EA3">
        <w:rPr>
          <w:noProof/>
          <w:lang w:val="en-GB"/>
        </w:rPr>
        <w:drawing>
          <wp:inline distT="0" distB="0" distL="0" distR="0" wp14:anchorId="4A557A4C" wp14:editId="4C418016">
            <wp:extent cx="5741582" cy="410562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2625" cy="4113521"/>
                    </a:xfrm>
                    <a:prstGeom prst="rect">
                      <a:avLst/>
                    </a:prstGeom>
                  </pic:spPr>
                </pic:pic>
              </a:graphicData>
            </a:graphic>
          </wp:inline>
        </w:drawing>
      </w:r>
    </w:p>
    <w:p w14:paraId="2F8BBB1B" w14:textId="4E015EDD" w:rsidR="00F55EA3" w:rsidRPr="00F55EA3" w:rsidRDefault="00F55EA3" w:rsidP="00F55EA3">
      <w:pPr>
        <w:pStyle w:val="Paragraphedeliste"/>
        <w:spacing w:line="240" w:lineRule="auto"/>
        <w:ind w:left="0"/>
        <w:rPr>
          <w:rFonts w:cstheme="minorHAnsi"/>
          <w:lang w:val="en-GB"/>
        </w:rPr>
      </w:pPr>
      <w:r w:rsidRPr="00F55EA3">
        <w:rPr>
          <w:rFonts w:cstheme="minorHAnsi"/>
          <w:lang w:val="en-GB"/>
        </w:rPr>
        <w:t>(Wealth held by the top 1% of US households.)</w:t>
      </w:r>
    </w:p>
    <w:p w14:paraId="1E95C55D" w14:textId="77777777" w:rsidR="00F55EA3" w:rsidRPr="00F55EA3" w:rsidRDefault="00F55EA3" w:rsidP="00F55EA3">
      <w:pPr>
        <w:pStyle w:val="Paragraphedeliste"/>
        <w:spacing w:line="240" w:lineRule="auto"/>
        <w:ind w:left="0"/>
        <w:rPr>
          <w:rFonts w:cstheme="minorHAnsi"/>
          <w:lang w:val="en-GB"/>
        </w:rPr>
      </w:pPr>
      <w:r w:rsidRPr="00F55EA3">
        <w:rPr>
          <w:rFonts w:cstheme="minorHAnsi"/>
          <w:lang w:val="en-GB"/>
        </w:rPr>
        <w:t xml:space="preserve">Piketty’s big idea is that under capitalism the real interest rate on investment is higher than the growth rate (r &gt; </w:t>
      </w:r>
      <w:proofErr w:type="gramStart"/>
      <w:r w:rsidRPr="00F55EA3">
        <w:rPr>
          <w:rFonts w:cstheme="minorHAnsi"/>
          <w:lang w:val="en-GB"/>
        </w:rPr>
        <w:t>g )</w:t>
      </w:r>
      <w:proofErr w:type="gramEnd"/>
      <w:r w:rsidRPr="00F55EA3">
        <w:rPr>
          <w:rFonts w:cstheme="minorHAnsi"/>
          <w:lang w:val="en-GB"/>
        </w:rPr>
        <w:t>. Therefore, wealth accumulates and concentrates.</w:t>
      </w:r>
    </w:p>
    <w:p w14:paraId="72C1505B" w14:textId="1A2ED1B2" w:rsidR="00F55EA3" w:rsidRDefault="00F55EA3" w:rsidP="00F55EA3">
      <w:pPr>
        <w:pStyle w:val="Paragraphedeliste"/>
        <w:spacing w:line="240" w:lineRule="auto"/>
        <w:ind w:left="0"/>
        <w:rPr>
          <w:rFonts w:cstheme="minorHAnsi"/>
          <w:lang w:val="en-GB"/>
        </w:rPr>
      </w:pPr>
      <w:r w:rsidRPr="00F55EA3">
        <w:rPr>
          <w:rFonts w:cstheme="minorHAnsi"/>
          <w:lang w:val="en-GB"/>
        </w:rPr>
        <w:t>The great compression, Piketty argues, was due to the Great Depression and then World War II, and high taxation after 1945, until 1981.</w:t>
      </w:r>
      <w:r w:rsidR="00BC4E44">
        <w:rPr>
          <w:rFonts w:cstheme="minorHAnsi"/>
          <w:lang w:val="en-GB"/>
        </w:rPr>
        <w:t xml:space="preserve"> Otherwise, during times of peace, capitalism tends to lead to income and wealth inequalities.</w:t>
      </w:r>
    </w:p>
    <w:p w14:paraId="112F6C2A" w14:textId="63553A35" w:rsidR="00BC4E44" w:rsidRDefault="00BC4E44" w:rsidP="00F55EA3">
      <w:pPr>
        <w:pStyle w:val="Paragraphedeliste"/>
        <w:spacing w:line="240" w:lineRule="auto"/>
        <w:ind w:left="0"/>
        <w:rPr>
          <w:rFonts w:cstheme="minorHAnsi"/>
          <w:lang w:val="en-GB"/>
        </w:rPr>
      </w:pPr>
    </w:p>
    <w:p w14:paraId="693E298D" w14:textId="31835DFF" w:rsidR="00F55EA3" w:rsidRPr="00F55EA3" w:rsidRDefault="00F55EA3" w:rsidP="00F55EA3">
      <w:pPr>
        <w:spacing w:line="240" w:lineRule="auto"/>
        <w:rPr>
          <w:rFonts w:cstheme="minorHAnsi"/>
          <w:b/>
          <w:bCs/>
          <w:lang w:val="en-GB"/>
        </w:rPr>
      </w:pPr>
      <w:proofErr w:type="spellStart"/>
      <w:r w:rsidRPr="00F55EA3">
        <w:rPr>
          <w:rFonts w:cstheme="minorHAnsi"/>
          <w:b/>
          <w:bCs/>
          <w:lang w:val="en-GB"/>
        </w:rPr>
        <w:t>Branko</w:t>
      </w:r>
      <w:proofErr w:type="spellEnd"/>
      <w:r w:rsidRPr="00F55EA3">
        <w:rPr>
          <w:rFonts w:cstheme="minorHAnsi"/>
          <w:b/>
          <w:bCs/>
          <w:lang w:val="en-GB"/>
        </w:rPr>
        <w:t xml:space="preserve"> Milanovic is famous for his “elephant”:</w:t>
      </w:r>
    </w:p>
    <w:p w14:paraId="10CCF4E5" w14:textId="77777777" w:rsidR="00F55EA3" w:rsidRPr="00F55EA3" w:rsidRDefault="00F55EA3" w:rsidP="00F55EA3">
      <w:pPr>
        <w:spacing w:line="240" w:lineRule="auto"/>
        <w:rPr>
          <w:rFonts w:cstheme="minorHAnsi"/>
          <w:lang w:val="en-GB"/>
        </w:rPr>
      </w:pPr>
      <w:r w:rsidRPr="00F55EA3">
        <w:rPr>
          <w:noProof/>
          <w:lang w:val="en-GB"/>
        </w:rPr>
        <w:drawing>
          <wp:inline distT="0" distB="0" distL="0" distR="0" wp14:anchorId="07DBBAF7" wp14:editId="6871AED4">
            <wp:extent cx="5760720" cy="19295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4877" cy="1930931"/>
                    </a:xfrm>
                    <a:prstGeom prst="rect">
                      <a:avLst/>
                    </a:prstGeom>
                  </pic:spPr>
                </pic:pic>
              </a:graphicData>
            </a:graphic>
          </wp:inline>
        </w:drawing>
      </w:r>
    </w:p>
    <w:p w14:paraId="21DBB389" w14:textId="77777777" w:rsidR="00F55EA3" w:rsidRPr="00F55EA3" w:rsidRDefault="00F55EA3" w:rsidP="00F55EA3">
      <w:pPr>
        <w:spacing w:line="240" w:lineRule="auto"/>
        <w:rPr>
          <w:rFonts w:cstheme="minorHAnsi"/>
          <w:lang w:val="en-GB"/>
        </w:rPr>
      </w:pPr>
    </w:p>
    <w:p w14:paraId="0483470B" w14:textId="77777777" w:rsidR="00F55EA3" w:rsidRPr="00F55EA3" w:rsidRDefault="00F55EA3" w:rsidP="00F55EA3">
      <w:pPr>
        <w:spacing w:line="240" w:lineRule="auto"/>
        <w:rPr>
          <w:rFonts w:cstheme="minorHAnsi"/>
          <w:lang w:val="en-GB"/>
        </w:rPr>
      </w:pPr>
      <w:r w:rsidRPr="00F55EA3">
        <w:rPr>
          <w:rFonts w:cstheme="minorHAnsi"/>
          <w:lang w:val="en-GB"/>
        </w:rPr>
        <w:lastRenderedPageBreak/>
        <w:t>The graph shows growth in income per percentile of the global population between 1988 and 2008. The major rise in income occurred in Asia and especially China. The very rich (the trunk of the elephant) also experienced real income growth.</w:t>
      </w:r>
    </w:p>
    <w:p w14:paraId="3B493448" w14:textId="06E5320F" w:rsidR="00F55EA3" w:rsidRDefault="00F55EA3" w:rsidP="00F55EA3">
      <w:pPr>
        <w:spacing w:line="240" w:lineRule="auto"/>
        <w:rPr>
          <w:rFonts w:cstheme="minorHAnsi"/>
          <w:lang w:val="en-GB"/>
        </w:rPr>
      </w:pPr>
      <w:r w:rsidRPr="00F55EA3">
        <w:rPr>
          <w:rFonts w:cstheme="minorHAnsi"/>
          <w:lang w:val="en-GB"/>
        </w:rPr>
        <w:t>The “losers” are middle classes in the “rich countries” and much of Eastern Europe.</w:t>
      </w:r>
    </w:p>
    <w:p w14:paraId="21BE2864" w14:textId="59403C7C" w:rsidR="00BC4E44" w:rsidRPr="00BC4E44" w:rsidRDefault="00BC4E44" w:rsidP="00F55EA3">
      <w:pPr>
        <w:spacing w:line="240" w:lineRule="auto"/>
        <w:rPr>
          <w:rFonts w:cstheme="minorHAnsi"/>
          <w:b/>
          <w:bCs/>
          <w:lang w:val="en-GB"/>
        </w:rPr>
      </w:pPr>
      <w:r w:rsidRPr="00BC4E44">
        <w:rPr>
          <w:rFonts w:cstheme="minorHAnsi"/>
          <w:b/>
          <w:bCs/>
          <w:lang w:val="en-GB"/>
        </w:rPr>
        <w:t>Significantly, Milanovic has shown that “peak global inequality” occurred from the 1950s to 1970s</w:t>
      </w:r>
    </w:p>
    <w:p w14:paraId="4D5C853A" w14:textId="0B0F37CE" w:rsidR="00BC4E44" w:rsidRDefault="00BC4E44" w:rsidP="00F55EA3">
      <w:pPr>
        <w:spacing w:line="240" w:lineRule="auto"/>
        <w:rPr>
          <w:rFonts w:cstheme="minorHAnsi"/>
          <w:lang w:val="en-GB"/>
        </w:rPr>
      </w:pPr>
      <w:r w:rsidRPr="00EC54D6">
        <w:rPr>
          <w:noProof/>
          <w:sz w:val="40"/>
          <w:szCs w:val="40"/>
          <w:lang w:val="en-GB"/>
        </w:rPr>
        <w:drawing>
          <wp:inline distT="0" distB="0" distL="0" distR="0" wp14:anchorId="61DC9A7F" wp14:editId="671FF0F9">
            <wp:extent cx="3477110" cy="3067478"/>
            <wp:effectExtent l="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77110" cy="3067478"/>
                    </a:xfrm>
                    <a:prstGeom prst="rect">
                      <a:avLst/>
                    </a:prstGeom>
                  </pic:spPr>
                </pic:pic>
              </a:graphicData>
            </a:graphic>
          </wp:inline>
        </w:drawing>
      </w:r>
    </w:p>
    <w:p w14:paraId="6C6DFEA4" w14:textId="22D2EDF5" w:rsidR="00BC4E44" w:rsidRDefault="00BC4E44" w:rsidP="00F55EA3">
      <w:pPr>
        <w:spacing w:line="240" w:lineRule="auto"/>
        <w:rPr>
          <w:rFonts w:cstheme="minorHAnsi"/>
          <w:lang w:val="en-GB"/>
        </w:rPr>
      </w:pPr>
    </w:p>
    <w:p w14:paraId="02678C58" w14:textId="3521EBA4" w:rsidR="00F55EA3" w:rsidRPr="00BC4E44" w:rsidRDefault="00BC4E44" w:rsidP="00F55EA3">
      <w:pPr>
        <w:spacing w:line="240" w:lineRule="auto"/>
        <w:rPr>
          <w:rFonts w:cstheme="minorHAnsi"/>
          <w:b/>
          <w:bCs/>
          <w:lang w:val="en-GB"/>
        </w:rPr>
      </w:pPr>
      <w:r w:rsidRPr="00BC4E44">
        <w:rPr>
          <w:rFonts w:cstheme="minorHAnsi"/>
          <w:b/>
          <w:bCs/>
          <w:lang w:val="en-GB"/>
        </w:rPr>
        <w:t xml:space="preserve">Apart from that, you can also see </w:t>
      </w:r>
      <w:r w:rsidR="00F55EA3" w:rsidRPr="00BC4E44">
        <w:rPr>
          <w:rFonts w:cstheme="minorHAnsi"/>
          <w:b/>
          <w:bCs/>
          <w:lang w:val="en-GB"/>
        </w:rPr>
        <w:t xml:space="preserve">the “Deaton Review” </w:t>
      </w:r>
      <w:r w:rsidRPr="00BC4E44">
        <w:rPr>
          <w:rFonts w:cstheme="minorHAnsi"/>
          <w:b/>
          <w:bCs/>
          <w:lang w:val="en-GB"/>
        </w:rPr>
        <w:t>for a much broader study of inequalities in English-speaking countries</w:t>
      </w:r>
      <w:r w:rsidR="00F55EA3" w:rsidRPr="00BC4E44">
        <w:rPr>
          <w:rFonts w:cstheme="minorHAnsi"/>
          <w:b/>
          <w:bCs/>
          <w:lang w:val="en-GB"/>
        </w:rPr>
        <w:t xml:space="preserve">:  </w:t>
      </w:r>
      <w:hyperlink r:id="rId14" w:history="1">
        <w:r w:rsidR="00F55EA3" w:rsidRPr="00BC4E44">
          <w:rPr>
            <w:rStyle w:val="Lienhypertexte"/>
            <w:rFonts w:cstheme="minorHAnsi"/>
            <w:b/>
            <w:bCs/>
            <w:lang w:val="en-GB"/>
          </w:rPr>
          <w:t>https://ifs.org.uk/inequality/</w:t>
        </w:r>
      </w:hyperlink>
    </w:p>
    <w:p w14:paraId="597FCBCE" w14:textId="77777777" w:rsidR="00F55EA3" w:rsidRPr="00F55EA3" w:rsidRDefault="00F55EA3" w:rsidP="00F55EA3">
      <w:pPr>
        <w:spacing w:line="240" w:lineRule="auto"/>
        <w:rPr>
          <w:rFonts w:cstheme="minorHAnsi"/>
          <w:lang w:val="en-GB"/>
        </w:rPr>
      </w:pPr>
    </w:p>
    <w:p w14:paraId="16BA94C1" w14:textId="77777777" w:rsidR="00F55EA3" w:rsidRPr="00F55EA3" w:rsidRDefault="00F55EA3" w:rsidP="00F55EA3">
      <w:pPr>
        <w:spacing w:line="240" w:lineRule="auto"/>
        <w:rPr>
          <w:rFonts w:cstheme="minorHAnsi"/>
          <w:lang w:val="en-GB"/>
        </w:rPr>
      </w:pPr>
    </w:p>
    <w:p w14:paraId="0EE95E59" w14:textId="77777777" w:rsidR="00F55EA3" w:rsidRPr="00F55EA3" w:rsidRDefault="00F55EA3" w:rsidP="00F55EA3">
      <w:pPr>
        <w:spacing w:line="240" w:lineRule="auto"/>
        <w:rPr>
          <w:rFonts w:cstheme="minorHAnsi"/>
          <w:lang w:val="en-GB"/>
        </w:rPr>
      </w:pPr>
    </w:p>
    <w:p w14:paraId="29D53295" w14:textId="77777777" w:rsidR="00F55EA3" w:rsidRPr="00F55EA3" w:rsidRDefault="00F55EA3" w:rsidP="00F55EA3">
      <w:pPr>
        <w:spacing w:line="240" w:lineRule="auto"/>
        <w:rPr>
          <w:rFonts w:cstheme="minorHAnsi"/>
          <w:lang w:val="en-GB"/>
        </w:rPr>
      </w:pPr>
    </w:p>
    <w:p w14:paraId="1712DE90" w14:textId="77777777" w:rsidR="00473FB6" w:rsidRPr="00F55EA3" w:rsidRDefault="00473FB6">
      <w:pPr>
        <w:rPr>
          <w:rFonts w:cstheme="minorHAnsi"/>
          <w:lang w:val="en-GB"/>
        </w:rPr>
      </w:pPr>
    </w:p>
    <w:sectPr w:rsidR="00473FB6" w:rsidRPr="00F55EA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918B" w14:textId="77777777" w:rsidR="001329DA" w:rsidRDefault="001329DA" w:rsidP="00BC4E44">
      <w:pPr>
        <w:spacing w:after="0" w:line="240" w:lineRule="auto"/>
      </w:pPr>
      <w:r>
        <w:separator/>
      </w:r>
    </w:p>
  </w:endnote>
  <w:endnote w:type="continuationSeparator" w:id="0">
    <w:p w14:paraId="14FA2FA1" w14:textId="77777777" w:rsidR="001329DA" w:rsidRDefault="001329DA" w:rsidP="00BC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570819"/>
      <w:docPartObj>
        <w:docPartGallery w:val="Page Numbers (Bottom of Page)"/>
        <w:docPartUnique/>
      </w:docPartObj>
    </w:sdtPr>
    <w:sdtContent>
      <w:p w14:paraId="109C003A" w14:textId="58575CB5" w:rsidR="00BC4E44" w:rsidRDefault="00BC4E44">
        <w:pPr>
          <w:pStyle w:val="Pieddepage"/>
          <w:jc w:val="center"/>
        </w:pPr>
        <w:r>
          <w:fldChar w:fldCharType="begin"/>
        </w:r>
        <w:r>
          <w:instrText>PAGE   \* MERGEFORMAT</w:instrText>
        </w:r>
        <w:r>
          <w:fldChar w:fldCharType="separate"/>
        </w:r>
        <w:r>
          <w:t>2</w:t>
        </w:r>
        <w:r>
          <w:fldChar w:fldCharType="end"/>
        </w:r>
      </w:p>
    </w:sdtContent>
  </w:sdt>
  <w:p w14:paraId="6442DD73" w14:textId="77777777" w:rsidR="00BC4E44" w:rsidRDefault="00BC4E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C7594" w14:textId="77777777" w:rsidR="001329DA" w:rsidRDefault="001329DA" w:rsidP="00BC4E44">
      <w:pPr>
        <w:spacing w:after="0" w:line="240" w:lineRule="auto"/>
      </w:pPr>
      <w:r>
        <w:separator/>
      </w:r>
    </w:p>
  </w:footnote>
  <w:footnote w:type="continuationSeparator" w:id="0">
    <w:p w14:paraId="794F3AE8" w14:textId="77777777" w:rsidR="001329DA" w:rsidRDefault="001329DA" w:rsidP="00BC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0CB0"/>
    <w:multiLevelType w:val="hybridMultilevel"/>
    <w:tmpl w:val="BEE4DF54"/>
    <w:lvl w:ilvl="0" w:tplc="55D42B20">
      <w:start w:val="1"/>
      <w:numFmt w:val="decimal"/>
      <w:lvlText w:val="%1."/>
      <w:lvlJc w:val="left"/>
      <w:pPr>
        <w:tabs>
          <w:tab w:val="num" w:pos="900"/>
        </w:tabs>
        <w:ind w:left="540" w:hanging="360"/>
      </w:pPr>
    </w:lvl>
    <w:lvl w:ilvl="1" w:tplc="BA921F58">
      <w:numFmt w:val="decimal"/>
      <w:lvlText w:val=""/>
      <w:lvlJc w:val="left"/>
      <w:pPr>
        <w:ind w:left="0" w:firstLine="0"/>
      </w:pPr>
    </w:lvl>
    <w:lvl w:ilvl="2" w:tplc="CE5EA5C8">
      <w:numFmt w:val="decimal"/>
      <w:lvlText w:val=""/>
      <w:lvlJc w:val="left"/>
      <w:pPr>
        <w:ind w:left="0" w:firstLine="0"/>
      </w:pPr>
    </w:lvl>
    <w:lvl w:ilvl="3" w:tplc="9C98F1FE">
      <w:numFmt w:val="decimal"/>
      <w:lvlText w:val=""/>
      <w:lvlJc w:val="left"/>
      <w:pPr>
        <w:ind w:left="0" w:firstLine="0"/>
      </w:pPr>
    </w:lvl>
    <w:lvl w:ilvl="4" w:tplc="66F6617A">
      <w:numFmt w:val="decimal"/>
      <w:lvlText w:val=""/>
      <w:lvlJc w:val="left"/>
      <w:pPr>
        <w:ind w:left="0" w:firstLine="0"/>
      </w:pPr>
    </w:lvl>
    <w:lvl w:ilvl="5" w:tplc="F684DEC2">
      <w:numFmt w:val="decimal"/>
      <w:lvlText w:val=""/>
      <w:lvlJc w:val="left"/>
      <w:pPr>
        <w:ind w:left="0" w:firstLine="0"/>
      </w:pPr>
    </w:lvl>
    <w:lvl w:ilvl="6" w:tplc="579A12FE">
      <w:numFmt w:val="decimal"/>
      <w:lvlText w:val=""/>
      <w:lvlJc w:val="left"/>
      <w:pPr>
        <w:ind w:left="0" w:firstLine="0"/>
      </w:pPr>
    </w:lvl>
    <w:lvl w:ilvl="7" w:tplc="0BCAC330">
      <w:numFmt w:val="decimal"/>
      <w:lvlText w:val=""/>
      <w:lvlJc w:val="left"/>
      <w:pPr>
        <w:ind w:left="0" w:firstLine="0"/>
      </w:pPr>
    </w:lvl>
    <w:lvl w:ilvl="8" w:tplc="BDB8EFB4">
      <w:numFmt w:val="decimal"/>
      <w:lvlText w:val=""/>
      <w:lvlJc w:val="left"/>
      <w:pPr>
        <w:ind w:left="0" w:firstLine="0"/>
      </w:pPr>
    </w:lvl>
  </w:abstractNum>
  <w:abstractNum w:abstractNumId="1" w15:restartNumberingAfterBreak="0">
    <w:nsid w:val="445D7985"/>
    <w:multiLevelType w:val="hybridMultilevel"/>
    <w:tmpl w:val="71F2C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E33"/>
    <w:multiLevelType w:val="multilevel"/>
    <w:tmpl w:val="7DC6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84AEF"/>
    <w:multiLevelType w:val="multilevel"/>
    <w:tmpl w:val="0806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561B6"/>
    <w:multiLevelType w:val="multilevel"/>
    <w:tmpl w:val="C15E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A3"/>
    <w:rsid w:val="001329DA"/>
    <w:rsid w:val="00473FB6"/>
    <w:rsid w:val="00BC4E44"/>
    <w:rsid w:val="00F55E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1E78"/>
  <w15:chartTrackingRefBased/>
  <w15:docId w15:val="{0EB88653-8F93-4DDE-BA78-05372AF7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F55EA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55EA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55EA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55EA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55EA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55EA3"/>
    <w:rPr>
      <w:b/>
      <w:bCs/>
    </w:rPr>
  </w:style>
  <w:style w:type="character" w:styleId="Lienhypertexte">
    <w:name w:val="Hyperlink"/>
    <w:basedOn w:val="Policepardfaut"/>
    <w:uiPriority w:val="99"/>
    <w:unhideWhenUsed/>
    <w:rsid w:val="00F55EA3"/>
    <w:rPr>
      <w:color w:val="0563C1" w:themeColor="hyperlink"/>
      <w:u w:val="single"/>
    </w:rPr>
  </w:style>
  <w:style w:type="paragraph" w:styleId="Paragraphedeliste">
    <w:name w:val="List Paragraph"/>
    <w:basedOn w:val="Normal"/>
    <w:uiPriority w:val="34"/>
    <w:qFormat/>
    <w:rsid w:val="00F55EA3"/>
    <w:pPr>
      <w:ind w:left="720"/>
      <w:contextualSpacing/>
    </w:pPr>
  </w:style>
  <w:style w:type="table" w:customStyle="1" w:styleId="NormalGrid">
    <w:name w:val="Normal Grid"/>
    <w:basedOn w:val="TableauNormal"/>
    <w:uiPriority w:val="39"/>
    <w:rsid w:val="00F55EA3"/>
    <w:pPr>
      <w:spacing w:after="0" w:line="240" w:lineRule="auto"/>
    </w:pPr>
    <w:rPr>
      <w:rFonts w:ascii="Georgia"/>
      <w:sz w:val="21"/>
      <w:lang w:val="en-US"/>
    </w:rPr>
    <w:tblPr>
      <w:tblInd w:w="0" w:type="nil"/>
      <w:tblCellMar>
        <w:top w:w="80" w:type="dxa"/>
        <w:left w:w="160" w:type="dxa"/>
        <w:bottom w:w="80" w:type="dxa"/>
        <w:right w:w="160" w:type="dxa"/>
      </w:tblCellMar>
    </w:tblPr>
  </w:style>
  <w:style w:type="paragraph" w:styleId="En-tte">
    <w:name w:val="header"/>
    <w:basedOn w:val="Normal"/>
    <w:link w:val="En-tteCar"/>
    <w:uiPriority w:val="99"/>
    <w:unhideWhenUsed/>
    <w:rsid w:val="00BC4E44"/>
    <w:pPr>
      <w:tabs>
        <w:tab w:val="center" w:pos="4536"/>
        <w:tab w:val="right" w:pos="9072"/>
      </w:tabs>
      <w:spacing w:after="0" w:line="240" w:lineRule="auto"/>
    </w:pPr>
  </w:style>
  <w:style w:type="character" w:customStyle="1" w:styleId="En-tteCar">
    <w:name w:val="En-tête Car"/>
    <w:basedOn w:val="Policepardfaut"/>
    <w:link w:val="En-tte"/>
    <w:uiPriority w:val="99"/>
    <w:rsid w:val="00BC4E44"/>
  </w:style>
  <w:style w:type="paragraph" w:styleId="Pieddepage">
    <w:name w:val="footer"/>
    <w:basedOn w:val="Normal"/>
    <w:link w:val="PieddepageCar"/>
    <w:uiPriority w:val="99"/>
    <w:unhideWhenUsed/>
    <w:rsid w:val="00BC4E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67232">
      <w:bodyDiv w:val="1"/>
      <w:marLeft w:val="0"/>
      <w:marRight w:val="0"/>
      <w:marTop w:val="0"/>
      <w:marBottom w:val="0"/>
      <w:divBdr>
        <w:top w:val="none" w:sz="0" w:space="0" w:color="auto"/>
        <w:left w:val="none" w:sz="0" w:space="0" w:color="auto"/>
        <w:bottom w:val="none" w:sz="0" w:space="0" w:color="auto"/>
        <w:right w:val="none" w:sz="0" w:space="0" w:color="auto"/>
      </w:divBdr>
    </w:div>
    <w:div w:id="49395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sowels\Downloads\Can%20you%20find%20me%20gini%20figures%20for%20the%20wealth%20inequa.docx"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nsowels\Downloads\Can%20you%20find%20me%20gini%20figures%20for%20the%20wealth%20inequa.docx" TargetMode="External"/><Relationship Id="rId4" Type="http://schemas.openxmlformats.org/officeDocument/2006/relationships/webSettings" Target="webSettings.xml"/><Relationship Id="rId9" Type="http://schemas.openxmlformats.org/officeDocument/2006/relationships/hyperlink" Target="file:///C:\Users\nsowels\Downloads\Can%20you%20find%20me%20gini%20figures%20for%20the%20wealth%20inequa.docx" TargetMode="External"/><Relationship Id="rId14" Type="http://schemas.openxmlformats.org/officeDocument/2006/relationships/hyperlink" Target="https://ifs.org.uk/inequalit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1247</Words>
  <Characters>6861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1</cp:revision>
  <dcterms:created xsi:type="dcterms:W3CDTF">2026-03-17T13:53:00Z</dcterms:created>
  <dcterms:modified xsi:type="dcterms:W3CDTF">2026-03-17T14:11:00Z</dcterms:modified>
</cp:coreProperties>
</file>