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8960" w14:textId="514CB889" w:rsidR="001A3C0C" w:rsidRDefault="001A3C0C" w:rsidP="001A3C0C">
      <w:pPr>
        <w:spacing w:before="360" w:line="360" w:lineRule="auto"/>
        <w:jc w:val="both"/>
        <w:rPr>
          <w:b/>
          <w:sz w:val="40"/>
          <w:szCs w:val="40"/>
        </w:rPr>
      </w:pPr>
      <w:r w:rsidRPr="00231C8E">
        <w:rPr>
          <w:b/>
          <w:sz w:val="40"/>
          <w:szCs w:val="40"/>
        </w:rPr>
        <w:t>Les migrations européennes</w:t>
      </w:r>
    </w:p>
    <w:p w14:paraId="14E65070" w14:textId="0FCEEB77" w:rsidR="00D2750D" w:rsidRPr="00D2750D" w:rsidRDefault="00231C8E" w:rsidP="00D2750D">
      <w:pPr>
        <w:rPr>
          <w:color w:val="660099"/>
          <w:sz w:val="22"/>
          <w:szCs w:val="22"/>
        </w:rPr>
      </w:pPr>
      <w:r w:rsidRPr="00D2750D">
        <w:rPr>
          <w:b/>
          <w:i/>
          <w:sz w:val="22"/>
          <w:szCs w:val="22"/>
        </w:rPr>
        <w:t xml:space="preserve">Le cours s’accompagne d’un </w:t>
      </w:r>
      <w:proofErr w:type="spellStart"/>
      <w:r w:rsidRPr="00D2750D">
        <w:rPr>
          <w:b/>
          <w:i/>
          <w:sz w:val="22"/>
          <w:szCs w:val="22"/>
        </w:rPr>
        <w:t>powerpoint</w:t>
      </w:r>
      <w:proofErr w:type="spellEnd"/>
      <w:r w:rsidRPr="00D2750D">
        <w:rPr>
          <w:b/>
          <w:i/>
          <w:sz w:val="22"/>
          <w:szCs w:val="22"/>
        </w:rPr>
        <w:t xml:space="preserve"> qui est déposé sur l’EPI également contenant beaucoup de documents iconographiques. La plupart sont issus du site du Musée national de l’histoire et des cultures de l’immigration. Le site de ce musée est une ressource extraordinaire en termes de documents, analyses, synthèses et animations diverses.</w:t>
      </w:r>
      <w:r w:rsidR="00D2750D" w:rsidRPr="00D2750D">
        <w:rPr>
          <w:sz w:val="22"/>
          <w:szCs w:val="22"/>
        </w:rPr>
        <w:t xml:space="preserve"> </w:t>
      </w:r>
      <w:r w:rsidR="00D2750D" w:rsidRPr="00D2750D">
        <w:rPr>
          <w:sz w:val="22"/>
          <w:szCs w:val="22"/>
        </w:rPr>
        <w:fldChar w:fldCharType="begin"/>
      </w:r>
      <w:r w:rsidR="00D2750D" w:rsidRPr="00D2750D">
        <w:rPr>
          <w:sz w:val="22"/>
          <w:szCs w:val="22"/>
        </w:rPr>
        <w:instrText xml:space="preserve"> HYPERLINK "https://www.google.com/url?sa=t&amp;rct=j&amp;q=&amp;esrc=s&amp;source=web&amp;cd=1&amp;ved=2ahUKEwix7_ih2aPoAhUQ1hoKHUi7BP4QFjAAegQIGhAD&amp;url=https%3A%2F%2Fwww.histoire-immigration.fr%2F&amp;usg=AOvVaw1rgnN1wjW-CQ_0m8Oi5tiV" </w:instrText>
      </w:r>
      <w:r w:rsidR="00D2750D" w:rsidRPr="00D2750D">
        <w:rPr>
          <w:sz w:val="22"/>
          <w:szCs w:val="22"/>
        </w:rPr>
      </w:r>
      <w:r w:rsidR="00D2750D" w:rsidRPr="00D2750D">
        <w:rPr>
          <w:sz w:val="22"/>
          <w:szCs w:val="22"/>
        </w:rPr>
        <w:fldChar w:fldCharType="separate"/>
      </w:r>
      <w:r w:rsidR="00D2750D" w:rsidRPr="00D2750D">
        <w:rPr>
          <w:b/>
          <w:bCs/>
          <w:color w:val="660099"/>
          <w:sz w:val="22"/>
          <w:szCs w:val="22"/>
        </w:rPr>
        <w:t xml:space="preserve">Musée national de l'histoire de l'immigration </w:t>
      </w:r>
      <w:r w:rsidR="00D2750D" w:rsidRPr="00D2750D">
        <w:rPr>
          <w:rStyle w:val="CitationHTML"/>
          <w:i w:val="0"/>
          <w:iCs w:val="0"/>
          <w:color w:val="3C4043"/>
          <w:sz w:val="22"/>
          <w:szCs w:val="22"/>
        </w:rPr>
        <w:t>www.histoire-immigration.fr</w:t>
      </w:r>
    </w:p>
    <w:p w14:paraId="7AC4CE82" w14:textId="102BE35D" w:rsidR="00D2750D" w:rsidRPr="00D2750D" w:rsidRDefault="00D2750D" w:rsidP="00D2750D">
      <w:pPr>
        <w:rPr>
          <w:sz w:val="22"/>
          <w:szCs w:val="22"/>
        </w:rPr>
      </w:pPr>
      <w:r w:rsidRPr="00D2750D">
        <w:rPr>
          <w:sz w:val="22"/>
          <w:szCs w:val="22"/>
        </w:rPr>
        <w:fldChar w:fldCharType="end"/>
      </w:r>
    </w:p>
    <w:p w14:paraId="7EBE23EC" w14:textId="00AC848F" w:rsidR="00D2750D" w:rsidRPr="00D2750D" w:rsidRDefault="00D2750D" w:rsidP="00D2750D">
      <w:pPr>
        <w:spacing w:before="360" w:line="276" w:lineRule="auto"/>
        <w:ind w:firstLine="360"/>
        <w:jc w:val="both"/>
      </w:pPr>
      <w:r w:rsidRPr="00D2750D">
        <w:t xml:space="preserve">Introduction : </w:t>
      </w:r>
      <w:r w:rsidR="00607B79" w:rsidRPr="00D2750D">
        <w:t>Aux XIX</w:t>
      </w:r>
      <w:r w:rsidR="00E27EE9" w:rsidRPr="00E27EE9">
        <w:rPr>
          <w:vertAlign w:val="superscript"/>
        </w:rPr>
        <w:t>e</w:t>
      </w:r>
      <w:r w:rsidR="00607B79" w:rsidRPr="00D2750D">
        <w:t xml:space="preserve"> et</w:t>
      </w:r>
      <w:r w:rsidR="00A85C23" w:rsidRPr="00D2750D">
        <w:t xml:space="preserve"> XX</w:t>
      </w:r>
      <w:r w:rsidR="00E27EE9" w:rsidRPr="00E27EE9">
        <w:rPr>
          <w:vertAlign w:val="superscript"/>
        </w:rPr>
        <w:t>e</w:t>
      </w:r>
      <w:r w:rsidR="00A85C23" w:rsidRPr="00D2750D">
        <w:t xml:space="preserve"> siècles, l</w:t>
      </w:r>
      <w:r w:rsidR="001A3C0C" w:rsidRPr="00D2750D">
        <w:t>’Europe occidentale connaît des déplacements massifs de population à l’intérieur de chacun des pays, des campagnes vers les villes, mais aussi des mouvements migratoires de grande ampleur entre pays européens ou des pays européens vers l’Amérique ou de l’Afrique et l’Asie vers l’Europe. Les migrants sont au fil du temps plus nombreux et migrent plus loin ; toutefois le processus migratoire peut connaître des temps d’arrêts, des retours et des reprises. La 1</w:t>
      </w:r>
      <w:r w:rsidR="001A3C0C" w:rsidRPr="00D2750D">
        <w:rPr>
          <w:vertAlign w:val="superscript"/>
        </w:rPr>
        <w:t>ère</w:t>
      </w:r>
      <w:r w:rsidR="001A3C0C" w:rsidRPr="00D2750D">
        <w:t xml:space="preserve"> Guerre mo</w:t>
      </w:r>
      <w:r w:rsidR="00A85C23" w:rsidRPr="00D2750D">
        <w:t>ndiale opère une rupture, après</w:t>
      </w:r>
      <w:r w:rsidR="001A3C0C" w:rsidRPr="00D2750D">
        <w:t xml:space="preserve"> des flux migratoires transocéaniques de masse de l’Europe vers les </w:t>
      </w:r>
      <w:r w:rsidR="00CE7953">
        <w:t>É</w:t>
      </w:r>
      <w:r w:rsidR="001A3C0C" w:rsidRPr="00D2750D">
        <w:t xml:space="preserve">tats-Unis, favorisés par la révolution industrielle, mais la 1ère Guerre mondiale et </w:t>
      </w:r>
      <w:r w:rsidR="00A85C23" w:rsidRPr="00D2750D">
        <w:t xml:space="preserve">les années vingt </w:t>
      </w:r>
      <w:r w:rsidR="001A3C0C" w:rsidRPr="00D2750D">
        <w:t xml:space="preserve">entraînent un arrêt car les Etats-Unis d’Amérique referment leurs frontières. En revanche, certains pays européens, après la </w:t>
      </w:r>
      <w:r w:rsidR="00231C8E" w:rsidRPr="00D2750D">
        <w:t>Première</w:t>
      </w:r>
      <w:r w:rsidR="001A3C0C" w:rsidRPr="00D2750D">
        <w:t xml:space="preserve"> Guerre mondiale</w:t>
      </w:r>
      <w:r w:rsidR="00231C8E" w:rsidRPr="00D2750D">
        <w:t>, font appel à beaucoup de main-</w:t>
      </w:r>
      <w:r w:rsidR="001A3C0C" w:rsidRPr="00D2750D">
        <w:t>d’œuvre pour la reconstruction</w:t>
      </w:r>
      <w:r w:rsidR="00A85C23" w:rsidRPr="00D2750D">
        <w:t>, soit à l’intérieur de l’Europe, soit en direction de leur empire coloniale, soit en dehors de celui-ci</w:t>
      </w:r>
      <w:r w:rsidR="001A3C0C" w:rsidRPr="00D2750D">
        <w:t>.</w:t>
      </w:r>
      <w:r w:rsidR="00A85C23" w:rsidRPr="00D2750D">
        <w:t xml:space="preserve"> La crise des </w:t>
      </w:r>
      <w:r w:rsidR="00607B79" w:rsidRPr="00D2750D">
        <w:t>années Trente ralentit énormément les circulations et les migrations, suite aux fermetures des frontières et au chômage qui s’installe dans les pays industrialisés.</w:t>
      </w:r>
      <w:r w:rsidR="00FD0840" w:rsidRPr="00D2750D">
        <w:t xml:space="preserve"> </w:t>
      </w:r>
      <w:r w:rsidR="00CE7953">
        <w:t xml:space="preserve">La Seconde Guerre mondiale engendre des migrations de travail forcé vers l’Allemagne et surtout la déportation des populations juives de l’Europe entière vers les camps de concentration et d’extermination dans le cadre de la politique génocidaire des nazis aidés par la collaboration en France et en Italie. </w:t>
      </w:r>
      <w:r w:rsidR="00FD0840" w:rsidRPr="00D2750D">
        <w:t xml:space="preserve">L’après Seconde Guerre mondiale ouvre à nouveau les frontières ; certains pays européens ont besoin de main-d’œuvre et font appel à l’immigration de façon massive, soit à l’intérieur de l’Europe, soit à nouveau auprès de leurs empires coloniaux et au-delà aux continents africain et asiatique. Cette période de l’après Seconde Guerre mondiale est aussi celle de migrations internes des campagnes vers les villes pour certains pays européens moins industrialisés et moins urbanisés.  </w:t>
      </w:r>
    </w:p>
    <w:p w14:paraId="5F751D54" w14:textId="77777777" w:rsidR="00D2750D" w:rsidRPr="00D2750D" w:rsidRDefault="00D2750D" w:rsidP="00D2750D">
      <w:pPr>
        <w:spacing w:before="360" w:line="276" w:lineRule="auto"/>
        <w:jc w:val="both"/>
      </w:pPr>
    </w:p>
    <w:p w14:paraId="51A744F7" w14:textId="77777777" w:rsidR="002D1F1C" w:rsidRDefault="002D1F1C" w:rsidP="00D2750D">
      <w:pPr>
        <w:spacing w:line="276" w:lineRule="auto"/>
      </w:pPr>
    </w:p>
    <w:p w14:paraId="190DA5E1" w14:textId="55C62CD9" w:rsidR="002D1F1C" w:rsidRPr="00CE7953" w:rsidRDefault="002D1F1C" w:rsidP="00CE7953">
      <w:pPr>
        <w:pStyle w:val="Paragraphedeliste"/>
        <w:numPr>
          <w:ilvl w:val="0"/>
          <w:numId w:val="10"/>
        </w:numPr>
        <w:spacing w:line="276" w:lineRule="auto"/>
        <w:rPr>
          <w:b/>
          <w:sz w:val="28"/>
          <w:szCs w:val="28"/>
        </w:rPr>
      </w:pPr>
      <w:r w:rsidRPr="00CE7953">
        <w:rPr>
          <w:b/>
          <w:sz w:val="28"/>
          <w:szCs w:val="28"/>
        </w:rPr>
        <w:t>Les migrations en Europe après la Deuxième Guerre mondiale de plus en plus internationales</w:t>
      </w:r>
    </w:p>
    <w:p w14:paraId="6A306683" w14:textId="77777777" w:rsidR="00CE7953" w:rsidRPr="00A909CF" w:rsidRDefault="00CE7953" w:rsidP="00F13AB0">
      <w:pPr>
        <w:spacing w:before="360" w:line="276" w:lineRule="auto"/>
        <w:ind w:firstLine="708"/>
        <w:jc w:val="both"/>
        <w:rPr>
          <w:b/>
          <w:bCs/>
          <w:sz w:val="28"/>
          <w:szCs w:val="28"/>
        </w:rPr>
      </w:pPr>
      <w:r w:rsidRPr="00A909CF">
        <w:rPr>
          <w:b/>
          <w:bCs/>
          <w:sz w:val="28"/>
          <w:szCs w:val="28"/>
        </w:rPr>
        <w:t>1_ Les flux migratoires s’amplifient</w:t>
      </w:r>
    </w:p>
    <w:p w14:paraId="1B9EB287" w14:textId="77777777" w:rsidR="00CE7953" w:rsidRDefault="00026315" w:rsidP="00CE7953">
      <w:pPr>
        <w:spacing w:line="276" w:lineRule="auto"/>
        <w:ind w:firstLine="708"/>
        <w:jc w:val="both"/>
      </w:pPr>
      <w:r>
        <w:t xml:space="preserve">L’après Seconde Guerre mondiale, certains pays européens font appel à nouveau massivement appel à la main-d’œuvre immigrée, comme la Grande-Bretagne, la France et l’Allemagne. Ces pays génèrent de l’immigration venant d’Europe mais aussi de plus en plus des empires coloniaux et des autres continents. D’autres pays européens, comme l’Italie, l’Espagne, le Portugal et la Grèce poursuivent et intensifient l’émigration. </w:t>
      </w:r>
      <w:r w:rsidR="00FC6E51" w:rsidRPr="00D2750D">
        <w:t xml:space="preserve">L’accroissement </w:t>
      </w:r>
      <w:r w:rsidR="00FC6E51" w:rsidRPr="00D2750D">
        <w:lastRenderedPageBreak/>
        <w:t>naturel a été renforcé par l’apport de l’immigration extra-européenne après 1945.  En 1964, on estime le total des travailleurs étrangers installés en Europe de l’Ouest à 7 ou 8 millions</w:t>
      </w:r>
      <w:r w:rsidR="00CE7953">
        <w:t>.</w:t>
      </w:r>
      <w:r w:rsidR="00CE7953">
        <w:br/>
      </w:r>
    </w:p>
    <w:p w14:paraId="0E447D1C" w14:textId="33944D85" w:rsidR="00CE7953" w:rsidRDefault="00CE7953" w:rsidP="00CE7953">
      <w:pPr>
        <w:spacing w:line="276" w:lineRule="auto"/>
        <w:ind w:firstLine="708"/>
        <w:jc w:val="both"/>
      </w:pPr>
      <w:r w:rsidRPr="00D2750D">
        <w:t>Le cas de l’Allemagne est particulier car s’ajoute</w:t>
      </w:r>
      <w:r w:rsidR="00FD4D81">
        <w:t>nt</w:t>
      </w:r>
      <w:r w:rsidRPr="00D2750D">
        <w:t xml:space="preserve"> à ces courants migratoires économiques les migrations RDA-RFA : 3 millions de personnes entre 1955 et 1961. En 1970, la RFA compte 2,6 d’immigrés « </w:t>
      </w:r>
      <w:proofErr w:type="spellStart"/>
      <w:r w:rsidRPr="00D2750D">
        <w:t>Gastarbeiter</w:t>
      </w:r>
      <w:proofErr w:type="spellEnd"/>
      <w:r w:rsidRPr="00D2750D">
        <w:t> »</w:t>
      </w:r>
      <w:r w:rsidR="00FD4D81">
        <w:t xml:space="preserve"> (travailleurs immigrés)</w:t>
      </w:r>
      <w:r w:rsidRPr="00D2750D">
        <w:t xml:space="preserve"> qui occupent 11% des emplois salariés. En Belgique, comme en GB, la population immigrée, venant essentiellement d’autres continents dépasse les 6 à 7 % de la population totale.</w:t>
      </w:r>
      <w:r w:rsidR="00F9428C" w:rsidRPr="00F9428C">
        <w:rPr>
          <w:color w:val="000000"/>
        </w:rPr>
        <w:t xml:space="preserve"> </w:t>
      </w:r>
      <w:r w:rsidR="00F9428C">
        <w:rPr>
          <w:color w:val="000000"/>
        </w:rPr>
        <w:t>Depuis 1913, l’Allemagne appliquait exclusivement le droit du sang, c’est-à-dire que la filiation seule servait de critère pour définir la nationalité. En l’an 2000, une réforme du code de la nationalité a intégré le droit du sol, (nationalité déterminée d’après le lieu de naissance) dans la législation allemande. Puis en 2005, une loi sur l’immigration, centrée sur l’apprentissage de la langue, a été votée. Son entrée en vigueur en 2007 a été accompagnée d’un Plan national pour l’intégration, transposant ainsi onze directives de l’Union européenne relatives au droit de séjour et au droit d’asile.</w:t>
      </w:r>
    </w:p>
    <w:p w14:paraId="1594A3F4" w14:textId="748058C3" w:rsidR="00FC6E51" w:rsidRDefault="00FC6E51" w:rsidP="00F13AB0">
      <w:pPr>
        <w:spacing w:before="360" w:line="276" w:lineRule="auto"/>
        <w:ind w:firstLine="708"/>
        <w:jc w:val="both"/>
      </w:pPr>
    </w:p>
    <w:p w14:paraId="4E07316B" w14:textId="7213853F" w:rsidR="00CE7953" w:rsidRPr="00A909CF" w:rsidRDefault="00CE7953" w:rsidP="00CE7953">
      <w:pPr>
        <w:spacing w:before="360" w:line="276" w:lineRule="auto"/>
        <w:ind w:firstLine="708"/>
        <w:jc w:val="both"/>
        <w:rPr>
          <w:b/>
          <w:bCs/>
          <w:sz w:val="28"/>
          <w:szCs w:val="28"/>
        </w:rPr>
      </w:pPr>
      <w:r w:rsidRPr="00A909CF">
        <w:rPr>
          <w:b/>
          <w:bCs/>
          <w:sz w:val="28"/>
          <w:szCs w:val="28"/>
        </w:rPr>
        <w:t>2- La migration de travail s’impose, particulièrement dans l’industrie</w:t>
      </w:r>
    </w:p>
    <w:p w14:paraId="64436779" w14:textId="7CA7D46A" w:rsidR="00CE7953" w:rsidRDefault="00CE7953" w:rsidP="00CE7953">
      <w:pPr>
        <w:spacing w:before="360" w:line="276" w:lineRule="auto"/>
        <w:ind w:firstLine="708"/>
        <w:jc w:val="both"/>
      </w:pPr>
      <w:r>
        <w:t>Dans les pays européens, l’afflux de travailleurs étrangers concerne surtout l’industrie qui est repartie de plus belle après la guerre. Dans toutes ces sociétés, le nombre d’ouvriers s’accroît entre 950 et 1973 jusqu’à devenir le groupe socioprofessionnel le plus important en France ou en Allemagne et représenter entre 25 et 40 % de la population active. Ce chiffre est identique en Allemagne. Les métiers du bâtiment, des travaux publics et des métaux sont délaissés par les nationaux et sont majoritairement exercés par des ouvriers immigrés : 1/3 main-d’œuvre du bâtiment, 1/4 dans la métallurgie</w:t>
      </w:r>
      <w:r w:rsidR="00FD4D81">
        <w:t>. La France dans l’après-guerre signe différents contrats bilatéraux (avec l’Italie, le Maroc) pour faire venir une main d’œuvre pour l’industrie et l’extraction minière.</w:t>
      </w:r>
    </w:p>
    <w:p w14:paraId="0BD3B5DF" w14:textId="4B725807" w:rsidR="009953D2" w:rsidRDefault="00CE7953" w:rsidP="009953D2">
      <w:pPr>
        <w:spacing w:before="360" w:line="276" w:lineRule="auto"/>
        <w:ind w:firstLine="708"/>
        <w:jc w:val="both"/>
      </w:pPr>
      <w:r w:rsidRPr="009953D2">
        <w:rPr>
          <w:b/>
          <w:bCs/>
          <w:sz w:val="28"/>
          <w:szCs w:val="28"/>
        </w:rPr>
        <w:t>3 Les liens entre métropole et colonies ou ex-colonies se maintiennent</w:t>
      </w:r>
      <w:r w:rsidRPr="009953D2">
        <w:rPr>
          <w:b/>
          <w:bCs/>
          <w:sz w:val="28"/>
          <w:szCs w:val="28"/>
        </w:rPr>
        <w:tab/>
      </w:r>
      <w:r w:rsidR="009953D2">
        <w:t>En Grande-Bretagne, avant et après les décolonisations, l’immigration est très liée au Commonwealth. Dans les années 1950, l’immigration en Angleterre est surtout le fait des Indiens et des Pakistanais, alors qu’avant la</w:t>
      </w:r>
      <w:r w:rsidR="00FD4D81">
        <w:t xml:space="preserve"> Seconde</w:t>
      </w:r>
      <w:r w:rsidR="009953D2">
        <w:t xml:space="preserve"> Guerre mondiale les Irlandais étaient les principaux immigrants, ainsi que des Juifs d’Europe orientale et centrale chassés par les pogroms. L’immigration venant du Commonwealth fournit une main-d’œuvre ouvrière et de service bon marché, qui est employée dans les strates inférieures du marché du travail. </w:t>
      </w:r>
    </w:p>
    <w:p w14:paraId="292AA2BE" w14:textId="1754586B" w:rsidR="009953D2" w:rsidRDefault="009953D2" w:rsidP="00245205">
      <w:pPr>
        <w:spacing w:line="276" w:lineRule="auto"/>
        <w:jc w:val="both"/>
      </w:pPr>
      <w:r>
        <w:t xml:space="preserve">L’afflux </w:t>
      </w:r>
      <w:r w:rsidR="00FD4D81">
        <w:t>d’immigrés</w:t>
      </w:r>
      <w:r>
        <w:t xml:space="preserve"> se densifie entre 1947 et 1960 </w:t>
      </w:r>
      <w:r w:rsidR="00FD4D81">
        <w:t xml:space="preserve">et </w:t>
      </w:r>
      <w:r>
        <w:t>pose un problème plus tôt qu’ailleurs en Europe car la Grande Bretagne voir dès 1950 son industrie s’essouffler</w:t>
      </w:r>
      <w:r w:rsidRPr="00184CB4">
        <w:rPr>
          <w:color w:val="333333"/>
          <w:shd w:val="clear" w:color="auto" w:fill="FFFFFF"/>
        </w:rPr>
        <w:t>. Afin d'atténuer les situations conflictuelles socio</w:t>
      </w:r>
      <w:r w:rsidRPr="00184CB4">
        <w:rPr>
          <w:color w:val="333333"/>
          <w:shd w:val="clear" w:color="auto" w:fill="FFFFFF"/>
        </w:rPr>
        <w:softHyphen/>
        <w:t xml:space="preserve">économiques, les gouvernements britanniques </w:t>
      </w:r>
      <w:r>
        <w:rPr>
          <w:color w:val="333333"/>
          <w:shd w:val="clear" w:color="auto" w:fill="FFFFFF"/>
        </w:rPr>
        <w:t>travailliste</w:t>
      </w:r>
      <w:r w:rsidR="00FD4D81">
        <w:rPr>
          <w:color w:val="333333"/>
          <w:shd w:val="clear" w:color="auto" w:fill="FFFFFF"/>
        </w:rPr>
        <w:t>s</w:t>
      </w:r>
      <w:r>
        <w:rPr>
          <w:color w:val="333333"/>
          <w:shd w:val="clear" w:color="auto" w:fill="FFFFFF"/>
        </w:rPr>
        <w:t xml:space="preserve"> et conservateur</w:t>
      </w:r>
      <w:r w:rsidR="00FD4D81">
        <w:rPr>
          <w:color w:val="333333"/>
          <w:shd w:val="clear" w:color="auto" w:fill="FFFFFF"/>
        </w:rPr>
        <w:t>s</w:t>
      </w:r>
      <w:r>
        <w:rPr>
          <w:color w:val="333333"/>
          <w:shd w:val="clear" w:color="auto" w:fill="FFFFFF"/>
        </w:rPr>
        <w:t xml:space="preserve"> essay</w:t>
      </w:r>
      <w:r w:rsidRPr="00184CB4">
        <w:rPr>
          <w:color w:val="333333"/>
          <w:shd w:val="clear" w:color="auto" w:fill="FFFFFF"/>
        </w:rPr>
        <w:t xml:space="preserve">ent de limiter l'entrée et réglementer le flux des immigrés d'une part, et d'autre part de faciliter leur intégration en introduisant des mesures anti-discriminatives dans les domaines de l'emploi, </w:t>
      </w:r>
      <w:r w:rsidRPr="00C50882">
        <w:rPr>
          <w:color w:val="333333"/>
          <w:shd w:val="clear" w:color="auto" w:fill="FFFFFF"/>
        </w:rPr>
        <w:t>l'habitation et l'éducation de 1960 jusqu'à la fin des années 80.</w:t>
      </w:r>
      <w:r w:rsidRPr="00C50882">
        <w:t xml:space="preserve"> </w:t>
      </w:r>
      <w:r w:rsidRPr="00C50882">
        <w:br/>
      </w:r>
      <w:r w:rsidRPr="00C50882">
        <w:rPr>
          <w:bCs/>
          <w:color w:val="333333"/>
          <w:shd w:val="clear" w:color="auto" w:fill="FFFFFF"/>
        </w:rPr>
        <w:t xml:space="preserve">« L'une des principales caractéristiques de ces lois est qu'elles insistent sur le moyen de </w:t>
      </w:r>
      <w:r w:rsidRPr="00C50882">
        <w:rPr>
          <w:bCs/>
          <w:color w:val="333333"/>
          <w:shd w:val="clear" w:color="auto" w:fill="FFFFFF"/>
        </w:rPr>
        <w:lastRenderedPageBreak/>
        <w:t>subsistance, logement et l'acquisition d'emploi comme étant une condition requise à l'entrée. Mais contre l'entrée illégale, la puissance drastique de déportation est aussi mentionnée dans les lois de l'immigration puisque ce mécanisme est probablement un moyen convenable de se débarrasser des indésirables et de réduire le taux d'immigrants ayant accès au bien-être national, y compris accès au logement et travail, éducation, soins médicaux, sécurité sociale, allocations familiales et pensions. Un problème crucial surgit quand les immigrés deviennent un fardeau pour l'état c'est-à-dire dès qu'ils sont redondants dans le pays. »</w:t>
      </w:r>
      <w:r w:rsidRPr="00C50882">
        <w:t xml:space="preserve"> (</w:t>
      </w:r>
      <w:proofErr w:type="spellStart"/>
      <w:r w:rsidRPr="00C50882">
        <w:t>Fewzia</w:t>
      </w:r>
      <w:proofErr w:type="spellEnd"/>
      <w:r w:rsidRPr="00C50882">
        <w:t xml:space="preserve"> </w:t>
      </w:r>
      <w:proofErr w:type="spellStart"/>
      <w:r w:rsidRPr="00C50882">
        <w:t>Bedjaoui</w:t>
      </w:r>
      <w:proofErr w:type="spellEnd"/>
      <w:r w:rsidRPr="00C50882">
        <w:t>, « Politique britannique vis-à-vis de l’entrée des immigrants »).</w:t>
      </w:r>
      <w:r>
        <w:t xml:space="preserve"> </w:t>
      </w:r>
    </w:p>
    <w:p w14:paraId="46194BDB" w14:textId="1F52F583" w:rsidR="009953D2" w:rsidRDefault="009953D2" w:rsidP="00FD4D81">
      <w:pPr>
        <w:pStyle w:val="NormalWeb"/>
        <w:jc w:val="both"/>
      </w:pPr>
      <w:r>
        <w:t>Après l’Indépendance indienne de 1947, les cadres migratoires et les pays de destination changent pour concerner essentiellement l’Occident et le Moyen-Orient.</w:t>
      </w:r>
    </w:p>
    <w:p w14:paraId="4CA16234" w14:textId="78268D0B" w:rsidR="00EE18AB" w:rsidRDefault="00245205" w:rsidP="00FD4D81">
      <w:pPr>
        <w:pStyle w:val="NormalWeb"/>
        <w:jc w:val="both"/>
      </w:pPr>
      <w:r>
        <w:t>(</w:t>
      </w:r>
      <w:r w:rsidR="00EE18AB">
        <w:t>Extrait article de Pierre Yves Trouillet, géog</w:t>
      </w:r>
      <w:r w:rsidR="00FD4D81">
        <w:t>raphe</w:t>
      </w:r>
      <w:r w:rsidR="00EE18AB">
        <w:t xml:space="preserve"> CNRS EHESS « Les populations d’origine indienne hors de l’Inde : fabrique et enjeux d’une « diaspora », 2015, </w:t>
      </w:r>
      <w:proofErr w:type="spellStart"/>
      <w:proofErr w:type="gramStart"/>
      <w:r w:rsidR="00EE18AB">
        <w:t>Geoconfluence</w:t>
      </w:r>
      <w:proofErr w:type="spellEnd"/>
      <w:r>
        <w:t> )</w:t>
      </w:r>
      <w:proofErr w:type="gramEnd"/>
      <w:r>
        <w:t> :</w:t>
      </w:r>
    </w:p>
    <w:p w14:paraId="537FEE5E" w14:textId="76D72719" w:rsidR="009953D2" w:rsidRDefault="00245205" w:rsidP="00FD4D81">
      <w:pPr>
        <w:pStyle w:val="NormalWeb"/>
        <w:jc w:val="both"/>
      </w:pPr>
      <w:r>
        <w:rPr>
          <w:rStyle w:val="lev"/>
        </w:rPr>
        <w:t>« </w:t>
      </w:r>
      <w:r w:rsidR="009953D2">
        <w:rPr>
          <w:rStyle w:val="lev"/>
        </w:rPr>
        <w:t>En Grande-Bretagne, les premières vagues d’immigration massive ont lieu entre 1950 et 1970 en réponse à la demande de main-d’œuvre</w:t>
      </w:r>
      <w:r w:rsidR="009953D2">
        <w:t xml:space="preserve"> liée à la croissance économique de l’époque. La majorité de ces migrants sont des hommes célibataires, majoritairement originaires du Nord de l’Inde (Punjab et Gujarat), et rejoints ensuite par leur famille.</w:t>
      </w:r>
      <w:r w:rsidR="009953D2">
        <w:br/>
        <w:t xml:space="preserve">Entre la fin des années 1960 et les années 1970, une nouvelle catégorie d’immigrants indiens arrive à Londres, dans l’ancienne métropole coloniale : les </w:t>
      </w:r>
      <w:r w:rsidR="009953D2">
        <w:rPr>
          <w:rStyle w:val="lev"/>
        </w:rPr>
        <w:t>« deux fois migrants »</w:t>
      </w:r>
      <w:r w:rsidR="009953D2">
        <w:t xml:space="preserve"> (</w:t>
      </w:r>
      <w:proofErr w:type="spellStart"/>
      <w:r w:rsidR="009953D2">
        <w:rPr>
          <w:rStyle w:val="Accentuation"/>
        </w:rPr>
        <w:t>twice</w:t>
      </w:r>
      <w:proofErr w:type="spellEnd"/>
      <w:r w:rsidR="009953D2">
        <w:rPr>
          <w:rStyle w:val="Accentuation"/>
        </w:rPr>
        <w:t xml:space="preserve"> migrants</w:t>
      </w:r>
      <w:r w:rsidR="009953D2">
        <w:t>). Les troubles politiques liés à la décolonisation conduisent en effet de nombreux Indiens installés depuis plusieurs générations dans une autre colonie à quitter leur premier pays d’installation pour gagner l’ancienne métropole coloniale. C’est notamment le cas au Kenya et en Ouganda où est menée une politique d’africanisation, mais aussi à Trinidad, Guyana et aux Fidji, agités par des conflits inter-ethniques. Depuis l’Ouganda, ce sont ainsi 27 000 Indiens qui gagnent la Grande-Bretagne, alors que 10 000 retournent en Inde, 6 000 partent au Canada, 1 000 au Pakistan et 4 000 dans divers pays d’Europe (</w:t>
      </w:r>
      <w:proofErr w:type="spellStart"/>
      <w:r w:rsidR="009953D2">
        <w:t>Ghai</w:t>
      </w:r>
      <w:proofErr w:type="spellEnd"/>
      <w:r w:rsidR="009953D2">
        <w:t>, 1965).</w:t>
      </w:r>
      <w:r w:rsidR="009953D2">
        <w:br/>
        <w:t>De manière générale, l’influence exercée par l’ancienne métropole coloniale sur la constitution de l’espace migratoire des populations d’origine indienne invite à parler d’une matrice quadrangulaire (</w:t>
      </w:r>
      <w:proofErr w:type="spellStart"/>
      <w:r w:rsidR="009953D2">
        <w:t>Kliot</w:t>
      </w:r>
      <w:proofErr w:type="spellEnd"/>
      <w:r w:rsidR="009953D2">
        <w:t>, 1996) dépassant le modèle triangulaire classique des diasporas qui repose habituellement sur « l’ici », le « là-bas » et « l’ailleurs », c’est-à-dire le pays d’accueil, le pays d’origine et la communauté transnationale (ou diaspora).</w:t>
      </w:r>
      <w:r>
        <w:t> »</w:t>
      </w:r>
    </w:p>
    <w:p w14:paraId="6159C7C8" w14:textId="5D9513C2" w:rsidR="00EE18AB" w:rsidRPr="00FD4D81" w:rsidRDefault="00245205" w:rsidP="00FD4D81">
      <w:pPr>
        <w:spacing w:line="276" w:lineRule="auto"/>
        <w:jc w:val="both"/>
        <w:rPr>
          <w:i/>
          <w:iCs/>
        </w:rPr>
      </w:pPr>
      <w:r>
        <w:t xml:space="preserve">En 1962 l’immigration sélective est décidée, et le </w:t>
      </w:r>
      <w:r w:rsidRPr="00FD4D81">
        <w:rPr>
          <w:i/>
          <w:iCs/>
        </w:rPr>
        <w:t xml:space="preserve">Coloured people Aliens </w:t>
      </w:r>
      <w:proofErr w:type="spellStart"/>
      <w:r w:rsidRPr="00FD4D81">
        <w:rPr>
          <w:i/>
          <w:iCs/>
        </w:rPr>
        <w:t>Act</w:t>
      </w:r>
      <w:proofErr w:type="spellEnd"/>
      <w:r>
        <w:t xml:space="preserve"> la rend libre pour les habitants du Commonwealth.</w:t>
      </w:r>
      <w:r w:rsidR="00FD4D81">
        <w:t xml:space="preserve"> À la fi</w:t>
      </w:r>
      <w:r w:rsidR="00EE18AB">
        <w:t xml:space="preserve">n années 1960, </w:t>
      </w:r>
      <w:r w:rsidR="00FD4D81">
        <w:t>de n</w:t>
      </w:r>
      <w:r w:rsidR="00EE18AB">
        <w:t>ombreux</w:t>
      </w:r>
      <w:r>
        <w:t xml:space="preserve"> Britanniques sont sous l’influence d’</w:t>
      </w:r>
      <w:proofErr w:type="spellStart"/>
      <w:r>
        <w:t>Enoch</w:t>
      </w:r>
      <w:proofErr w:type="spellEnd"/>
      <w:r>
        <w:t xml:space="preserve"> Powell</w:t>
      </w:r>
      <w:r w:rsidR="00FD4D81">
        <w:t xml:space="preserve"> qui tient un</w:t>
      </w:r>
      <w:r>
        <w:t xml:space="preserve"> discours raciste, agite </w:t>
      </w:r>
      <w:r w:rsidR="00FD4D81">
        <w:t>l’</w:t>
      </w:r>
      <w:r>
        <w:t xml:space="preserve">épouvantail </w:t>
      </w:r>
      <w:r w:rsidR="00FD4D81">
        <w:t xml:space="preserve">de la </w:t>
      </w:r>
      <w:r>
        <w:t xml:space="preserve">guerre civile si l’immigration en provenance de l’ancien empire se poursuit. Des conflits très </w:t>
      </w:r>
      <w:r w:rsidR="00FD4D81">
        <w:t>aigus agitent les</w:t>
      </w:r>
      <w:r>
        <w:t xml:space="preserve"> villes ouvrières</w:t>
      </w:r>
      <w:r w:rsidR="00FD4D81">
        <w:t>, sous le coup de la désindustrialisation et donc de la concurrence de main-d’œuvre</w:t>
      </w:r>
      <w:r>
        <w:t>.</w:t>
      </w:r>
      <w:r w:rsidR="00FD4D81">
        <w:t xml:space="preserve"> </w:t>
      </w:r>
      <w:r w:rsidR="00FD4D81" w:rsidRPr="00FD4D81">
        <w:rPr>
          <w:i/>
          <w:iCs/>
        </w:rPr>
        <w:t>Voir les films de Ken Loach.</w:t>
      </w:r>
    </w:p>
    <w:p w14:paraId="1B74760D" w14:textId="579D46E1" w:rsidR="00EE18AB" w:rsidRDefault="00EE18AB" w:rsidP="00FD4D81">
      <w:pPr>
        <w:pStyle w:val="NormalWeb"/>
        <w:jc w:val="both"/>
      </w:pPr>
      <w:r>
        <w:t xml:space="preserve">Sur l’intégration à long terme… Rishi </w:t>
      </w:r>
      <w:proofErr w:type="spellStart"/>
      <w:r>
        <w:t>Sunak</w:t>
      </w:r>
      <w:proofErr w:type="spellEnd"/>
      <w:r>
        <w:t>, petit-fils d’immigré indien, devenu Premier ministre anglais en 2022</w:t>
      </w:r>
      <w:r w:rsidR="00FD4D81">
        <w:t>,</w:t>
      </w:r>
      <w:r>
        <w:t xml:space="preserve"> hindou pratiquant, né en 1980 à Southampton, diplômé d’Oxford en 2001</w:t>
      </w:r>
      <w:r w:rsidR="00FD4D81">
        <w:t xml:space="preserve">, menant une politique de restriction des entrées en Grande-Bretagne, </w:t>
      </w:r>
      <w:r w:rsidR="00B55E48">
        <w:t>illustre ces retournements politiques et sociaux par rapport aux étrangers.</w:t>
      </w:r>
    </w:p>
    <w:p w14:paraId="06F9D437" w14:textId="77777777" w:rsidR="00B55E48" w:rsidRDefault="00B55E48" w:rsidP="00FD4D81">
      <w:pPr>
        <w:spacing w:before="360" w:line="276" w:lineRule="auto"/>
        <w:ind w:firstLine="708"/>
        <w:jc w:val="both"/>
        <w:rPr>
          <w:b/>
          <w:bCs/>
          <w:sz w:val="28"/>
          <w:szCs w:val="28"/>
        </w:rPr>
      </w:pPr>
    </w:p>
    <w:p w14:paraId="2A277BC4" w14:textId="3867BF17" w:rsidR="00A909CF" w:rsidRDefault="00A909CF" w:rsidP="00FD4D81">
      <w:pPr>
        <w:spacing w:before="360" w:line="276" w:lineRule="auto"/>
        <w:ind w:firstLine="708"/>
        <w:jc w:val="both"/>
        <w:rPr>
          <w:b/>
          <w:bCs/>
          <w:sz w:val="28"/>
          <w:szCs w:val="28"/>
        </w:rPr>
      </w:pPr>
      <w:r w:rsidRPr="00A909CF">
        <w:rPr>
          <w:b/>
          <w:bCs/>
          <w:sz w:val="28"/>
          <w:szCs w:val="28"/>
        </w:rPr>
        <w:lastRenderedPageBreak/>
        <w:t>4</w:t>
      </w:r>
      <w:r w:rsidR="00B55E48">
        <w:rPr>
          <w:b/>
          <w:bCs/>
          <w:sz w:val="28"/>
          <w:szCs w:val="28"/>
        </w:rPr>
        <w:t>-</w:t>
      </w:r>
      <w:r w:rsidRPr="00A909CF">
        <w:rPr>
          <w:b/>
          <w:bCs/>
          <w:sz w:val="28"/>
          <w:szCs w:val="28"/>
        </w:rPr>
        <w:t xml:space="preserve"> des hommes … et des femmes migrent en Europe</w:t>
      </w:r>
    </w:p>
    <w:p w14:paraId="18A202BC" w14:textId="506FDDD0" w:rsidR="00B55E48" w:rsidRDefault="00B55E48" w:rsidP="00B55E48">
      <w:pPr>
        <w:pStyle w:val="Sansinterligne"/>
      </w:pPr>
      <w:r>
        <w:t xml:space="preserve">Si l’image favorite des travailleurs immigrés est la représentation d’un ouvrier, homme, il ne faut pas oublier que la main d’œuvre immigrée est composée également de femmes. En Allemagne de l’Ouest c’est 22% des travailleurs immigrés qui sont des femmes. </w:t>
      </w:r>
    </w:p>
    <w:p w14:paraId="7B74AAF8" w14:textId="09DFF463" w:rsidR="00B55E48" w:rsidRDefault="00B55E48" w:rsidP="00B55E48">
      <w:pPr>
        <w:spacing w:before="360" w:line="276" w:lineRule="auto"/>
        <w:jc w:val="both"/>
      </w:pPr>
      <w:r>
        <w:t xml:space="preserve">L’extrait d’article ci-dessous le démontre. L’article part de la photo médiatique du millionième travailleur immigré arrivé en Allemagne de l’ouest : </w:t>
      </w:r>
    </w:p>
    <w:p w14:paraId="38C490BF" w14:textId="77777777" w:rsidR="00B55E48" w:rsidRDefault="00A909CF" w:rsidP="00B55E48">
      <w:pPr>
        <w:spacing w:before="360" w:line="276" w:lineRule="auto"/>
        <w:jc w:val="both"/>
      </w:pPr>
      <w:r>
        <w:t>Travail, migration et genre : les travailleuses immigrées en République fédérale d’Allemagne (1960-1973)</w:t>
      </w:r>
      <w:r w:rsidR="00B55E48">
        <w:t xml:space="preserve"> </w:t>
      </w:r>
      <w:hyperlink r:id="rId7" w:history="1">
        <w:r>
          <w:rPr>
            <w:rStyle w:val="Lienhypertexte"/>
          </w:rPr>
          <w:t>Monika Mattes</w:t>
        </w:r>
      </w:hyperlink>
      <w:r>
        <w:t xml:space="preserve"> Traduit par </w:t>
      </w:r>
      <w:hyperlink r:id="rId8" w:history="1">
        <w:r>
          <w:rPr>
            <w:rStyle w:val="Lienhypertexte"/>
          </w:rPr>
          <w:t xml:space="preserve">Gwénola </w:t>
        </w:r>
        <w:proofErr w:type="spellStart"/>
        <w:r>
          <w:rPr>
            <w:rStyle w:val="Lienhypertexte"/>
          </w:rPr>
          <w:t>Sebaux</w:t>
        </w:r>
        <w:proofErr w:type="spellEnd"/>
      </w:hyperlink>
      <w:r w:rsidR="00B55E48">
        <w:t xml:space="preserve">, </w:t>
      </w:r>
      <w:r>
        <w:t>p. 205-215</w:t>
      </w:r>
    </w:p>
    <w:p w14:paraId="26AD1FA6" w14:textId="5244E9A7" w:rsidR="00A909CF" w:rsidRPr="00B55E48" w:rsidRDefault="00A909CF" w:rsidP="00B55E48">
      <w:pPr>
        <w:spacing w:before="360" w:line="276" w:lineRule="auto"/>
        <w:ind w:firstLine="708"/>
        <w:jc w:val="both"/>
      </w:pPr>
      <w:r w:rsidRPr="00A909CF">
        <w:rPr>
          <w:sz w:val="22"/>
          <w:szCs w:val="22"/>
        </w:rPr>
        <w:t>« Or d’un point de vue statistique, le millionième travailleur immigré aurait aussi bien pu être une femme, puisque dès 1964 quelque 220 000 femmes étrangères avaient en RFA une activité assujettie à la Sécurité sociale, et elles représentaient 22 % des travailleurs étrangers. Leur nombre augmenta rapidement au cours des années soixante, il atteignait déjà 706 000 en 1973. Un tiers des travailleurs immigrés étaient donc des femmes</w:t>
      </w:r>
      <w:hyperlink r:id="rId9" w:anchor="ftn3" w:history="1">
        <w:r w:rsidRPr="00A909CF">
          <w:rPr>
            <w:rStyle w:val="Lienhypertexte"/>
            <w:b/>
            <w:bCs/>
            <w:sz w:val="22"/>
            <w:szCs w:val="22"/>
          </w:rPr>
          <w:t>3</w:t>
        </w:r>
      </w:hyperlink>
      <w:r w:rsidRPr="00A909CF">
        <w:rPr>
          <w:sz w:val="22"/>
          <w:szCs w:val="22"/>
        </w:rPr>
        <w:t>. Migration, marché de l’emploi et représentations de genre en Allemagne occidentale. Dans les années soixante, le gouvernement fédéral a déclenché, par une politique de recrutement volontariste, l’immigration massive de main-d’œuvre sud-européenne en RFA. Dès 1955, le premier accord bilatéral de recrutement était signé avec l’Italie. La croissance économique persistante et la diminution simultanée du réservoir de main-d’œuvre autochtone suscitèrent d’autres accords avec les pays de l’Europe méridionale : en 1960 la Grèce et l’Espagne, en 1961 la Turquie, 1964 le Portugal et 1968 la Yougoslavie</w:t>
      </w:r>
      <w:hyperlink r:id="rId10" w:anchor="ftn4" w:history="1">
        <w:r w:rsidRPr="00A909CF">
          <w:rPr>
            <w:rStyle w:val="Lienhypertexte"/>
            <w:sz w:val="22"/>
            <w:szCs w:val="22"/>
          </w:rPr>
          <w:t>4</w:t>
        </w:r>
      </w:hyperlink>
      <w:r w:rsidRPr="00A909CF">
        <w:rPr>
          <w:sz w:val="22"/>
          <w:szCs w:val="22"/>
        </w:rPr>
        <w:t>. Sur la base de ces accords, l’Office fédéral du travail créa dans ces pays ses propres commissions de recrutement chargées de fournir à l’économie ouest-allemande la main-d’œuvre qui lui faisait cruellement défaut.</w:t>
      </w:r>
    </w:p>
    <w:p w14:paraId="5AA3DA73" w14:textId="77777777" w:rsidR="00A909CF" w:rsidRDefault="00A909CF" w:rsidP="00B55E48">
      <w:pPr>
        <w:pStyle w:val="texte"/>
        <w:ind w:firstLine="708"/>
        <w:jc w:val="both"/>
      </w:pPr>
      <w:r w:rsidRPr="00A909CF">
        <w:rPr>
          <w:sz w:val="22"/>
          <w:szCs w:val="22"/>
        </w:rPr>
        <w:t>L’ouverture du marché du travail ouest-allemand</w:t>
      </w:r>
      <w:r>
        <w:t xml:space="preserve"> à la main-d’œuvre étrangère était un choix en termes de politique de l’emploi, mais également en termes de politique de genre. Le segment du marché du travail à bas salaire où se concentrait l’essentiel des postes féminins était dangereusement menacé dans son existence en raison du déficit de main-d’œuvre féminine. Il n’existait, il est vrai, plus de secteurs de salaires explicitement féminins, mais les femmes gagnaient jusque dans les années soixante-dix 30 à 40 % de moins que les hommes. Principalement dans le secteur de l’industrie alimentaire et des produits de luxe, de l’industrie textile et de plus en plus de l’industrie métallurgique, mais aussi dans le domaine des services domestiques, la pénurie de main-d’œuvre était particulièrement alarmante. Non seulement les hiérarchies de salaire traditionnelles entre les hommes et les femmes étaient en passe de s’abolir, mais les idéologies et représentations solidement ancrées dans la société et la culture, quant à la répartition des emplois entre les sexes, étaient de plus en plus clairement battues en brèche. Dans ce contexte, l’État et l’économie engagèrent une double stratégie : d’une part recruter des femmes étrangères et d’autre part mobiliser, au moins en partie, par le biais du temps partiel, le réservoir ouest-allemand des épouses et mères non actives. La fameuse « réserve dormante » (</w:t>
      </w:r>
      <w:proofErr w:type="spellStart"/>
      <w:r>
        <w:rPr>
          <w:rStyle w:val="Accentuation"/>
          <w:rFonts w:eastAsia="MS Gothic"/>
        </w:rPr>
        <w:t>stille</w:t>
      </w:r>
      <w:proofErr w:type="spellEnd"/>
      <w:r>
        <w:rPr>
          <w:rStyle w:val="Accentuation"/>
          <w:rFonts w:eastAsia="MS Gothic"/>
        </w:rPr>
        <w:t xml:space="preserve"> Reserve</w:t>
      </w:r>
      <w:r>
        <w:t xml:space="preserve">) des épouses et mères allemandes était déjà dans la ligne de mire des responsables de la gestion de l’emploi au milieu des années cinquante. Toutefois, il s’avérait à l’époque encore extrêmement délicat de mobiliser cette réserve pour une activité à temps plein – aussi bien d’ailleurs pour le gouvernement que pour les responsables de la gestion de l’emploi et les syndicats. En particulier les mères n’étaient censées travailler – à la rigueur – que par nécessité économique. L’idéal de la « femme au foyer » prôné par la politique familiale et ancré dans la législation était marqué par un double mouvement de rejet : d’abord </w:t>
      </w:r>
      <w:r>
        <w:lastRenderedPageBreak/>
        <w:t>le rejet du « service du travail » national-socialiste, ensuite celui de la politique du travail féminin de la RDA, stigmatisé comme une obligation de travailler.</w:t>
      </w:r>
    </w:p>
    <w:p w14:paraId="5B0061FD" w14:textId="77777777" w:rsidR="00A909CF" w:rsidRDefault="00A909CF" w:rsidP="00B55E48">
      <w:pPr>
        <w:pStyle w:val="texte"/>
        <w:jc w:val="both"/>
      </w:pPr>
      <w:r>
        <w:t xml:space="preserve">Ce consensus des genres socialement bien établi a volé en éclats à la fin des années cinquante. 1959 constitua la césure décisive sur le marché de l’emploi. L’important chômage féminin s’était résorbé. Les entreprises qui répugnaient jusque-là à embaucher des femmes mariées s’arrachaient désormais cette réserve de main-d’œuvre. Ainsi la voie était ouverte pour l’établissement du travail à temps partiel comme </w:t>
      </w:r>
      <w:r>
        <w:rPr>
          <w:rStyle w:val="Accentuation"/>
          <w:rFonts w:eastAsia="MS Gothic"/>
        </w:rPr>
        <w:t>le</w:t>
      </w:r>
      <w:r>
        <w:t xml:space="preserve"> modèle d’emploi pour les femmes mariées et les mères. Simultanément, la demande d’étrangères se fit plus forte dans divers secteurs d’activité comme l’industrie textile et du vêtement, l’industrie alimentaire, l’industrie du luxe ainsi que l’industrie de l’électroménager en pleine expansion. Dans presque toutes les branches de l’industrie, le travail à la pièce, à la chaîne ou le système du travail aux trois-huit étaient la règle. Les salariées allemandes évitaient autant que possible ces emplois physiquement et psychiquement éprouvants, ou ne pouvaient plus les occuper en raison de leur âge. Dans le secteur des services, la pénurie de main-d’œuvre affectait depuis longtemps la filière des soins, les travaux domestiques et le travail saisonnier de l’hôtellerie ou de la restauration. La raison de cette pénurie, selon une opinion courante à l’époque, tenait aux exigences grandissantes de la jeune génération de femmes ouest-allemandes, qui n’était plus disposée à accepter un emploi de travail domestique. Le spectre de la demande s’ouvrit donc simultanément aux travailleuses étrangères, réputées plus dociles et respectueuses de la tradition. Ainsi les travailleuses saisonnières espagnoles employées dans l’hôtellerie et la restauration à Helgoland ont-elles pu être qualifiées par la revue féminine catholique </w:t>
      </w:r>
      <w:r>
        <w:rPr>
          <w:rStyle w:val="Accentuation"/>
          <w:rFonts w:eastAsia="MS Gothic"/>
        </w:rPr>
        <w:t xml:space="preserve">Frau </w:t>
      </w:r>
      <w:proofErr w:type="spellStart"/>
      <w:r>
        <w:rPr>
          <w:rStyle w:val="Accentuation"/>
          <w:rFonts w:eastAsia="MS Gothic"/>
        </w:rPr>
        <w:t>und</w:t>
      </w:r>
      <w:proofErr w:type="spellEnd"/>
      <w:r>
        <w:rPr>
          <w:rStyle w:val="Accentuation"/>
          <w:rFonts w:eastAsia="MS Gothic"/>
        </w:rPr>
        <w:t xml:space="preserve"> </w:t>
      </w:r>
      <w:proofErr w:type="spellStart"/>
      <w:r>
        <w:rPr>
          <w:rStyle w:val="Accentuation"/>
          <w:rFonts w:eastAsia="MS Gothic"/>
        </w:rPr>
        <w:t>Beruf</w:t>
      </w:r>
      <w:proofErr w:type="spellEnd"/>
      <w:r>
        <w:t xml:space="preserve"> comme les dernières représentantes de la </w:t>
      </w:r>
      <w:proofErr w:type="spellStart"/>
      <w:r>
        <w:t>corvéabilité</w:t>
      </w:r>
      <w:proofErr w:type="spellEnd"/>
      <w:r>
        <w:t xml:space="preserve"> féminine :</w:t>
      </w:r>
    </w:p>
    <w:p w14:paraId="38BC1C8C" w14:textId="6E9D6660" w:rsidR="00A909CF" w:rsidRDefault="00A909CF" w:rsidP="00B55E48">
      <w:pPr>
        <w:pStyle w:val="citation0"/>
        <w:jc w:val="both"/>
      </w:pPr>
      <w:r>
        <w:t>Elles avaient une aptitude au travail supérieure à la moyenne, et surtout elles faisaient preuve à l’égard des clients d’une réserve de bon aloi et d’un comportement irréprochable. On a l’impression que pour ces femmes et ces filles, habituées dans leur pays à des mœurs austères et à une pensée patriarcale, une telle correction va encore de soi.</w:t>
      </w:r>
    </w:p>
    <w:p w14:paraId="50D4C205" w14:textId="50DD4341" w:rsidR="00A909CF" w:rsidRDefault="00A909CF" w:rsidP="00B55E48">
      <w:pPr>
        <w:pStyle w:val="citation0"/>
        <w:jc w:val="both"/>
      </w:pPr>
      <w:r>
        <w:t>La représentation familière de la migrante travailleuse et peu exigeante se voyait de temps à autre contrecarrée par une autre réalité. Les travailleuses immigrées se révélaient être des actrices à part entière du marché du travail, conscientes de leur valeur et de leur position de force dans le champ instable de l’offre et de la demande. C’était par exemple le cas lorsqu’elles menaçaient leur employeur de repartir dans leur pays s’il n’augmentait pas leur salaire. Ou encore les migrantes du travail entreprenaient des actions de grève sauvage lorsqu’elles estimaient qu’on les dupait sur leur salaire. Des malentendus sur la différence entre salaire net et brut, mais également des indications de salaire intentionnellement erronées de la part des employeurs déclenchèrent ainsi des débrayages spontanés. De telles manifestations de résistance étaient beaucoup plus répandues que la recherche ne l’a supposé jusqu’ici</w:t>
      </w:r>
      <w:hyperlink r:id="rId11" w:anchor="ftn8" w:history="1">
        <w:r>
          <w:rPr>
            <w:rStyle w:val="Lienhypertexte"/>
          </w:rPr>
          <w:t>8</w:t>
        </w:r>
      </w:hyperlink>
      <w:r>
        <w:t>.</w:t>
      </w:r>
    </w:p>
    <w:p w14:paraId="5369F81E" w14:textId="5D5E4240" w:rsidR="00A909CF" w:rsidRDefault="00A909CF" w:rsidP="00B55E48">
      <w:pPr>
        <w:pStyle w:val="citation0"/>
        <w:jc w:val="both"/>
      </w:pPr>
      <w:r>
        <w:t>Si l’on considère la gestion du travail, la loi en faveur de l’emploi (</w:t>
      </w:r>
      <w:proofErr w:type="spellStart"/>
      <w:r>
        <w:rPr>
          <w:rStyle w:val="Accentuation"/>
        </w:rPr>
        <w:t>Arbeitsförderungsgesetz</w:t>
      </w:r>
      <w:proofErr w:type="spellEnd"/>
      <w:r>
        <w:t xml:space="preserve"> – AFG) de 1969 a été une césure décisive. Par cette loi, qui visait à instituer une politique du marché du travail moderne et planifiée, l’Office fédéral du travail misait pour la première fois de façon explicite sur les femmes allemandes comme alternative aux travailleuses immigrées. On avait en effet, avant le gouvernement social-libéral, déjà découvert que les femmes représentaient un potentiel inutilisé pour l’offensive de formation jugée nécessaire. Dès lors la volonté politique de favoriser activement l’emploi féminin devenait perceptible pour la première fois.</w:t>
      </w:r>
    </w:p>
    <w:p w14:paraId="594BFC0B" w14:textId="77777777" w:rsidR="00594D2E" w:rsidRDefault="00A909CF" w:rsidP="00594D2E">
      <w:pPr>
        <w:spacing w:before="360" w:line="276" w:lineRule="auto"/>
        <w:jc w:val="both"/>
      </w:pPr>
      <w:r>
        <w:lastRenderedPageBreak/>
        <w:t>Une enquête représentative menée en 1968 par l’instance fédérale indique que 64 % des salariés étrangers étaient des femmes, et que 71 % des hommes étaient mariés. 94 % des femmes mariées et 70 % des hommes avaient un(e) conjoint(e) en Allemagne fédérale. Ce sont essentiellement les Grecques qui émigraient en couple ou en famille en RFA. Jusqu’à l’enquête représentative de 1972, la part des travailleuses étrangères célibataires continua à baisser, passant de 36 à 32 %. 5 % des salariées mariées vivaient encore sans leur conjoint en RFA. La part des salariés masculins célibataires demeurait en revanche, avec 28 %, sensiblement plus élevée. Les chiffres tendent à démontrer que la migration du travail a bien été initiée surtout par les membres masculins de la famille. Toutefois la périodisation couramment opérée par la recherche, divisant le processus en une phase précoce de migration du travail portée par l’élément masculin, et seulement ultérieurement, à partir de la décennie soixante-dix, une migration majoritairement « féminine » ne rend pas compte de ce processus migratoire. Bien au contraire, il apparaît que la phase du travail immigré des années soixante a été marquée par un faisceau complexe de phénomènes migratoires. »</w:t>
      </w:r>
      <w:r w:rsidR="00594D2E" w:rsidRPr="00594D2E">
        <w:t xml:space="preserve"> </w:t>
      </w:r>
    </w:p>
    <w:p w14:paraId="042072BC" w14:textId="1D90DBC6" w:rsidR="00A909CF" w:rsidRDefault="00594D2E" w:rsidP="00594D2E">
      <w:pPr>
        <w:spacing w:before="360" w:line="276" w:lineRule="auto"/>
        <w:jc w:val="both"/>
      </w:pPr>
      <w:r>
        <w:t xml:space="preserve">Travail, migration et genre : les travailleuses immigrées en République fédérale d’Allemagne (1960-1973) </w:t>
      </w:r>
      <w:hyperlink r:id="rId12" w:history="1">
        <w:r>
          <w:rPr>
            <w:rStyle w:val="Lienhypertexte"/>
          </w:rPr>
          <w:t>Monika Mattes</w:t>
        </w:r>
      </w:hyperlink>
      <w:r>
        <w:t xml:space="preserve"> Traduit par </w:t>
      </w:r>
      <w:hyperlink r:id="rId13" w:history="1">
        <w:r>
          <w:rPr>
            <w:rStyle w:val="Lienhypertexte"/>
          </w:rPr>
          <w:t xml:space="preserve">Gwénola </w:t>
        </w:r>
        <w:proofErr w:type="spellStart"/>
        <w:r>
          <w:rPr>
            <w:rStyle w:val="Lienhypertexte"/>
          </w:rPr>
          <w:t>Sebaux</w:t>
        </w:r>
        <w:proofErr w:type="spellEnd"/>
      </w:hyperlink>
      <w:r>
        <w:t>, p. 205-215</w:t>
      </w:r>
    </w:p>
    <w:p w14:paraId="418A4F67" w14:textId="2B37F4FA" w:rsidR="00EF4E4B" w:rsidRPr="00EF4E4B" w:rsidRDefault="00EF4E4B" w:rsidP="00594D2E">
      <w:pPr>
        <w:pStyle w:val="NormalWeb"/>
        <w:jc w:val="both"/>
        <w:rPr>
          <w:b/>
          <w:bCs/>
        </w:rPr>
      </w:pPr>
      <w:r w:rsidRPr="00EF4E4B">
        <w:rPr>
          <w:b/>
          <w:bCs/>
        </w:rPr>
        <w:t xml:space="preserve">Les </w:t>
      </w:r>
      <w:proofErr w:type="spellStart"/>
      <w:r w:rsidRPr="00EF4E4B">
        <w:rPr>
          <w:b/>
          <w:bCs/>
        </w:rPr>
        <w:t>immigré</w:t>
      </w:r>
      <w:r>
        <w:rPr>
          <w:b/>
          <w:bCs/>
        </w:rPr>
        <w:t>.</w:t>
      </w:r>
      <w:proofErr w:type="gramStart"/>
      <w:r w:rsidRPr="00EF4E4B">
        <w:rPr>
          <w:b/>
          <w:bCs/>
        </w:rPr>
        <w:t>e</w:t>
      </w:r>
      <w:r>
        <w:rPr>
          <w:b/>
          <w:bCs/>
        </w:rPr>
        <w:t>.</w:t>
      </w:r>
      <w:r w:rsidRPr="00EF4E4B">
        <w:rPr>
          <w:b/>
          <w:bCs/>
        </w:rPr>
        <w:t>s</w:t>
      </w:r>
      <w:proofErr w:type="spellEnd"/>
      <w:proofErr w:type="gramEnd"/>
      <w:r w:rsidRPr="00EF4E4B">
        <w:rPr>
          <w:b/>
          <w:bCs/>
        </w:rPr>
        <w:t xml:space="preserve"> espagnoles </w:t>
      </w:r>
    </w:p>
    <w:p w14:paraId="7D12DACC" w14:textId="5456129C" w:rsidR="00EF4E4B" w:rsidRDefault="00EF4E4B" w:rsidP="00594D2E">
      <w:pPr>
        <w:pStyle w:val="NormalWeb"/>
        <w:jc w:val="both"/>
      </w:pPr>
      <w:r>
        <w:t>Dans les années 1960-1970, la répartition des Espagnols sur le territoire changea, avec notamment la diminution de la sur-représentation du Sud, due à une moindre demande de main-d’œuvre. Ainsi, leur présence en région parisienne explosa, à cause des besoins de l’industrie automobile, du BTP et du service domestique (en 1968, un quart des Espagnols recensés vivaient en Ile-de-France, dont 65 500 à Paris même). L’</w:t>
      </w:r>
      <w:r w:rsidR="00594D2E">
        <w:t>Espagne</w:t>
      </w:r>
      <w:r>
        <w:t xml:space="preserve"> envoya également des ouvriers travailler dans les mines du Nord ou de l’Est, dans les entreprises Michelin de Clermont-Ferrand ou Citroën de Rennes, régions où la présence espagnole était très faible auparavant.</w:t>
      </w:r>
      <w:r>
        <w:br/>
        <w:t>Mais le fait nouveau le plus marquant de cette émigration fut la présence importante de femmes seules venues travailler dans le service domestique. Alors que durant l’entre-deux-guerres, elles émigraient toujours accompagnées de leurs pères, maris ou frères, désormais, nombre d’entre elles partaient seules ou avec une sœur ou une cousine.</w:t>
      </w:r>
    </w:p>
    <w:p w14:paraId="5760C7D5" w14:textId="77777777" w:rsidR="00EF4E4B" w:rsidRDefault="00EF4E4B" w:rsidP="00EF4E4B">
      <w:r>
        <w:t>Image</w:t>
      </w:r>
    </w:p>
    <w:p w14:paraId="36DF1CCF" w14:textId="0F725301" w:rsidR="00EF4E4B" w:rsidRDefault="00EF4E4B" w:rsidP="00EF4E4B">
      <w:r>
        <w:lastRenderedPageBreak/>
        <w:fldChar w:fldCharType="begin"/>
      </w:r>
      <w:r>
        <w:instrText xml:space="preserve"> INCLUDEPICTURE "https://www.histoire-immigration.fr/sites/default/files/styles/paragraphe_paysage_mobile/public/musee/photos/charbonnier_02.jpg?h=af83237d&amp;itok=WngYqT_w" \* MERGEFORMATINET </w:instrText>
      </w:r>
      <w:r>
        <w:fldChar w:fldCharType="separate"/>
      </w:r>
      <w:r>
        <w:rPr>
          <w:noProof/>
        </w:rPr>
        <w:drawing>
          <wp:inline distT="0" distB="0" distL="0" distR="0" wp14:anchorId="5FE8F050" wp14:editId="38BB95E5">
            <wp:extent cx="4154805" cy="2847340"/>
            <wp:effectExtent l="0" t="0" r="0" b="0"/>
            <wp:docPr id="1" name="Image 1" descr="Daily life of a Spanish maid in Paris, 1962, Jean-Philippe Charbonn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ly life of a Spanish maid in Paris, 1962, Jean-Philippe Charbonni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4805" cy="2847340"/>
                    </a:xfrm>
                    <a:prstGeom prst="rect">
                      <a:avLst/>
                    </a:prstGeom>
                    <a:noFill/>
                    <a:ln>
                      <a:noFill/>
                    </a:ln>
                  </pic:spPr>
                </pic:pic>
              </a:graphicData>
            </a:graphic>
          </wp:inline>
        </w:drawing>
      </w:r>
      <w:r>
        <w:fldChar w:fldCharType="end"/>
      </w:r>
    </w:p>
    <w:p w14:paraId="2860F04A" w14:textId="77777777" w:rsidR="00EF4E4B" w:rsidRDefault="00EF4E4B" w:rsidP="00EF4E4B">
      <w:r>
        <w:t>Vie quotidienne d'une bonne espagnole à Paris, 1962, Jean-Philippe Charbonnier</w:t>
      </w:r>
    </w:p>
    <w:p w14:paraId="29EF1E7A" w14:textId="77777777" w:rsidR="00EF4E4B" w:rsidRDefault="00EF4E4B" w:rsidP="00EF4E4B">
      <w:r>
        <w:t>© Musée national de l'histoire de l'immigration</w:t>
      </w:r>
    </w:p>
    <w:p w14:paraId="5570EEC2" w14:textId="77777777" w:rsidR="00EF4E4B" w:rsidRDefault="00EF4E4B" w:rsidP="00EF4E4B">
      <w:pPr>
        <w:pStyle w:val="NormalWeb"/>
      </w:pPr>
      <w:r>
        <w:t>Beaucoup étaient célibataires, mais des femmes mariées furent aussi des pionnières de l’émigration familiale : une fois placées et logées dans une chambre de bonne, elles faisaient venir leur mari, voire leurs enfants. Si Paris et Neuilly-sur-Seine accueillirent la majorité d’entre elles, d’autres s’installèrent à Bordeaux, Lyon ou Lille.</w:t>
      </w:r>
    </w:p>
    <w:p w14:paraId="68846A68" w14:textId="77777777" w:rsidR="00EF4E4B" w:rsidRDefault="00EF4E4B" w:rsidP="00EF4E4B">
      <w:pPr>
        <w:pStyle w:val="NormalWeb"/>
      </w:pPr>
      <w:r>
        <w:t>Dans les années 1960 et 1970, le pourcentage des Espagnoles actives était nettement plus élevé en France qu’en Espagne, les couples, obnubilés par l’idée du retour, choisissant cette stratégie pour accumuler plus rapidement l’argent le permettant.</w:t>
      </w:r>
    </w:p>
    <w:p w14:paraId="731D7C5D" w14:textId="4214AB79" w:rsidR="009953D2" w:rsidRPr="009953D2" w:rsidRDefault="009953D2" w:rsidP="00A909CF">
      <w:pPr>
        <w:spacing w:before="360" w:line="276" w:lineRule="auto"/>
        <w:jc w:val="both"/>
        <w:rPr>
          <w:b/>
          <w:bCs/>
          <w:sz w:val="28"/>
          <w:szCs w:val="28"/>
        </w:rPr>
      </w:pPr>
    </w:p>
    <w:p w14:paraId="7C1E6542" w14:textId="77777777" w:rsidR="007F07CC" w:rsidRDefault="007F07CC" w:rsidP="00D2750D">
      <w:pPr>
        <w:spacing w:line="276" w:lineRule="auto"/>
      </w:pPr>
    </w:p>
    <w:p w14:paraId="3D3737C8" w14:textId="1996ABC9" w:rsidR="009953D2" w:rsidRPr="009953D2" w:rsidRDefault="009953D2" w:rsidP="009953D2">
      <w:pPr>
        <w:pStyle w:val="Paragraphedeliste"/>
        <w:numPr>
          <w:ilvl w:val="0"/>
          <w:numId w:val="10"/>
        </w:numPr>
        <w:spacing w:line="276" w:lineRule="auto"/>
        <w:rPr>
          <w:b/>
          <w:sz w:val="28"/>
          <w:szCs w:val="28"/>
        </w:rPr>
      </w:pPr>
      <w:r w:rsidRPr="009953D2">
        <w:rPr>
          <w:b/>
          <w:sz w:val="28"/>
          <w:szCs w:val="28"/>
        </w:rPr>
        <w:t xml:space="preserve">L’immigration, une politique prioritaire en </w:t>
      </w:r>
      <w:r w:rsidR="00594D2E">
        <w:rPr>
          <w:b/>
          <w:sz w:val="28"/>
          <w:szCs w:val="28"/>
        </w:rPr>
        <w:t xml:space="preserve">France </w:t>
      </w:r>
      <w:r w:rsidRPr="009953D2">
        <w:rPr>
          <w:b/>
          <w:sz w:val="28"/>
          <w:szCs w:val="28"/>
        </w:rPr>
        <w:t>?</w:t>
      </w:r>
    </w:p>
    <w:p w14:paraId="5FA62879" w14:textId="14B3057A" w:rsidR="00026315" w:rsidRPr="009953D2" w:rsidRDefault="00026315" w:rsidP="009953D2">
      <w:pPr>
        <w:pStyle w:val="Paragraphedeliste"/>
        <w:spacing w:line="276" w:lineRule="auto"/>
        <w:ind w:left="1080"/>
        <w:rPr>
          <w:b/>
        </w:rPr>
      </w:pPr>
      <w:r w:rsidRPr="009953D2">
        <w:rPr>
          <w:b/>
        </w:rPr>
        <w:t>1-</w:t>
      </w:r>
      <w:r w:rsidR="00245205">
        <w:rPr>
          <w:b/>
        </w:rPr>
        <w:t>Introduire de « bons éléments d’immigration » C</w:t>
      </w:r>
      <w:r w:rsidR="00594D2E">
        <w:rPr>
          <w:b/>
        </w:rPr>
        <w:t>harles</w:t>
      </w:r>
      <w:r w:rsidR="00245205">
        <w:rPr>
          <w:b/>
        </w:rPr>
        <w:t xml:space="preserve"> de Gaulle, 1944</w:t>
      </w:r>
    </w:p>
    <w:p w14:paraId="035FB4D5" w14:textId="4943B370" w:rsidR="00B6037D" w:rsidRDefault="003905BD" w:rsidP="00A76C1F">
      <w:pPr>
        <w:spacing w:line="276" w:lineRule="auto"/>
        <w:jc w:val="both"/>
      </w:pPr>
      <w:r>
        <w:t>En France, l</w:t>
      </w:r>
      <w:r w:rsidR="00400E1B">
        <w:t>e Général de Gaulle prononce dans un discours de portée nationale la nécessité d</w:t>
      </w:r>
      <w:proofErr w:type="gramStart"/>
      <w:r w:rsidR="00400E1B">
        <w:t>’«</w:t>
      </w:r>
      <w:proofErr w:type="gramEnd"/>
      <w:r w:rsidR="00400E1B">
        <w:t> introduire de bons éléments d’immigration</w:t>
      </w:r>
      <w:r w:rsidR="001212E1">
        <w:t xml:space="preserve"> dans la collectivité française</w:t>
      </w:r>
      <w:r w:rsidR="00400E1B">
        <w:t> »</w:t>
      </w:r>
      <w:r w:rsidR="001212E1">
        <w:t xml:space="preserve"> le 2 mars</w:t>
      </w:r>
      <w:r w:rsidR="00400E1B">
        <w:t xml:space="preserve"> 1944</w:t>
      </w:r>
      <w:r w:rsidR="001212E1">
        <w:t>, après avoir fait le constat « La France hélas manque d’hommes (…) en attendant les 12 millions de beaux bébés »</w:t>
      </w:r>
      <w:r w:rsidR="00400E1B">
        <w:t xml:space="preserve">. </w:t>
      </w:r>
      <w:r w:rsidR="001212E1">
        <w:t>Les études de l’INED et Haut comité consultatif de la population et de la famille indiquent que la France a besoin d’un million de travailleurs étrangers et se prononcent en faveur d’une immigration de peuplement ce qui représenterait une immigration de 5 millions de personnes. Des débats s’élèvent sur la sélection des étrangers, idée en contradiction avec l’esprit de la Résistance.</w:t>
      </w:r>
      <w:r w:rsidR="00BB7532">
        <w:t xml:space="preserve"> </w:t>
      </w:r>
      <w:r w:rsidR="002C56B8">
        <w:t>Finalement, le général D</w:t>
      </w:r>
      <w:r w:rsidR="00BB7532">
        <w:t>e Gaulle</w:t>
      </w:r>
      <w:r w:rsidR="002C56B8">
        <w:t xml:space="preserve">, la SFIO et le PCF se mettent d’accord sur une véritable politique. Une ordonnance du 19 octobre 1945 établit les conditions de nationalité reposant sur le droit du sol (après 5 ans de résidence, sauf si 3 enfants ou si engagement dans l’armée) et le droit du sang. </w:t>
      </w:r>
      <w:r w:rsidR="00654399">
        <w:t>La référence à la dénaturalisation est retirée, suite au traumatisme de la guerre, et désormais, l’égalité entre hommes et femmes par rapport à l’état civil permet que tout mariage avec un ou une Française obtient la nationalité française</w:t>
      </w:r>
      <w:r w:rsidR="00594D2E">
        <w:t xml:space="preserve"> et une femme française ne perd plus sa nationalité en épousant un étranger</w:t>
      </w:r>
      <w:r w:rsidR="00654399">
        <w:t xml:space="preserve">. Deux cartes sont établies </w:t>
      </w:r>
      <w:r w:rsidR="00654399">
        <w:lastRenderedPageBreak/>
        <w:t xml:space="preserve">pour l’étranger </w:t>
      </w:r>
      <w:r w:rsidR="00000FB5">
        <w:t xml:space="preserve">venu travailler en France : </w:t>
      </w:r>
      <w:r w:rsidR="00000FB5" w:rsidRPr="00594D2E">
        <w:rPr>
          <w:b/>
          <w:bCs/>
        </w:rPr>
        <w:t>carte de séjour et carte de travail</w:t>
      </w:r>
      <w:r w:rsidR="00000FB5">
        <w:t>, afin d’éviter les refoulements de travailleurs étrangers en 1931.</w:t>
      </w:r>
      <w:r w:rsidR="00654399">
        <w:t xml:space="preserve"> </w:t>
      </w:r>
    </w:p>
    <w:p w14:paraId="25037A34" w14:textId="32C27A74" w:rsidR="00000FB5" w:rsidRDefault="00000FB5" w:rsidP="00A76C1F">
      <w:pPr>
        <w:spacing w:line="276" w:lineRule="auto"/>
        <w:jc w:val="both"/>
      </w:pPr>
      <w:r>
        <w:t>Les ordonnances de sécurité sociale intègrent les étrangers au dispositif qui, s’ils sont en situation légale, peuvent en bénéficier. Toutefois, des discriminations persistent : les étrangers ne peuvent d</w:t>
      </w:r>
      <w:r w:rsidR="00DB1620">
        <w:t>evenir responsables syndicales et l’ONI contrôle et sélectionne la main-d’œuvre étrangère.</w:t>
      </w:r>
    </w:p>
    <w:p w14:paraId="7735C297" w14:textId="77777777" w:rsidR="003905BD" w:rsidRDefault="00B6037D" w:rsidP="003905BD">
      <w:pPr>
        <w:spacing w:line="276" w:lineRule="auto"/>
        <w:jc w:val="both"/>
      </w:pPr>
      <w:r>
        <w:t>L’</w:t>
      </w:r>
      <w:r w:rsidR="002C56B8">
        <w:t>o</w:t>
      </w:r>
      <w:r>
        <w:t xml:space="preserve">rdonnance du 2 novembre 1945 crée l’établissement national : Office national de l’immigration, chargé à titre exclusif de « toutes les opérations de recrutement et d’introduction en France de travailleurs originaires des territoires d’outre-mer et des étrangers, du recrutement en France des travailleurs de toutes nationalités pour l’étranger ». </w:t>
      </w:r>
      <w:r w:rsidR="001212E1">
        <w:t xml:space="preserve"> </w:t>
      </w:r>
      <w:r w:rsidR="00A76C1F">
        <w:t xml:space="preserve">En 1946, le gouvernement ajoute parmi ses fonctions l’organisation matérielle de l’introduction en France des familles de travailleurs. </w:t>
      </w:r>
    </w:p>
    <w:p w14:paraId="11472F20" w14:textId="77777777" w:rsidR="003905BD" w:rsidRDefault="003905BD" w:rsidP="00A76C1F">
      <w:pPr>
        <w:spacing w:line="276" w:lineRule="auto"/>
        <w:jc w:val="both"/>
      </w:pPr>
    </w:p>
    <w:p w14:paraId="23B6AA89" w14:textId="163A7485" w:rsidR="00DB1620" w:rsidRDefault="00DB1620" w:rsidP="00A76C1F">
      <w:pPr>
        <w:spacing w:line="276" w:lineRule="auto"/>
        <w:jc w:val="both"/>
      </w:pPr>
      <w:r w:rsidRPr="00DB1620">
        <w:t>On c</w:t>
      </w:r>
      <w:r>
        <w:t>onstate une certaine médiocrité des flux</w:t>
      </w:r>
      <w:r w:rsidR="00934EB6">
        <w:t xml:space="preserve"> migratoires </w:t>
      </w:r>
      <w:r>
        <w:t>sous contrôle </w:t>
      </w:r>
      <w:r w:rsidR="003905BD">
        <w:t xml:space="preserve">en France </w:t>
      </w:r>
      <w:r>
        <w:t>;</w:t>
      </w:r>
      <w:r w:rsidR="003905BD">
        <w:t xml:space="preserve"> la complexité administrative et l’inorganisation ONI laissent des flux illégaux en place. Des accords politiques bilatéraux se multiplient, comme celui passé entre l’Italie et la France et son ministre du travail Ambroise Croizat, en 1946 qui prévoit l’immigration en France de 300 000 travailleurs ; seuls 100 </w:t>
      </w:r>
      <w:r w:rsidR="00360DAA">
        <w:t>000 répondent à cet appel légal (</w:t>
      </w:r>
      <w:proofErr w:type="spellStart"/>
      <w:r w:rsidR="00360DAA" w:rsidRPr="00CE7953">
        <w:rPr>
          <w:b/>
          <w:bCs/>
        </w:rPr>
        <w:t>cf</w:t>
      </w:r>
      <w:proofErr w:type="spellEnd"/>
      <w:r w:rsidR="00360DAA" w:rsidRPr="00CE7953">
        <w:rPr>
          <w:b/>
          <w:bCs/>
        </w:rPr>
        <w:t xml:space="preserve"> affiche sur le </w:t>
      </w:r>
      <w:proofErr w:type="spellStart"/>
      <w:r w:rsidR="00360DAA" w:rsidRPr="00CE7953">
        <w:rPr>
          <w:b/>
          <w:bCs/>
        </w:rPr>
        <w:t>powerpoint</w:t>
      </w:r>
      <w:proofErr w:type="spellEnd"/>
      <w:r w:rsidR="00360DAA">
        <w:t>)</w:t>
      </w:r>
      <w:r w:rsidR="00C01C87">
        <w:t>.</w:t>
      </w:r>
    </w:p>
    <w:p w14:paraId="157FA140" w14:textId="77777777" w:rsidR="009953D2" w:rsidRDefault="009953D2" w:rsidP="00A76C1F">
      <w:pPr>
        <w:spacing w:line="276" w:lineRule="auto"/>
        <w:jc w:val="both"/>
      </w:pPr>
    </w:p>
    <w:p w14:paraId="22B85FA8" w14:textId="2F20B9AB" w:rsidR="00C01C87" w:rsidRDefault="00C01C87" w:rsidP="00A76C1F">
      <w:pPr>
        <w:spacing w:line="276" w:lineRule="auto"/>
        <w:jc w:val="both"/>
      </w:pPr>
      <w:r>
        <w:t>En France cette croissance est nourrie par les flux migratoires qui de plus en plus deviennent extra-européens. En 1954 1,7 million d’étrangers sont installés en France pour y travailler dont 80 % d’Européens, en 1975 ce chiffre est de 3, 4 millions d’étrangers dont 60% d’Européens.</w:t>
      </w:r>
      <w:r w:rsidR="00AD14EB">
        <w:t xml:space="preserve"> Parmi ces « étrangers », la part coloniale et post-coloniale s’affirme, notamment celle du Maghreb pour la France et de l’Inde et du Pakistan pour la Grande Bretagne.</w:t>
      </w:r>
    </w:p>
    <w:p w14:paraId="52D30BF8" w14:textId="38520F3C" w:rsidR="007F07CC" w:rsidRDefault="007F07CC" w:rsidP="00A76C1F">
      <w:pPr>
        <w:spacing w:line="276" w:lineRule="auto"/>
        <w:jc w:val="both"/>
      </w:pPr>
      <w:r>
        <w:tab/>
        <w:t>En France, l’immigration devient surtout une immigration ouvrière : 53% des immigrants en 1962 sont des ouvriers ; ce chiffre atteint 73% en 1975. La grande industrie absorbe la majorité de ces ouvriers-immigrés.  EN 1975 en France, 1 ouvrier sur 5 est un étranger. Ce chiffre est identique en Allemagne. Les métiers du bâtiment, des travaux publics et des métaux sont délaissés par les nationaux et sont majoritairement exercés par des ouvriers immigrés : 1/3 main-d’œuvre</w:t>
      </w:r>
      <w:r w:rsidR="004561E8">
        <w:t xml:space="preserve"> du bâtiment, 1</w:t>
      </w:r>
      <w:r>
        <w:t>/4 dans la métallurgie.</w:t>
      </w:r>
      <w:r w:rsidR="004561E8">
        <w:t xml:space="preserve"> En France, l’immigration algérienne qui s’accroît dans l’après-guerre se fait en dehors de l’ONI, car tant que l’Algérie n’est pas indépendante, les Algériens ne sont pas des étrangers, tout en </w:t>
      </w:r>
      <w:r w:rsidR="00594D2E">
        <w:t>n’</w:t>
      </w:r>
      <w:r w:rsidR="004561E8">
        <w:t xml:space="preserve">étant pas des citoyens de plein droit. </w:t>
      </w:r>
      <w:r w:rsidR="008B4832">
        <w:t>Toutefois, le statut de 1947 fait des « Musulmans d’Algérie » des Français à part entière. En 1964, 20 000 « Musulmans d’Algérie » viennent travailler en France, ils sont 200 000 en 1954. Lorsque la Guerre d’Algérie s’impose à tous en 1956</w:t>
      </w:r>
      <w:r w:rsidR="00594D2E">
        <w:t>-</w:t>
      </w:r>
      <w:r w:rsidR="008B4832">
        <w:t xml:space="preserve">1957, l’État français devient réticent par rapport à cette immigration et les employeurs craignent leur reflux. En 1958, la V° République et son premier gouvernement privilégient d’autres sources d’immigration, par des </w:t>
      </w:r>
      <w:r w:rsidR="008B4832" w:rsidRPr="00594D2E">
        <w:rPr>
          <w:b/>
          <w:bCs/>
        </w:rPr>
        <w:t>accords bilatéraux</w:t>
      </w:r>
      <w:r w:rsidR="008B4832">
        <w:t xml:space="preserve"> passés avec l’Espagne de Franco en 1961, le Portugal de Salazar en 1963, la Tunisie et le Maroc en 1963 (devenus indépendants en 1956), la Turquie et la Yougoslavie en 1965. </w:t>
      </w:r>
    </w:p>
    <w:p w14:paraId="0DBEEEE8" w14:textId="04DA0BAE" w:rsidR="008B4832" w:rsidRDefault="008B4832" w:rsidP="00A76C1F">
      <w:pPr>
        <w:spacing w:line="276" w:lineRule="auto"/>
        <w:jc w:val="both"/>
      </w:pPr>
      <w:r>
        <w:tab/>
      </w:r>
      <w:r w:rsidR="00053EEB">
        <w:t>Ces immigrés sont recrutés sur place par des entreprises françaises ou entrent avec un passeport touristique</w:t>
      </w:r>
      <w:r w:rsidR="007C5C79">
        <w:t xml:space="preserve">. Les Houillères de France par exemple font des tournées en Afrique du Nord pour recruter et ramener en autobus et bateau des centaines d’ouvriers. Au Portugal, </w:t>
      </w:r>
      <w:r w:rsidR="007C5C79">
        <w:lastRenderedPageBreak/>
        <w:t>beaucoup de gens quittent leur pays sans papier « </w:t>
      </w:r>
      <w:r w:rsidR="007C5C79" w:rsidRPr="00594D2E">
        <w:rPr>
          <w:i/>
          <w:iCs/>
        </w:rPr>
        <w:t>A salto </w:t>
      </w:r>
      <w:r w:rsidR="007C5C79">
        <w:t xml:space="preserve">», car leur gouvernement hésite à les laisser partir à certaines périodes. </w:t>
      </w:r>
    </w:p>
    <w:p w14:paraId="70E00163" w14:textId="77777777" w:rsidR="008B4832" w:rsidRDefault="008B4832" w:rsidP="00A76C1F">
      <w:pPr>
        <w:spacing w:line="276" w:lineRule="auto"/>
        <w:jc w:val="both"/>
      </w:pPr>
    </w:p>
    <w:p w14:paraId="11FD0ED3" w14:textId="7C7BB96C" w:rsidR="00184CB4" w:rsidRDefault="00C50882" w:rsidP="00C50882">
      <w:pPr>
        <w:spacing w:line="276" w:lineRule="auto"/>
        <w:ind w:firstLine="708"/>
        <w:jc w:val="both"/>
      </w:pPr>
      <w:r w:rsidRPr="00C50882">
        <w:t xml:space="preserve">Les flux migratoires s’intensifient dans toute l’Europe des années 1950 à 1973. </w:t>
      </w:r>
      <w:r>
        <w:t>Les Européens demeurent majoritaires parmi les immigrés français</w:t>
      </w:r>
      <w:r w:rsidR="00594D2E">
        <w:t xml:space="preserve"> et représentent</w:t>
      </w:r>
      <w:r>
        <w:t xml:space="preserve"> une proportion de 60%. Les Italiens, les Belges et les Polonais sont moins nombreux désormais à prendre le chemin de la France, tandis que les Espagnols et les Portugais</w:t>
      </w:r>
      <w:r w:rsidR="00594D2E">
        <w:t xml:space="preserve"> deviennent les plus nombreux</w:t>
      </w:r>
      <w:r>
        <w:t>. La poussée migratoire ibérique rééquilibre la proportion des hommes et des femmes dans le bilan migratoire. De fait, beaucoup d’Espagnoles e de Portugaises émigrent seules vers la France. La guerre de décolonisation</w:t>
      </w:r>
      <w:r w:rsidR="00594D2E">
        <w:t xml:space="preserve"> du Portugal</w:t>
      </w:r>
      <w:r>
        <w:t xml:space="preserve"> en Angola pousse beaucoup de jeunes Portugais à fuir leur pays dans l’illégalité pour ne pas être enrôlés dans l’armée, à partir de 1962 et la seule solution est d’émigrer. La France est très tolérante à leur égard. En 1975, les Portugais représentent 22% du total des immigrés en France et représente le premier groupe national. Ils trouvent un emploi majoritairement dans les services </w:t>
      </w:r>
      <w:r w:rsidR="00382D89">
        <w:t xml:space="preserve">à la personne, le ménage </w:t>
      </w:r>
      <w:r>
        <w:t xml:space="preserve">pour les femmes et dans le bâtiment pour les hommes. </w:t>
      </w:r>
    </w:p>
    <w:p w14:paraId="19425B14" w14:textId="7F0F005B" w:rsidR="00382D89" w:rsidRDefault="00382D89" w:rsidP="00C50882">
      <w:pPr>
        <w:spacing w:line="276" w:lineRule="auto"/>
        <w:ind w:firstLine="708"/>
        <w:jc w:val="both"/>
      </w:pPr>
      <w:r>
        <w:t>Les femmes européennes migrent plus fortement que les femmes d’Afrique du Nord qui migrent en général dans le cadre de regroupements familiaux. En 1975, 40% des étrangers en France sont des femmes ; les Espagnoles représentent 47% de ces immigrantes et les Maliennes 10% seulement.</w:t>
      </w:r>
    </w:p>
    <w:p w14:paraId="0289095F" w14:textId="6515D2FE" w:rsidR="00A903D2" w:rsidRDefault="00382D89" w:rsidP="00C50882">
      <w:pPr>
        <w:spacing w:line="276" w:lineRule="auto"/>
        <w:ind w:firstLine="708"/>
        <w:jc w:val="both"/>
      </w:pPr>
      <w:r>
        <w:t xml:space="preserve">Pour les migrations en France, le cas des Territoires d’Outre-mer est à part. Ces anciennes colonies sont devenues </w:t>
      </w:r>
      <w:r w:rsidRPr="00594D2E">
        <w:rPr>
          <w:b/>
          <w:bCs/>
        </w:rPr>
        <w:t>DOMTOM</w:t>
      </w:r>
      <w:r>
        <w:t xml:space="preserve"> en 1945 et donc les habitants sont devenus Français. La situation économique et démographique de ces DOM TOM est très préoccupante au moment de cette territorialisation. </w:t>
      </w:r>
      <w:r w:rsidR="00A903D2">
        <w:t xml:space="preserve">Beaucoup de ces Français d’Outre-mer vont chercher la solution dans une migration vers la métropole. Un Bureau spécifique est ouvert en 1963, le </w:t>
      </w:r>
      <w:r w:rsidR="00A903D2" w:rsidRPr="00594D2E">
        <w:rPr>
          <w:b/>
          <w:bCs/>
        </w:rPr>
        <w:t>BUMIDOM</w:t>
      </w:r>
      <w:r w:rsidR="00A903D2">
        <w:t xml:space="preserve"> qui concerne la Martinique, la Guadeloupe et la Réunion et reprend la suite d’un Office de développement agricole. La moitié des 140 000 Outre-marins venus en France le font dans le cadre du BUMIDOM. Des hommes et des femmes, surtout jeunes sont tentées par les promesses de formation professionnelle en métropole avant d’avoir accès à un emploi. La réalité n’est pas souvent à la hauteur des promesses faites et des rêves des migrants. En priorité, du fait de leur nationalité française, les migrants d’Outre-mer s’engagent dans la fonction publique hospitalière et policière notamment.</w:t>
      </w:r>
      <w:r w:rsidR="00594D2E">
        <w:t xml:space="preserve"> Le BUMIDOM organise des formations professionnelles pour les jeunes venant des DOM TOM. Pour les jeunes hommes, la formation se fait</w:t>
      </w:r>
      <w:r w:rsidR="00633E12">
        <w:t xml:space="preserve"> dans la mécanique, la métallurgie. Pour les jeunes femmes c’est souvent un enseignement ménager ou dans la couture qui ne leur donne accès qu’à des métiers de ménage ou d’aides-soignantes.</w:t>
      </w:r>
    </w:p>
    <w:p w14:paraId="53902123" w14:textId="77777777" w:rsidR="00A903D2" w:rsidRDefault="00A903D2" w:rsidP="00C50882">
      <w:pPr>
        <w:spacing w:line="276" w:lineRule="auto"/>
        <w:ind w:firstLine="708"/>
        <w:jc w:val="both"/>
      </w:pPr>
    </w:p>
    <w:p w14:paraId="3EAFF52E" w14:textId="77777777" w:rsidR="00B73A92" w:rsidRPr="00EC4A71" w:rsidRDefault="00B73A92" w:rsidP="00C50882">
      <w:pPr>
        <w:spacing w:line="276" w:lineRule="auto"/>
        <w:ind w:firstLine="708"/>
        <w:jc w:val="both"/>
        <w:rPr>
          <w:sz w:val="28"/>
          <w:szCs w:val="28"/>
        </w:rPr>
      </w:pPr>
    </w:p>
    <w:p w14:paraId="1DF70BD0" w14:textId="77777777" w:rsidR="00F9428C" w:rsidRPr="00EC4A71" w:rsidRDefault="00F9428C" w:rsidP="00EC4A71">
      <w:pPr>
        <w:tabs>
          <w:tab w:val="right" w:pos="9066"/>
        </w:tabs>
        <w:spacing w:line="276" w:lineRule="auto"/>
        <w:jc w:val="both"/>
        <w:rPr>
          <w:b/>
          <w:sz w:val="28"/>
          <w:szCs w:val="28"/>
        </w:rPr>
      </w:pPr>
      <w:r w:rsidRPr="00EC4A71">
        <w:rPr>
          <w:b/>
          <w:sz w:val="28"/>
          <w:szCs w:val="28"/>
        </w:rPr>
        <w:t>III</w:t>
      </w:r>
      <w:r w:rsidR="00A903D2" w:rsidRPr="00EC4A71">
        <w:rPr>
          <w:b/>
          <w:sz w:val="28"/>
          <w:szCs w:val="28"/>
        </w:rPr>
        <w:t>-Conditions de travail, de vie des immigrés en Europe et relations sociales</w:t>
      </w:r>
    </w:p>
    <w:p w14:paraId="0FB60C91" w14:textId="339C6091" w:rsidR="003905BD" w:rsidRDefault="00F9428C" w:rsidP="00A903D2">
      <w:pPr>
        <w:tabs>
          <w:tab w:val="right" w:pos="9066"/>
        </w:tabs>
        <w:spacing w:line="276" w:lineRule="auto"/>
        <w:ind w:firstLine="708"/>
        <w:jc w:val="both"/>
        <w:rPr>
          <w:b/>
        </w:rPr>
      </w:pPr>
      <w:r w:rsidRPr="00EC4A71">
        <w:rPr>
          <w:b/>
          <w:sz w:val="28"/>
          <w:szCs w:val="28"/>
        </w:rPr>
        <w:t xml:space="preserve">1-Les plus mauvaises conditions de travail </w:t>
      </w:r>
      <w:r w:rsidRPr="00EC4A71">
        <w:rPr>
          <w:b/>
          <w:bCs/>
          <w:sz w:val="28"/>
          <w:szCs w:val="28"/>
        </w:rPr>
        <w:t>de logement</w:t>
      </w:r>
      <w:r w:rsidRPr="00EC4A71">
        <w:rPr>
          <w:b/>
          <w:sz w:val="28"/>
          <w:szCs w:val="28"/>
        </w:rPr>
        <w:t xml:space="preserve"> à l’arrivée</w:t>
      </w:r>
      <w:r w:rsidR="00A903D2" w:rsidRPr="00A903D2">
        <w:rPr>
          <w:b/>
        </w:rPr>
        <w:tab/>
      </w:r>
    </w:p>
    <w:p w14:paraId="5CEFA9E0" w14:textId="38BF116D" w:rsidR="00F9428C" w:rsidRDefault="00A903D2" w:rsidP="00A903D2">
      <w:pPr>
        <w:tabs>
          <w:tab w:val="right" w:pos="9066"/>
        </w:tabs>
        <w:spacing w:line="276" w:lineRule="auto"/>
        <w:jc w:val="both"/>
      </w:pPr>
      <w:r>
        <w:t xml:space="preserve">Les travailleurs/ses </w:t>
      </w:r>
      <w:proofErr w:type="spellStart"/>
      <w:r>
        <w:t>immigré.</w:t>
      </w:r>
      <w:proofErr w:type="gramStart"/>
      <w:r>
        <w:t>e.s</w:t>
      </w:r>
      <w:proofErr w:type="spellEnd"/>
      <w:proofErr w:type="gramEnd"/>
      <w:r>
        <w:t xml:space="preserve"> acceptent, faute de mieux, les plus bas salaires, les travaux les plus difficiles et les plus dangereux</w:t>
      </w:r>
      <w:r w:rsidR="007117DF">
        <w:t xml:space="preserve"> ; ils prennent les tâches et les secteurs délaissés par les nationaux. Ces travailleurs immigrés reconstruisent en Allemagne, en Belgique ou en France </w:t>
      </w:r>
      <w:r w:rsidR="004B629C">
        <w:t>ces pays après la Secon</w:t>
      </w:r>
      <w:r w:rsidR="007117DF">
        <w:t xml:space="preserve">de Guerre mondiale, au vu de leur place dans les travaux publics et le </w:t>
      </w:r>
      <w:r w:rsidR="007117DF">
        <w:lastRenderedPageBreak/>
        <w:t>bâtiment. Les progrès pour les salaires des nationaux ne concernent pas les immigrants. Ces immigrants constituent la nouvelle question sociale, comme les ouvriers l’avaient posée au XIX</w:t>
      </w:r>
      <w:r w:rsidR="00633E12" w:rsidRPr="00633E12">
        <w:rPr>
          <w:vertAlign w:val="superscript"/>
        </w:rPr>
        <w:t>e</w:t>
      </w:r>
      <w:r w:rsidR="007117DF">
        <w:t xml:space="preserve"> siècle. De fait, leurs conditions de travail et de vie sont très difficiles : accidents du travail, mauvaise nourriture, logement insalubre, etc. Leur détresse est peu à peu dénoncée par des syndicats, des médecins, des sociologues, des militants ou des travailleuses sociales. Des reportages télévisés sur les bidonvilles de Nanterre ou de Champigny alertent les consciences en 1964. </w:t>
      </w:r>
    </w:p>
    <w:p w14:paraId="5E2EFADE" w14:textId="77777777" w:rsidR="00F9428C" w:rsidRDefault="00F9428C" w:rsidP="00A903D2">
      <w:pPr>
        <w:tabs>
          <w:tab w:val="right" w:pos="9066"/>
        </w:tabs>
        <w:spacing w:line="276" w:lineRule="auto"/>
        <w:jc w:val="both"/>
      </w:pPr>
    </w:p>
    <w:p w14:paraId="671C07C3" w14:textId="01AAAA0C" w:rsidR="00A903D2" w:rsidRDefault="007117DF" w:rsidP="00A903D2">
      <w:pPr>
        <w:tabs>
          <w:tab w:val="right" w:pos="9066"/>
        </w:tabs>
        <w:spacing w:line="276" w:lineRule="auto"/>
        <w:jc w:val="both"/>
      </w:pPr>
      <w:r>
        <w:t>La population des bidonvilles en 1965 en France est constituée à 42,1% de Nord-africains, 20,6% de Portugais, et 7,8 % de Français. Le gouvernement</w:t>
      </w:r>
      <w:r w:rsidR="004B629C">
        <w:t xml:space="preserve"> français, comme les gouvernements anglais, </w:t>
      </w:r>
      <w:r w:rsidR="000453DF">
        <w:t xml:space="preserve">essaye de parer au plus pressé en ouvrant des </w:t>
      </w:r>
      <w:r w:rsidR="00AE7E7D">
        <w:t xml:space="preserve">foyers de logement pour les hommes seuls, comme la création des foyers Sonacotra en France en 1957 qui concernent surtout les </w:t>
      </w:r>
      <w:proofErr w:type="spellStart"/>
      <w:r w:rsidR="00AE7E7D">
        <w:t>Nords-africains</w:t>
      </w:r>
      <w:proofErr w:type="spellEnd"/>
      <w:r w:rsidR="00AE7E7D">
        <w:t xml:space="preserve">. Ces foyers ont une mission de logement mais aussi de surveillance. En 1961 la </w:t>
      </w:r>
      <w:proofErr w:type="spellStart"/>
      <w:r w:rsidR="00AE7E7D">
        <w:t>Sonacotral</w:t>
      </w:r>
      <w:proofErr w:type="spellEnd"/>
      <w:r w:rsidR="00AE7E7D">
        <w:t xml:space="preserve"> dispose 30 foyers et 6700 lits, chiffre doublé en 1966.A partir de 1964, des programmes de résorption des bidonvilles sont mis en place, grâce à la construction des cités de transit, puis des HLM, comme à Nanterre.</w:t>
      </w:r>
    </w:p>
    <w:p w14:paraId="0B4A4AC1" w14:textId="77777777" w:rsidR="00F9428C" w:rsidRPr="00EC4A71" w:rsidRDefault="00F9428C" w:rsidP="00A903D2">
      <w:pPr>
        <w:tabs>
          <w:tab w:val="right" w:pos="9066"/>
        </w:tabs>
        <w:spacing w:line="276" w:lineRule="auto"/>
        <w:jc w:val="both"/>
        <w:rPr>
          <w:b/>
          <w:bCs/>
          <w:sz w:val="28"/>
          <w:szCs w:val="28"/>
        </w:rPr>
      </w:pPr>
    </w:p>
    <w:p w14:paraId="180D16B0" w14:textId="05D2A753" w:rsidR="00EC4A71" w:rsidRPr="00EC4A71" w:rsidRDefault="00EC4A71" w:rsidP="00A903D2">
      <w:pPr>
        <w:tabs>
          <w:tab w:val="right" w:pos="9066"/>
        </w:tabs>
        <w:spacing w:line="276" w:lineRule="auto"/>
        <w:jc w:val="both"/>
        <w:rPr>
          <w:b/>
          <w:bCs/>
          <w:sz w:val="28"/>
          <w:szCs w:val="28"/>
        </w:rPr>
      </w:pPr>
      <w:r w:rsidRPr="00EC4A71">
        <w:rPr>
          <w:b/>
          <w:bCs/>
          <w:sz w:val="28"/>
          <w:szCs w:val="28"/>
        </w:rPr>
        <w:t>2</w:t>
      </w:r>
      <w:r>
        <w:rPr>
          <w:b/>
          <w:bCs/>
          <w:sz w:val="28"/>
          <w:szCs w:val="28"/>
        </w:rPr>
        <w:t>-</w:t>
      </w:r>
      <w:r w:rsidRPr="00EC4A71">
        <w:rPr>
          <w:b/>
          <w:bCs/>
          <w:sz w:val="28"/>
          <w:szCs w:val="28"/>
        </w:rPr>
        <w:t xml:space="preserve"> Difficile intégration et xénophobie </w:t>
      </w:r>
    </w:p>
    <w:p w14:paraId="6E94DD1D" w14:textId="5DEDECCD" w:rsidR="00AE7E7D" w:rsidRDefault="00633E12" w:rsidP="00A903D2">
      <w:pPr>
        <w:tabs>
          <w:tab w:val="right" w:pos="9066"/>
        </w:tabs>
        <w:spacing w:line="276" w:lineRule="auto"/>
        <w:jc w:val="both"/>
      </w:pPr>
      <w:r>
        <w:tab/>
      </w:r>
      <w:r w:rsidR="00AE7E7D">
        <w:t>La xénophobie et le racisme sont des problèmes que rencontrent la plupart des immigrés et que doivent gérer la plupart des sociétés européennes. Des manifestations anti-immigrés se font jour dès qu’il y a de l’immigration, même européenne (cf</w:t>
      </w:r>
      <w:r w:rsidR="00F9428C">
        <w:t xml:space="preserve">. </w:t>
      </w:r>
      <w:r w:rsidR="00AE7E7D">
        <w:t>le début du cours pour les Belges ou les Italiens). Ces manifestations qui peuvent aller de l’injure verbale à l’assassinat, varient aussi selon le contexte économique et politique. La période de la guerre d’Algérie est extrêmement tendue en France métropolitaine, comme en témoigne</w:t>
      </w:r>
      <w:r w:rsidR="00735807">
        <w:t>nt les assassinats des Algériens manifestant à Paris en 1961 ou</w:t>
      </w:r>
      <w:r w:rsidR="00AE7E7D">
        <w:t xml:space="preserve"> l</w:t>
      </w:r>
      <w:r w:rsidR="00EF073D">
        <w:t>es massacres d’Algériens à Marseille en 1973, suite à l’assassinat de t</w:t>
      </w:r>
      <w:r w:rsidR="00735807">
        <w:t xml:space="preserve">raminois marseillais ou à Paris. </w:t>
      </w:r>
      <w:r w:rsidR="00A1075D">
        <w:t>A la suite de ces événements, le gouvernement algérien a suspendu l’émigration.</w:t>
      </w:r>
    </w:p>
    <w:p w14:paraId="72C832BE" w14:textId="5C77AB43" w:rsidR="00735807" w:rsidRDefault="00735807" w:rsidP="00A903D2">
      <w:pPr>
        <w:tabs>
          <w:tab w:val="right" w:pos="9066"/>
        </w:tabs>
        <w:spacing w:line="276" w:lineRule="auto"/>
        <w:jc w:val="both"/>
      </w:pPr>
      <w:r>
        <w:t xml:space="preserve">Il faut aussi rappeler les solidarités et l’entraide qui viennent en aide aux migrants, soit à l’intérieur de ces groupes, soit émanant d’organisations, d’associations ou d’individus. </w:t>
      </w:r>
      <w:r w:rsidR="00A1075D">
        <w:t>La présence des enfants sur le territoire d’immigration et leur scolarisation permet une intégration progressive, même si les discriminations persistent à leur égard dans le système scolaire et le logement.</w:t>
      </w:r>
      <w:r w:rsidR="00633E12">
        <w:t xml:space="preserve"> Les mariages mixtes (</w:t>
      </w:r>
      <w:proofErr w:type="spellStart"/>
      <w:r w:rsidR="00633E12">
        <w:t>Français.e</w:t>
      </w:r>
      <w:proofErr w:type="spellEnd"/>
      <w:r w:rsidR="00633E12">
        <w:t xml:space="preserve"> et </w:t>
      </w:r>
      <w:proofErr w:type="spellStart"/>
      <w:proofErr w:type="gramStart"/>
      <w:r w:rsidR="00633E12">
        <w:t>étranger.e</w:t>
      </w:r>
      <w:proofErr w:type="spellEnd"/>
      <w:proofErr w:type="gramEnd"/>
      <w:r w:rsidR="00633E12">
        <w:t>) indiquent que peu à peu qu’il y a une intégration et un mélange qui s’opèrent dans la société. Cette intégration s’observe surtout d’une génération à l’autre.</w:t>
      </w:r>
    </w:p>
    <w:p w14:paraId="1D0DB2FD" w14:textId="71B4B959" w:rsidR="00A1075D" w:rsidRDefault="00A1075D" w:rsidP="00A903D2">
      <w:pPr>
        <w:tabs>
          <w:tab w:val="right" w:pos="9066"/>
        </w:tabs>
        <w:spacing w:line="276" w:lineRule="auto"/>
        <w:jc w:val="both"/>
      </w:pPr>
      <w:r>
        <w:t>La crise du pé</w:t>
      </w:r>
      <w:r w:rsidR="00B73A92">
        <w:t xml:space="preserve">trole mondiale de 1973, suite au franchissement </w:t>
      </w:r>
      <w:r>
        <w:t>par l’armée égyptienne</w:t>
      </w:r>
      <w:r w:rsidR="00B73A92">
        <w:t xml:space="preserve"> du canal de Suez et le déclenchement de </w:t>
      </w:r>
      <w:r>
        <w:t xml:space="preserve">la guerre de Kippour entre Israël </w:t>
      </w:r>
      <w:r w:rsidR="00B73A92">
        <w:t>et une coalition syrienne-égyptienne et arabe en octobre 1973, ralentit très franchement l’immigration en occident. La xénophobie prospère au fur et à mesure que le chômage progresse et que les politiques protectionnistes sont développées.</w:t>
      </w:r>
    </w:p>
    <w:p w14:paraId="5704E43C" w14:textId="550AFDE8" w:rsidR="00B73A92" w:rsidRDefault="00B73A92" w:rsidP="00A903D2">
      <w:pPr>
        <w:tabs>
          <w:tab w:val="right" w:pos="9066"/>
        </w:tabs>
        <w:spacing w:line="276" w:lineRule="auto"/>
        <w:jc w:val="both"/>
      </w:pPr>
      <w:r>
        <w:tab/>
        <w:t xml:space="preserve">En France, le nouveau président de la République Valéry Giscard D’Estaing suspend officiellement l’immigration en juillet 1974, mais rétablit le Secrétariat d’État à l’immigration. S’ouvre une période durant laquelle, l’immigration illégale se poursuit, à la demande des </w:t>
      </w:r>
      <w:r>
        <w:lastRenderedPageBreak/>
        <w:t>employeurs, durant laquelle les régularisations ou naturalisations deviennent plus difficiles, jusqu’aux expulsions de 1980.</w:t>
      </w:r>
    </w:p>
    <w:p w14:paraId="21BB9881" w14:textId="7D69C243" w:rsidR="00EF4E4B" w:rsidRDefault="00EF4E4B" w:rsidP="00EC4A71">
      <w:pPr>
        <w:pStyle w:val="NormalWeb"/>
        <w:jc w:val="both"/>
      </w:pPr>
      <w:r>
        <w:t>En 1974, le gouvernement français vota une loi sur la fin de l’immigration de travail et encouragea les retours, attribuant 10 000 francs à toute personne acceptant de quitter son emploi, ce dont de nombreux Espagnols profitèrent ; il n’en restait plus que 321 000 en 1982, contre 498 000 en 1975.</w:t>
      </w:r>
      <w:r w:rsidR="00EC4A71">
        <w:t xml:space="preserve"> </w:t>
      </w:r>
      <w:r>
        <w:t>D’autres immigrés ne voulurent pas rentrer avant d’avoir terminé leur vie professionnelle en France pour bénéficier d’une meilleure pension de retraite et y vivent toujours. Cependant, à partir des années 1980, de nombreux jeunes nés en France ont, à leur majorité, décidé d’aller vivre en Espagne, alors que, parfois, ils n’ont que la nationalité française et que leurs parents vivent toujours dans l’Hexagone. Certains choisirent l'Espagne par héliotropisme, d'autres parce que ce pays de l'UE possédait une économie dynamique jusqu'en 2008. Peut-être que quelques-uns s'en allèrent aussi parce que la "machine à intégrer" française s'est enrayée...</w:t>
      </w:r>
    </w:p>
    <w:p w14:paraId="4C2E0303" w14:textId="77777777" w:rsidR="00B73A92" w:rsidRDefault="00B73A92" w:rsidP="00A903D2">
      <w:pPr>
        <w:tabs>
          <w:tab w:val="right" w:pos="9066"/>
        </w:tabs>
        <w:spacing w:line="276" w:lineRule="auto"/>
        <w:jc w:val="both"/>
      </w:pPr>
    </w:p>
    <w:p w14:paraId="1C366F9F" w14:textId="6F64DEF5" w:rsidR="00B73A92" w:rsidRDefault="00B73A92" w:rsidP="00A903D2">
      <w:pPr>
        <w:tabs>
          <w:tab w:val="right" w:pos="9066"/>
        </w:tabs>
        <w:spacing w:line="276" w:lineRule="auto"/>
        <w:jc w:val="both"/>
      </w:pPr>
      <w:r>
        <w:tab/>
      </w:r>
    </w:p>
    <w:p w14:paraId="5A62C882" w14:textId="6B8110E6" w:rsidR="00B73A92" w:rsidRDefault="00B73A92" w:rsidP="00A903D2">
      <w:pPr>
        <w:tabs>
          <w:tab w:val="right" w:pos="9066"/>
        </w:tabs>
        <w:spacing w:line="276" w:lineRule="auto"/>
        <w:jc w:val="both"/>
      </w:pPr>
      <w:r w:rsidRPr="00F9428C">
        <w:rPr>
          <w:b/>
          <w:bCs/>
        </w:rPr>
        <w:t>Conclusion</w:t>
      </w:r>
      <w:r>
        <w:t xml:space="preserve"> : Les migrations en Europe ont joué un rôle considérable en matière de peuplement, d’urbanisation, de maintien de l’agriculture et de développement industriel. Ces migrations ont favorisé surtout </w:t>
      </w:r>
      <w:r w:rsidR="00B741FC">
        <w:t>l’économie d</w:t>
      </w:r>
      <w:r>
        <w:t>es pays d’arrivée.</w:t>
      </w:r>
      <w:r w:rsidR="00B741FC">
        <w:t xml:space="preserve"> Elles ont posé de grandes difficultés dans la vie des migrants avant tout qui sacrifient leur situation à un avenir incertain. Elles ont permis aussi des réussites économiques et sociales pour certains migrants eux-mêmes, mais aussi des grandes difficultés de travail, de logement et d’intégration.</w:t>
      </w:r>
      <w:r>
        <w:t xml:space="preserve"> </w:t>
      </w:r>
      <w:r w:rsidR="00B741FC">
        <w:t xml:space="preserve">Elles ont façonné des sociétés multiculturelles surtout si l’on réfléchit à l’échelle de plusieurs générations. </w:t>
      </w:r>
    </w:p>
    <w:p w14:paraId="51723852" w14:textId="77777777" w:rsidR="00B741FC" w:rsidRDefault="00B741FC" w:rsidP="00A903D2">
      <w:pPr>
        <w:tabs>
          <w:tab w:val="right" w:pos="9066"/>
        </w:tabs>
        <w:spacing w:line="276" w:lineRule="auto"/>
        <w:jc w:val="both"/>
      </w:pPr>
    </w:p>
    <w:p w14:paraId="25E789DE" w14:textId="27316667" w:rsidR="00B741FC" w:rsidRPr="00A903D2" w:rsidRDefault="00B741FC" w:rsidP="00A903D2">
      <w:pPr>
        <w:tabs>
          <w:tab w:val="right" w:pos="9066"/>
        </w:tabs>
        <w:spacing w:line="276" w:lineRule="auto"/>
        <w:jc w:val="both"/>
      </w:pPr>
      <w:r>
        <w:tab/>
        <w:t>Fin</w:t>
      </w:r>
    </w:p>
    <w:sectPr w:rsidR="00B741FC" w:rsidRPr="00A903D2" w:rsidSect="00522C63">
      <w:headerReference w:type="even" r:id="rId15"/>
      <w:headerReference w:type="default" r:id="rId16"/>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CCF1" w14:textId="77777777" w:rsidR="00C41C1F" w:rsidRDefault="00C41C1F" w:rsidP="000D66ED">
      <w:r>
        <w:separator/>
      </w:r>
    </w:p>
  </w:endnote>
  <w:endnote w:type="continuationSeparator" w:id="0">
    <w:p w14:paraId="39401343" w14:textId="77777777" w:rsidR="00C41C1F" w:rsidRDefault="00C41C1F" w:rsidP="000D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5355" w14:textId="77777777" w:rsidR="007F07CC" w:rsidRDefault="007F07CC" w:rsidP="007F07C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D5FCA6" w14:textId="77777777" w:rsidR="007F07CC" w:rsidRDefault="007F07CC" w:rsidP="000D66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A603" w14:textId="77777777" w:rsidR="007F07CC" w:rsidRDefault="007F07CC" w:rsidP="007F07CC">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93E05">
      <w:rPr>
        <w:rStyle w:val="Numrodepage"/>
        <w:noProof/>
      </w:rPr>
      <w:t>4</w:t>
    </w:r>
    <w:r>
      <w:rPr>
        <w:rStyle w:val="Numrodepage"/>
      </w:rPr>
      <w:fldChar w:fldCharType="end"/>
    </w:r>
  </w:p>
  <w:p w14:paraId="15F2BDAF" w14:textId="77777777" w:rsidR="007F07CC" w:rsidRDefault="007F07CC" w:rsidP="000D66E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F69A" w14:textId="77777777" w:rsidR="00C41C1F" w:rsidRDefault="00C41C1F" w:rsidP="000D66ED">
      <w:r>
        <w:separator/>
      </w:r>
    </w:p>
  </w:footnote>
  <w:footnote w:type="continuationSeparator" w:id="0">
    <w:p w14:paraId="45004C8C" w14:textId="77777777" w:rsidR="00C41C1F" w:rsidRDefault="00C41C1F" w:rsidP="000D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30732209"/>
      <w:docPartObj>
        <w:docPartGallery w:val="Page Numbers (Top of Page)"/>
        <w:docPartUnique/>
      </w:docPartObj>
    </w:sdtPr>
    <w:sdtContent>
      <w:p w14:paraId="0FBEF0A5" w14:textId="6A4E5FEB" w:rsidR="00B55E48" w:rsidRDefault="00B55E48" w:rsidP="002003B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211DB8" w14:textId="77777777" w:rsidR="005B6900" w:rsidRDefault="005B6900" w:rsidP="00B55E48">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6950324"/>
      <w:docPartObj>
        <w:docPartGallery w:val="Page Numbers (Top of Page)"/>
        <w:docPartUnique/>
      </w:docPartObj>
    </w:sdtPr>
    <w:sdtContent>
      <w:p w14:paraId="2695F862" w14:textId="4D3D014D" w:rsidR="00B55E48" w:rsidRDefault="00B55E48" w:rsidP="002003B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1F9E084D" w14:textId="738A0D1D" w:rsidR="007F07CC" w:rsidRDefault="007F07CC" w:rsidP="00B55E48">
    <w:pPr>
      <w:pStyle w:val="En-tte"/>
      <w:ind w:right="360"/>
    </w:pPr>
    <w:r>
      <w:t>C</w:t>
    </w:r>
    <w:r w:rsidR="00C93E05">
      <w:t xml:space="preserve">ours Isabelle Lespinet-Moret, </w:t>
    </w:r>
    <w:r>
      <w:t>Les migrations européennes</w:t>
    </w:r>
    <w:r w:rsidR="00C93E05">
      <w:t xml:space="preserve"> au XX° siècle, </w:t>
    </w:r>
    <w:r w:rsidR="00CE7953">
      <w:t>AES 202</w:t>
    </w:r>
    <w:r w:rsidR="00B55E48">
      <w:t>5</w:t>
    </w:r>
  </w:p>
  <w:p w14:paraId="3AF67CFC" w14:textId="77777777" w:rsidR="00CE7953" w:rsidRDefault="00CE79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038"/>
    <w:multiLevelType w:val="hybridMultilevel"/>
    <w:tmpl w:val="4DE24CE8"/>
    <w:lvl w:ilvl="0" w:tplc="9488CFB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3587DB1"/>
    <w:multiLevelType w:val="hybridMultilevel"/>
    <w:tmpl w:val="C090D3BE"/>
    <w:lvl w:ilvl="0" w:tplc="3C781E6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426739"/>
    <w:multiLevelType w:val="hybridMultilevel"/>
    <w:tmpl w:val="6D04CB7E"/>
    <w:lvl w:ilvl="0" w:tplc="75BC5182">
      <w:start w:val="1"/>
      <w:numFmt w:val="upperRoman"/>
      <w:lvlText w:val="%1-"/>
      <w:lvlJc w:val="left"/>
      <w:pPr>
        <w:ind w:left="2868" w:hanging="720"/>
      </w:pPr>
      <w:rPr>
        <w:rFonts w:hint="default"/>
      </w:rPr>
    </w:lvl>
    <w:lvl w:ilvl="1" w:tplc="040C0019" w:tentative="1">
      <w:start w:val="1"/>
      <w:numFmt w:val="lowerLetter"/>
      <w:lvlText w:val="%2."/>
      <w:lvlJc w:val="left"/>
      <w:pPr>
        <w:ind w:left="3228" w:hanging="360"/>
      </w:pPr>
    </w:lvl>
    <w:lvl w:ilvl="2" w:tplc="040C001B" w:tentative="1">
      <w:start w:val="1"/>
      <w:numFmt w:val="lowerRoman"/>
      <w:lvlText w:val="%3."/>
      <w:lvlJc w:val="right"/>
      <w:pPr>
        <w:ind w:left="3948" w:hanging="180"/>
      </w:pPr>
    </w:lvl>
    <w:lvl w:ilvl="3" w:tplc="040C000F" w:tentative="1">
      <w:start w:val="1"/>
      <w:numFmt w:val="decimal"/>
      <w:lvlText w:val="%4."/>
      <w:lvlJc w:val="left"/>
      <w:pPr>
        <w:ind w:left="4668" w:hanging="360"/>
      </w:pPr>
    </w:lvl>
    <w:lvl w:ilvl="4" w:tplc="040C0019" w:tentative="1">
      <w:start w:val="1"/>
      <w:numFmt w:val="lowerLetter"/>
      <w:lvlText w:val="%5."/>
      <w:lvlJc w:val="left"/>
      <w:pPr>
        <w:ind w:left="5388" w:hanging="360"/>
      </w:pPr>
    </w:lvl>
    <w:lvl w:ilvl="5" w:tplc="040C001B" w:tentative="1">
      <w:start w:val="1"/>
      <w:numFmt w:val="lowerRoman"/>
      <w:lvlText w:val="%6."/>
      <w:lvlJc w:val="right"/>
      <w:pPr>
        <w:ind w:left="6108" w:hanging="180"/>
      </w:pPr>
    </w:lvl>
    <w:lvl w:ilvl="6" w:tplc="040C000F" w:tentative="1">
      <w:start w:val="1"/>
      <w:numFmt w:val="decimal"/>
      <w:lvlText w:val="%7."/>
      <w:lvlJc w:val="left"/>
      <w:pPr>
        <w:ind w:left="6828" w:hanging="360"/>
      </w:pPr>
    </w:lvl>
    <w:lvl w:ilvl="7" w:tplc="040C0019" w:tentative="1">
      <w:start w:val="1"/>
      <w:numFmt w:val="lowerLetter"/>
      <w:lvlText w:val="%8."/>
      <w:lvlJc w:val="left"/>
      <w:pPr>
        <w:ind w:left="7548" w:hanging="360"/>
      </w:pPr>
    </w:lvl>
    <w:lvl w:ilvl="8" w:tplc="040C001B" w:tentative="1">
      <w:start w:val="1"/>
      <w:numFmt w:val="lowerRoman"/>
      <w:lvlText w:val="%9."/>
      <w:lvlJc w:val="right"/>
      <w:pPr>
        <w:ind w:left="8268" w:hanging="180"/>
      </w:pPr>
    </w:lvl>
  </w:abstractNum>
  <w:abstractNum w:abstractNumId="3" w15:restartNumberingAfterBreak="0">
    <w:nsid w:val="0CC16A8F"/>
    <w:multiLevelType w:val="hybridMultilevel"/>
    <w:tmpl w:val="11485F4C"/>
    <w:lvl w:ilvl="0" w:tplc="BA886410">
      <w:start w:val="1"/>
      <w:numFmt w:val="upperRoman"/>
      <w:lvlText w:val="%1-"/>
      <w:lvlJc w:val="left"/>
      <w:pPr>
        <w:ind w:left="2148" w:hanging="72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15:restartNumberingAfterBreak="0">
    <w:nsid w:val="0FD048F5"/>
    <w:multiLevelType w:val="hybridMultilevel"/>
    <w:tmpl w:val="3A9850C4"/>
    <w:lvl w:ilvl="0" w:tplc="3DF2E8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E61240"/>
    <w:multiLevelType w:val="multilevel"/>
    <w:tmpl w:val="94A4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003904"/>
    <w:multiLevelType w:val="hybridMultilevel"/>
    <w:tmpl w:val="4C1AE114"/>
    <w:lvl w:ilvl="0" w:tplc="92A08F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7C827CE"/>
    <w:multiLevelType w:val="hybridMultilevel"/>
    <w:tmpl w:val="91FE69A0"/>
    <w:lvl w:ilvl="0" w:tplc="B35A1FDA">
      <w:start w:val="1"/>
      <w:numFmt w:val="bullet"/>
      <w:lvlText w:val="•"/>
      <w:lvlJc w:val="left"/>
      <w:pPr>
        <w:tabs>
          <w:tab w:val="num" w:pos="720"/>
        </w:tabs>
        <w:ind w:left="720" w:hanging="360"/>
      </w:pPr>
      <w:rPr>
        <w:rFonts w:ascii="Arial" w:hAnsi="Arial" w:hint="default"/>
      </w:rPr>
    </w:lvl>
    <w:lvl w:ilvl="1" w:tplc="563243DA">
      <w:numFmt w:val="bullet"/>
      <w:lvlText w:val="•"/>
      <w:lvlJc w:val="left"/>
      <w:pPr>
        <w:tabs>
          <w:tab w:val="num" w:pos="1440"/>
        </w:tabs>
        <w:ind w:left="1440" w:hanging="360"/>
      </w:pPr>
      <w:rPr>
        <w:rFonts w:ascii="Arial" w:hAnsi="Arial" w:hint="default"/>
      </w:rPr>
    </w:lvl>
    <w:lvl w:ilvl="2" w:tplc="6F905AD2">
      <w:numFmt w:val="bullet"/>
      <w:lvlText w:val="•"/>
      <w:lvlJc w:val="left"/>
      <w:pPr>
        <w:tabs>
          <w:tab w:val="num" w:pos="2160"/>
        </w:tabs>
        <w:ind w:left="2160" w:hanging="360"/>
      </w:pPr>
      <w:rPr>
        <w:rFonts w:ascii="Arial" w:hAnsi="Arial" w:hint="default"/>
      </w:rPr>
    </w:lvl>
    <w:lvl w:ilvl="3" w:tplc="B9CE98D0" w:tentative="1">
      <w:start w:val="1"/>
      <w:numFmt w:val="bullet"/>
      <w:lvlText w:val="•"/>
      <w:lvlJc w:val="left"/>
      <w:pPr>
        <w:tabs>
          <w:tab w:val="num" w:pos="2880"/>
        </w:tabs>
        <w:ind w:left="2880" w:hanging="360"/>
      </w:pPr>
      <w:rPr>
        <w:rFonts w:ascii="Arial" w:hAnsi="Arial" w:hint="default"/>
      </w:rPr>
    </w:lvl>
    <w:lvl w:ilvl="4" w:tplc="F57E8426" w:tentative="1">
      <w:start w:val="1"/>
      <w:numFmt w:val="bullet"/>
      <w:lvlText w:val="•"/>
      <w:lvlJc w:val="left"/>
      <w:pPr>
        <w:tabs>
          <w:tab w:val="num" w:pos="3600"/>
        </w:tabs>
        <w:ind w:left="3600" w:hanging="360"/>
      </w:pPr>
      <w:rPr>
        <w:rFonts w:ascii="Arial" w:hAnsi="Arial" w:hint="default"/>
      </w:rPr>
    </w:lvl>
    <w:lvl w:ilvl="5" w:tplc="26C23FD2" w:tentative="1">
      <w:start w:val="1"/>
      <w:numFmt w:val="bullet"/>
      <w:lvlText w:val="•"/>
      <w:lvlJc w:val="left"/>
      <w:pPr>
        <w:tabs>
          <w:tab w:val="num" w:pos="4320"/>
        </w:tabs>
        <w:ind w:left="4320" w:hanging="360"/>
      </w:pPr>
      <w:rPr>
        <w:rFonts w:ascii="Arial" w:hAnsi="Arial" w:hint="default"/>
      </w:rPr>
    </w:lvl>
    <w:lvl w:ilvl="6" w:tplc="C516767C" w:tentative="1">
      <w:start w:val="1"/>
      <w:numFmt w:val="bullet"/>
      <w:lvlText w:val="•"/>
      <w:lvlJc w:val="left"/>
      <w:pPr>
        <w:tabs>
          <w:tab w:val="num" w:pos="5040"/>
        </w:tabs>
        <w:ind w:left="5040" w:hanging="360"/>
      </w:pPr>
      <w:rPr>
        <w:rFonts w:ascii="Arial" w:hAnsi="Arial" w:hint="default"/>
      </w:rPr>
    </w:lvl>
    <w:lvl w:ilvl="7" w:tplc="F3405DE0" w:tentative="1">
      <w:start w:val="1"/>
      <w:numFmt w:val="bullet"/>
      <w:lvlText w:val="•"/>
      <w:lvlJc w:val="left"/>
      <w:pPr>
        <w:tabs>
          <w:tab w:val="num" w:pos="5760"/>
        </w:tabs>
        <w:ind w:left="5760" w:hanging="360"/>
      </w:pPr>
      <w:rPr>
        <w:rFonts w:ascii="Arial" w:hAnsi="Arial" w:hint="default"/>
      </w:rPr>
    </w:lvl>
    <w:lvl w:ilvl="8" w:tplc="E82EBC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3B5779"/>
    <w:multiLevelType w:val="multilevel"/>
    <w:tmpl w:val="0FC20474"/>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FF2931"/>
    <w:multiLevelType w:val="hybridMultilevel"/>
    <w:tmpl w:val="FC6A2992"/>
    <w:lvl w:ilvl="0" w:tplc="D30E4192">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722173708">
    <w:abstractNumId w:val="1"/>
  </w:num>
  <w:num w:numId="2" w16cid:durableId="653342309">
    <w:abstractNumId w:val="8"/>
  </w:num>
  <w:num w:numId="3" w16cid:durableId="631712120">
    <w:abstractNumId w:val="9"/>
  </w:num>
  <w:num w:numId="4" w16cid:durableId="1034354737">
    <w:abstractNumId w:val="3"/>
  </w:num>
  <w:num w:numId="5" w16cid:durableId="717314432">
    <w:abstractNumId w:val="2"/>
  </w:num>
  <w:num w:numId="6" w16cid:durableId="1567378352">
    <w:abstractNumId w:val="0"/>
  </w:num>
  <w:num w:numId="7" w16cid:durableId="1182938445">
    <w:abstractNumId w:val="4"/>
  </w:num>
  <w:num w:numId="8" w16cid:durableId="2024941748">
    <w:abstractNumId w:val="5"/>
  </w:num>
  <w:num w:numId="9" w16cid:durableId="714742033">
    <w:abstractNumId w:val="7"/>
  </w:num>
  <w:num w:numId="10" w16cid:durableId="1546135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0C"/>
    <w:rsid w:val="00000026"/>
    <w:rsid w:val="00000702"/>
    <w:rsid w:val="00000FB5"/>
    <w:rsid w:val="00026315"/>
    <w:rsid w:val="000453DF"/>
    <w:rsid w:val="00053EEB"/>
    <w:rsid w:val="00085A62"/>
    <w:rsid w:val="000A51B9"/>
    <w:rsid w:val="000D66ED"/>
    <w:rsid w:val="001212E1"/>
    <w:rsid w:val="001800E3"/>
    <w:rsid w:val="00181733"/>
    <w:rsid w:val="00184CB4"/>
    <w:rsid w:val="001A3C0C"/>
    <w:rsid w:val="001B4B9D"/>
    <w:rsid w:val="00231C8E"/>
    <w:rsid w:val="00245205"/>
    <w:rsid w:val="0025125B"/>
    <w:rsid w:val="002C56B8"/>
    <w:rsid w:val="002D1F1C"/>
    <w:rsid w:val="003217C7"/>
    <w:rsid w:val="00360DAA"/>
    <w:rsid w:val="00382D89"/>
    <w:rsid w:val="003905BD"/>
    <w:rsid w:val="00400E1B"/>
    <w:rsid w:val="004561E8"/>
    <w:rsid w:val="00492202"/>
    <w:rsid w:val="004B629C"/>
    <w:rsid w:val="00521385"/>
    <w:rsid w:val="00522C63"/>
    <w:rsid w:val="005702C5"/>
    <w:rsid w:val="005735CE"/>
    <w:rsid w:val="00594D2E"/>
    <w:rsid w:val="005B6900"/>
    <w:rsid w:val="005D5411"/>
    <w:rsid w:val="00607B79"/>
    <w:rsid w:val="00633E12"/>
    <w:rsid w:val="00654399"/>
    <w:rsid w:val="0069001B"/>
    <w:rsid w:val="00697129"/>
    <w:rsid w:val="006A368F"/>
    <w:rsid w:val="006B5824"/>
    <w:rsid w:val="006D3979"/>
    <w:rsid w:val="006D785C"/>
    <w:rsid w:val="006F5C54"/>
    <w:rsid w:val="007117DF"/>
    <w:rsid w:val="00735807"/>
    <w:rsid w:val="007411F0"/>
    <w:rsid w:val="007841A9"/>
    <w:rsid w:val="007C5C79"/>
    <w:rsid w:val="007D181D"/>
    <w:rsid w:val="007F07CC"/>
    <w:rsid w:val="00804258"/>
    <w:rsid w:val="008B4832"/>
    <w:rsid w:val="008C0D17"/>
    <w:rsid w:val="0092049B"/>
    <w:rsid w:val="009216F4"/>
    <w:rsid w:val="00934EB6"/>
    <w:rsid w:val="00953E7F"/>
    <w:rsid w:val="00957719"/>
    <w:rsid w:val="00970066"/>
    <w:rsid w:val="009835BB"/>
    <w:rsid w:val="009953D2"/>
    <w:rsid w:val="00A05D54"/>
    <w:rsid w:val="00A1075D"/>
    <w:rsid w:val="00A32275"/>
    <w:rsid w:val="00A405B2"/>
    <w:rsid w:val="00A76C1F"/>
    <w:rsid w:val="00A85C23"/>
    <w:rsid w:val="00A903D2"/>
    <w:rsid w:val="00A909CF"/>
    <w:rsid w:val="00AD14EB"/>
    <w:rsid w:val="00AD7419"/>
    <w:rsid w:val="00AE7E7D"/>
    <w:rsid w:val="00B05C33"/>
    <w:rsid w:val="00B3596D"/>
    <w:rsid w:val="00B46FD9"/>
    <w:rsid w:val="00B55E48"/>
    <w:rsid w:val="00B6037D"/>
    <w:rsid w:val="00B61A93"/>
    <w:rsid w:val="00B73A92"/>
    <w:rsid w:val="00B741FC"/>
    <w:rsid w:val="00BB7532"/>
    <w:rsid w:val="00BD4694"/>
    <w:rsid w:val="00BE2AB1"/>
    <w:rsid w:val="00C01C87"/>
    <w:rsid w:val="00C41C1F"/>
    <w:rsid w:val="00C50882"/>
    <w:rsid w:val="00C81DBF"/>
    <w:rsid w:val="00C93C7C"/>
    <w:rsid w:val="00C93E05"/>
    <w:rsid w:val="00CA0323"/>
    <w:rsid w:val="00CD30EB"/>
    <w:rsid w:val="00CE7953"/>
    <w:rsid w:val="00D2750D"/>
    <w:rsid w:val="00D839EB"/>
    <w:rsid w:val="00D862C6"/>
    <w:rsid w:val="00DB1620"/>
    <w:rsid w:val="00DB6937"/>
    <w:rsid w:val="00DC1715"/>
    <w:rsid w:val="00E1449B"/>
    <w:rsid w:val="00E27EE9"/>
    <w:rsid w:val="00E44AA2"/>
    <w:rsid w:val="00E50CE7"/>
    <w:rsid w:val="00E7367E"/>
    <w:rsid w:val="00E8179A"/>
    <w:rsid w:val="00E87737"/>
    <w:rsid w:val="00E9298E"/>
    <w:rsid w:val="00EA17BD"/>
    <w:rsid w:val="00EB3435"/>
    <w:rsid w:val="00EC4A71"/>
    <w:rsid w:val="00ED4ABB"/>
    <w:rsid w:val="00EE13D6"/>
    <w:rsid w:val="00EE18AB"/>
    <w:rsid w:val="00EF073D"/>
    <w:rsid w:val="00EF4E4B"/>
    <w:rsid w:val="00F11BEE"/>
    <w:rsid w:val="00F13836"/>
    <w:rsid w:val="00F13AB0"/>
    <w:rsid w:val="00F91967"/>
    <w:rsid w:val="00F9428C"/>
    <w:rsid w:val="00F9709E"/>
    <w:rsid w:val="00FC6E51"/>
    <w:rsid w:val="00FD0840"/>
    <w:rsid w:val="00FD4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6B2F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vertAlign w:val="superscript"/>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6315"/>
    <w:rPr>
      <w:rFonts w:eastAsia="Times New Roman"/>
      <w:sz w:val="24"/>
      <w:szCs w:val="24"/>
      <w:vertAlign w:val="baseline"/>
      <w:lang w:eastAsia="fr-FR"/>
    </w:rPr>
  </w:style>
  <w:style w:type="paragraph" w:styleId="Titre1">
    <w:name w:val="heading 1"/>
    <w:basedOn w:val="Normal"/>
    <w:next w:val="Normal"/>
    <w:link w:val="Titre1Car"/>
    <w:autoRedefine/>
    <w:uiPriority w:val="9"/>
    <w:qFormat/>
    <w:rsid w:val="00A909CF"/>
    <w:pPr>
      <w:keepNext/>
      <w:spacing w:before="240" w:after="60" w:line="360" w:lineRule="auto"/>
      <w:ind w:firstLine="709"/>
      <w:jc w:val="both"/>
      <w:outlineLvl w:val="0"/>
    </w:pPr>
    <w:rPr>
      <w:rFonts w:eastAsia="MS Gothic"/>
      <w:smallCaps/>
      <w:kern w:val="32"/>
      <w:lang w:eastAsia="en-US"/>
    </w:rPr>
  </w:style>
  <w:style w:type="paragraph" w:styleId="Titre2">
    <w:name w:val="heading 2"/>
    <w:basedOn w:val="Normal"/>
    <w:next w:val="Normal"/>
    <w:link w:val="Titre2Car"/>
    <w:autoRedefine/>
    <w:uiPriority w:val="9"/>
    <w:unhideWhenUsed/>
    <w:qFormat/>
    <w:rsid w:val="00CD30EB"/>
    <w:pPr>
      <w:keepNext/>
      <w:spacing w:before="240" w:after="60" w:line="360" w:lineRule="auto"/>
      <w:jc w:val="both"/>
      <w:outlineLvl w:val="1"/>
    </w:pPr>
    <w:rPr>
      <w:rFonts w:eastAsia="MS Gothic"/>
      <w:b/>
      <w:bCs/>
      <w:iCs/>
      <w:sz w:val="28"/>
      <w:szCs w:val="28"/>
      <w:lang w:eastAsia="en-US"/>
    </w:rPr>
  </w:style>
  <w:style w:type="paragraph" w:styleId="Titre3">
    <w:name w:val="heading 3"/>
    <w:basedOn w:val="Normal"/>
    <w:next w:val="Normal"/>
    <w:link w:val="Titre3Car"/>
    <w:autoRedefine/>
    <w:uiPriority w:val="9"/>
    <w:unhideWhenUsed/>
    <w:qFormat/>
    <w:rsid w:val="00CD30EB"/>
    <w:pPr>
      <w:keepNext/>
      <w:keepLines/>
      <w:numPr>
        <w:numId w:val="2"/>
      </w:numPr>
      <w:spacing w:before="40"/>
      <w:ind w:hanging="360"/>
      <w:jc w:val="both"/>
      <w:outlineLvl w:val="2"/>
    </w:pPr>
    <w:rPr>
      <w:rFonts w:eastAsiaTheme="majorEastAsia" w:cstheme="majorBidi"/>
      <w:b/>
      <w:color w:val="000000" w:themeColor="tex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uiPriority w:val="99"/>
    <w:unhideWhenUsed/>
    <w:rsid w:val="00000702"/>
  </w:style>
  <w:style w:type="character" w:styleId="Appelnotedebasdep">
    <w:name w:val="footnote reference"/>
    <w:basedOn w:val="Policepardfaut"/>
    <w:autoRedefine/>
    <w:uiPriority w:val="99"/>
    <w:unhideWhenUsed/>
    <w:qFormat/>
    <w:rsid w:val="00CD30EB"/>
    <w:rPr>
      <w:sz w:val="22"/>
      <w:vertAlign w:val="superscript"/>
    </w:rPr>
  </w:style>
  <w:style w:type="paragraph" w:styleId="Notedebasdepage">
    <w:name w:val="footnote text"/>
    <w:basedOn w:val="Normal"/>
    <w:link w:val="NotedebasdepageCar"/>
    <w:autoRedefine/>
    <w:uiPriority w:val="99"/>
    <w:unhideWhenUsed/>
    <w:qFormat/>
    <w:rsid w:val="00CD30EB"/>
    <w:pPr>
      <w:jc w:val="both"/>
    </w:pPr>
    <w:rPr>
      <w:rFonts w:eastAsiaTheme="minorHAnsi"/>
      <w:sz w:val="20"/>
      <w:szCs w:val="20"/>
      <w:lang w:eastAsia="en-US"/>
    </w:rPr>
  </w:style>
  <w:style w:type="character" w:customStyle="1" w:styleId="NotedebasdepageCar">
    <w:name w:val="Note de bas de page Car"/>
    <w:link w:val="Notedebasdepage"/>
    <w:uiPriority w:val="99"/>
    <w:rsid w:val="00CD30EB"/>
    <w:rPr>
      <w:sz w:val="20"/>
      <w:vertAlign w:val="baseline"/>
    </w:rPr>
  </w:style>
  <w:style w:type="character" w:customStyle="1" w:styleId="Titre1Car">
    <w:name w:val="Titre 1 Car"/>
    <w:basedOn w:val="Policepardfaut"/>
    <w:link w:val="Titre1"/>
    <w:uiPriority w:val="9"/>
    <w:rsid w:val="00A909CF"/>
    <w:rPr>
      <w:rFonts w:eastAsia="MS Gothic"/>
      <w:smallCaps/>
      <w:kern w:val="32"/>
      <w:sz w:val="24"/>
      <w:szCs w:val="24"/>
      <w:vertAlign w:val="baseline"/>
    </w:rPr>
  </w:style>
  <w:style w:type="character" w:customStyle="1" w:styleId="Titre2Car">
    <w:name w:val="Titre 2 Car"/>
    <w:basedOn w:val="Policepardfaut"/>
    <w:link w:val="Titre2"/>
    <w:uiPriority w:val="9"/>
    <w:rsid w:val="00CD30EB"/>
    <w:rPr>
      <w:rFonts w:ascii="Times New Roman" w:eastAsia="MS Gothic" w:hAnsi="Times New Roman"/>
      <w:b/>
      <w:bCs/>
      <w:iCs/>
      <w:sz w:val="28"/>
      <w:szCs w:val="28"/>
      <w:vertAlign w:val="baseline"/>
      <w:lang w:eastAsia="fr-FR"/>
    </w:rPr>
  </w:style>
  <w:style w:type="character" w:customStyle="1" w:styleId="Titre3Car">
    <w:name w:val="Titre 3 Car"/>
    <w:basedOn w:val="Policepardfaut"/>
    <w:link w:val="Titre3"/>
    <w:uiPriority w:val="9"/>
    <w:rsid w:val="00CD30EB"/>
    <w:rPr>
      <w:rFonts w:ascii="Times New Roman" w:eastAsiaTheme="majorEastAsia" w:hAnsi="Times New Roman" w:cstheme="majorBidi"/>
      <w:b/>
      <w:color w:val="000000" w:themeColor="text1"/>
      <w:sz w:val="24"/>
      <w:szCs w:val="24"/>
      <w:lang w:eastAsia="fr-FR"/>
    </w:rPr>
  </w:style>
  <w:style w:type="character" w:customStyle="1" w:styleId="Marquenotebasdepage">
    <w:name w:val="Marque note bas de page"/>
    <w:autoRedefine/>
    <w:uiPriority w:val="99"/>
    <w:unhideWhenUsed/>
    <w:qFormat/>
    <w:rsid w:val="00CD30EB"/>
    <w:rPr>
      <w:sz w:val="20"/>
      <w:vertAlign w:val="superscript"/>
    </w:rPr>
  </w:style>
  <w:style w:type="paragraph" w:styleId="Citation">
    <w:name w:val="Quote"/>
    <w:basedOn w:val="Normal"/>
    <w:next w:val="Normal"/>
    <w:link w:val="CitationCar"/>
    <w:autoRedefine/>
    <w:uiPriority w:val="29"/>
    <w:qFormat/>
    <w:rsid w:val="00CD30EB"/>
    <w:pPr>
      <w:tabs>
        <w:tab w:val="left" w:pos="5103"/>
      </w:tabs>
      <w:ind w:firstLine="284"/>
      <w:jc w:val="both"/>
    </w:pPr>
    <w:rPr>
      <w:rFonts w:eastAsiaTheme="minorHAnsi"/>
      <w:iCs/>
      <w:color w:val="000000"/>
      <w:sz w:val="22"/>
      <w:lang w:eastAsia="en-US"/>
    </w:rPr>
  </w:style>
  <w:style w:type="character" w:customStyle="1" w:styleId="CitationCar">
    <w:name w:val="Citation Car"/>
    <w:basedOn w:val="Policepardfaut"/>
    <w:link w:val="Citation"/>
    <w:uiPriority w:val="29"/>
    <w:rsid w:val="00CD30EB"/>
    <w:rPr>
      <w:iCs/>
      <w:color w:val="000000"/>
      <w:szCs w:val="24"/>
      <w:vertAlign w:val="baseline"/>
    </w:rPr>
  </w:style>
  <w:style w:type="character" w:styleId="CitationHTML">
    <w:name w:val="HTML Cite"/>
    <w:uiPriority w:val="99"/>
    <w:semiHidden/>
    <w:unhideWhenUsed/>
    <w:rsid w:val="001A3C0C"/>
    <w:rPr>
      <w:i/>
      <w:iCs/>
    </w:rPr>
  </w:style>
  <w:style w:type="paragraph" w:styleId="Paragraphedeliste">
    <w:name w:val="List Paragraph"/>
    <w:basedOn w:val="Normal"/>
    <w:uiPriority w:val="34"/>
    <w:qFormat/>
    <w:rsid w:val="00ED4ABB"/>
    <w:pPr>
      <w:ind w:left="720"/>
      <w:contextualSpacing/>
    </w:pPr>
  </w:style>
  <w:style w:type="paragraph" w:styleId="Pieddepage">
    <w:name w:val="footer"/>
    <w:basedOn w:val="Normal"/>
    <w:link w:val="PieddepageCar"/>
    <w:uiPriority w:val="99"/>
    <w:unhideWhenUsed/>
    <w:rsid w:val="000D66ED"/>
    <w:pPr>
      <w:tabs>
        <w:tab w:val="center" w:pos="4536"/>
        <w:tab w:val="right" w:pos="9072"/>
      </w:tabs>
    </w:pPr>
  </w:style>
  <w:style w:type="character" w:customStyle="1" w:styleId="PieddepageCar">
    <w:name w:val="Pied de page Car"/>
    <w:basedOn w:val="Policepardfaut"/>
    <w:link w:val="Pieddepage"/>
    <w:uiPriority w:val="99"/>
    <w:rsid w:val="000D66ED"/>
    <w:rPr>
      <w:rFonts w:eastAsia="Times New Roman"/>
      <w:sz w:val="24"/>
      <w:szCs w:val="24"/>
      <w:vertAlign w:val="baseline"/>
      <w:lang w:eastAsia="fr-FR"/>
    </w:rPr>
  </w:style>
  <w:style w:type="character" w:styleId="Numrodepage">
    <w:name w:val="page number"/>
    <w:basedOn w:val="Policepardfaut"/>
    <w:uiPriority w:val="99"/>
    <w:semiHidden/>
    <w:unhideWhenUsed/>
    <w:rsid w:val="000D66ED"/>
  </w:style>
  <w:style w:type="paragraph" w:styleId="En-tte">
    <w:name w:val="header"/>
    <w:basedOn w:val="Normal"/>
    <w:link w:val="En-tteCar"/>
    <w:uiPriority w:val="99"/>
    <w:unhideWhenUsed/>
    <w:rsid w:val="00231C8E"/>
    <w:pPr>
      <w:tabs>
        <w:tab w:val="center" w:pos="4536"/>
        <w:tab w:val="right" w:pos="9072"/>
      </w:tabs>
    </w:pPr>
  </w:style>
  <w:style w:type="character" w:customStyle="1" w:styleId="En-tteCar">
    <w:name w:val="En-tête Car"/>
    <w:basedOn w:val="Policepardfaut"/>
    <w:link w:val="En-tte"/>
    <w:uiPriority w:val="99"/>
    <w:rsid w:val="00231C8E"/>
    <w:rPr>
      <w:rFonts w:eastAsia="Times New Roman"/>
      <w:sz w:val="24"/>
      <w:szCs w:val="24"/>
      <w:vertAlign w:val="baseline"/>
      <w:lang w:eastAsia="fr-FR"/>
    </w:rPr>
  </w:style>
  <w:style w:type="character" w:styleId="Lienhypertexte">
    <w:name w:val="Hyperlink"/>
    <w:basedOn w:val="Policepardfaut"/>
    <w:uiPriority w:val="99"/>
    <w:semiHidden/>
    <w:unhideWhenUsed/>
    <w:rsid w:val="00D2750D"/>
    <w:rPr>
      <w:color w:val="0000FF"/>
      <w:u w:val="single"/>
    </w:rPr>
  </w:style>
  <w:style w:type="character" w:styleId="Lienhypertextesuivivisit">
    <w:name w:val="FollowedHyperlink"/>
    <w:basedOn w:val="Policepardfaut"/>
    <w:uiPriority w:val="99"/>
    <w:semiHidden/>
    <w:unhideWhenUsed/>
    <w:rsid w:val="00D2750D"/>
    <w:rPr>
      <w:color w:val="954F72" w:themeColor="followedHyperlink"/>
      <w:u w:val="single"/>
    </w:rPr>
  </w:style>
  <w:style w:type="paragraph" w:styleId="NormalWeb">
    <w:name w:val="Normal (Web)"/>
    <w:basedOn w:val="Normal"/>
    <w:uiPriority w:val="99"/>
    <w:unhideWhenUsed/>
    <w:rsid w:val="009953D2"/>
    <w:pPr>
      <w:spacing w:before="100" w:beforeAutospacing="1" w:after="100" w:afterAutospacing="1"/>
    </w:pPr>
  </w:style>
  <w:style w:type="character" w:styleId="lev">
    <w:name w:val="Strong"/>
    <w:basedOn w:val="Policepardfaut"/>
    <w:uiPriority w:val="22"/>
    <w:qFormat/>
    <w:rsid w:val="009953D2"/>
    <w:rPr>
      <w:b/>
      <w:bCs/>
    </w:rPr>
  </w:style>
  <w:style w:type="character" w:styleId="Accentuation">
    <w:name w:val="Emphasis"/>
    <w:basedOn w:val="Policepardfaut"/>
    <w:uiPriority w:val="20"/>
    <w:qFormat/>
    <w:rsid w:val="009953D2"/>
    <w:rPr>
      <w:i/>
      <w:iCs/>
    </w:rPr>
  </w:style>
  <w:style w:type="paragraph" w:customStyle="1" w:styleId="texte">
    <w:name w:val="texte"/>
    <w:basedOn w:val="Normal"/>
    <w:rsid w:val="00A909CF"/>
    <w:pPr>
      <w:spacing w:before="100" w:beforeAutospacing="1" w:after="100" w:afterAutospacing="1"/>
    </w:pPr>
  </w:style>
  <w:style w:type="paragraph" w:customStyle="1" w:styleId="citation0">
    <w:name w:val="citation"/>
    <w:basedOn w:val="Normal"/>
    <w:rsid w:val="00A909CF"/>
    <w:pPr>
      <w:spacing w:before="100" w:beforeAutospacing="1" w:after="100" w:afterAutospacing="1"/>
    </w:pPr>
  </w:style>
  <w:style w:type="paragraph" w:styleId="Sansinterligne">
    <w:name w:val="No Spacing"/>
    <w:uiPriority w:val="1"/>
    <w:qFormat/>
    <w:rsid w:val="00B55E48"/>
    <w:rPr>
      <w:rFonts w:eastAsia="Times New Roman"/>
      <w:sz w:val="24"/>
      <w:szCs w:val="24"/>
      <w:vertAlign w:val="baselin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14487">
      <w:bodyDiv w:val="1"/>
      <w:marLeft w:val="0"/>
      <w:marRight w:val="0"/>
      <w:marTop w:val="0"/>
      <w:marBottom w:val="0"/>
      <w:divBdr>
        <w:top w:val="none" w:sz="0" w:space="0" w:color="auto"/>
        <w:left w:val="none" w:sz="0" w:space="0" w:color="auto"/>
        <w:bottom w:val="none" w:sz="0" w:space="0" w:color="auto"/>
        <w:right w:val="none" w:sz="0" w:space="0" w:color="auto"/>
      </w:divBdr>
      <w:divsChild>
        <w:div w:id="620183433">
          <w:marLeft w:val="0"/>
          <w:marRight w:val="0"/>
          <w:marTop w:val="0"/>
          <w:marBottom w:val="0"/>
          <w:divBdr>
            <w:top w:val="none" w:sz="0" w:space="0" w:color="auto"/>
            <w:left w:val="none" w:sz="0" w:space="0" w:color="auto"/>
            <w:bottom w:val="none" w:sz="0" w:space="0" w:color="auto"/>
            <w:right w:val="none" w:sz="0" w:space="0" w:color="auto"/>
          </w:divBdr>
          <w:divsChild>
            <w:div w:id="1988392629">
              <w:marLeft w:val="0"/>
              <w:marRight w:val="0"/>
              <w:marTop w:val="0"/>
              <w:marBottom w:val="0"/>
              <w:divBdr>
                <w:top w:val="none" w:sz="0" w:space="0" w:color="auto"/>
                <w:left w:val="none" w:sz="0" w:space="0" w:color="auto"/>
                <w:bottom w:val="none" w:sz="0" w:space="0" w:color="auto"/>
                <w:right w:val="none" w:sz="0" w:space="0" w:color="auto"/>
              </w:divBdr>
              <w:divsChild>
                <w:div w:id="1478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9993">
          <w:marLeft w:val="0"/>
          <w:marRight w:val="0"/>
          <w:marTop w:val="0"/>
          <w:marBottom w:val="0"/>
          <w:divBdr>
            <w:top w:val="none" w:sz="0" w:space="0" w:color="auto"/>
            <w:left w:val="none" w:sz="0" w:space="0" w:color="auto"/>
            <w:bottom w:val="none" w:sz="0" w:space="0" w:color="auto"/>
            <w:right w:val="none" w:sz="0" w:space="0" w:color="auto"/>
          </w:divBdr>
          <w:divsChild>
            <w:div w:id="977222132">
              <w:marLeft w:val="0"/>
              <w:marRight w:val="0"/>
              <w:marTop w:val="0"/>
              <w:marBottom w:val="0"/>
              <w:divBdr>
                <w:top w:val="none" w:sz="0" w:space="0" w:color="auto"/>
                <w:left w:val="none" w:sz="0" w:space="0" w:color="auto"/>
                <w:bottom w:val="none" w:sz="0" w:space="0" w:color="auto"/>
                <w:right w:val="none" w:sz="0" w:space="0" w:color="auto"/>
              </w:divBdr>
              <w:divsChild>
                <w:div w:id="1911380052">
                  <w:marLeft w:val="0"/>
                  <w:marRight w:val="0"/>
                  <w:marTop w:val="0"/>
                  <w:marBottom w:val="0"/>
                  <w:divBdr>
                    <w:top w:val="none" w:sz="0" w:space="0" w:color="auto"/>
                    <w:left w:val="none" w:sz="0" w:space="0" w:color="auto"/>
                    <w:bottom w:val="none" w:sz="0" w:space="0" w:color="auto"/>
                    <w:right w:val="none" w:sz="0" w:space="0" w:color="auto"/>
                  </w:divBdr>
                  <w:divsChild>
                    <w:div w:id="1146387027">
                      <w:marLeft w:val="0"/>
                      <w:marRight w:val="0"/>
                      <w:marTop w:val="0"/>
                      <w:marBottom w:val="0"/>
                      <w:divBdr>
                        <w:top w:val="none" w:sz="0" w:space="0" w:color="auto"/>
                        <w:left w:val="none" w:sz="0" w:space="0" w:color="auto"/>
                        <w:bottom w:val="none" w:sz="0" w:space="0" w:color="auto"/>
                        <w:right w:val="none" w:sz="0" w:space="0" w:color="auto"/>
                      </w:divBdr>
                      <w:divsChild>
                        <w:div w:id="476260887">
                          <w:marLeft w:val="0"/>
                          <w:marRight w:val="0"/>
                          <w:marTop w:val="0"/>
                          <w:marBottom w:val="0"/>
                          <w:divBdr>
                            <w:top w:val="none" w:sz="0" w:space="0" w:color="auto"/>
                            <w:left w:val="none" w:sz="0" w:space="0" w:color="auto"/>
                            <w:bottom w:val="none" w:sz="0" w:space="0" w:color="auto"/>
                            <w:right w:val="none" w:sz="0" w:space="0" w:color="auto"/>
                          </w:divBdr>
                          <w:divsChild>
                            <w:div w:id="2094399842">
                              <w:marLeft w:val="0"/>
                              <w:marRight w:val="0"/>
                              <w:marTop w:val="0"/>
                              <w:marBottom w:val="0"/>
                              <w:divBdr>
                                <w:top w:val="none" w:sz="0" w:space="0" w:color="auto"/>
                                <w:left w:val="none" w:sz="0" w:space="0" w:color="auto"/>
                                <w:bottom w:val="none" w:sz="0" w:space="0" w:color="auto"/>
                                <w:right w:val="none" w:sz="0" w:space="0" w:color="auto"/>
                              </w:divBdr>
                            </w:div>
                            <w:div w:id="28990801">
                              <w:marLeft w:val="0"/>
                              <w:marRight w:val="0"/>
                              <w:marTop w:val="0"/>
                              <w:marBottom w:val="0"/>
                              <w:divBdr>
                                <w:top w:val="none" w:sz="0" w:space="0" w:color="auto"/>
                                <w:left w:val="none" w:sz="0" w:space="0" w:color="auto"/>
                                <w:bottom w:val="none" w:sz="0" w:space="0" w:color="auto"/>
                                <w:right w:val="none" w:sz="0" w:space="0" w:color="auto"/>
                              </w:divBdr>
                            </w:div>
                          </w:divsChild>
                        </w:div>
                        <w:div w:id="1836067451">
                          <w:marLeft w:val="0"/>
                          <w:marRight w:val="0"/>
                          <w:marTop w:val="0"/>
                          <w:marBottom w:val="0"/>
                          <w:divBdr>
                            <w:top w:val="none" w:sz="0" w:space="0" w:color="auto"/>
                            <w:left w:val="none" w:sz="0" w:space="0" w:color="auto"/>
                            <w:bottom w:val="none" w:sz="0" w:space="0" w:color="auto"/>
                            <w:right w:val="none" w:sz="0" w:space="0" w:color="auto"/>
                          </w:divBdr>
                          <w:divsChild>
                            <w:div w:id="1489515366">
                              <w:marLeft w:val="0"/>
                              <w:marRight w:val="0"/>
                              <w:marTop w:val="0"/>
                              <w:marBottom w:val="0"/>
                              <w:divBdr>
                                <w:top w:val="none" w:sz="0" w:space="0" w:color="auto"/>
                                <w:left w:val="none" w:sz="0" w:space="0" w:color="auto"/>
                                <w:bottom w:val="none" w:sz="0" w:space="0" w:color="auto"/>
                                <w:right w:val="none" w:sz="0" w:space="0" w:color="auto"/>
                              </w:divBdr>
                            </w:div>
                            <w:div w:id="16767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71871">
      <w:bodyDiv w:val="1"/>
      <w:marLeft w:val="0"/>
      <w:marRight w:val="0"/>
      <w:marTop w:val="0"/>
      <w:marBottom w:val="0"/>
      <w:divBdr>
        <w:top w:val="none" w:sz="0" w:space="0" w:color="auto"/>
        <w:left w:val="none" w:sz="0" w:space="0" w:color="auto"/>
        <w:bottom w:val="none" w:sz="0" w:space="0" w:color="auto"/>
        <w:right w:val="none" w:sz="0" w:space="0" w:color="auto"/>
      </w:divBdr>
    </w:div>
    <w:div w:id="806242372">
      <w:bodyDiv w:val="1"/>
      <w:marLeft w:val="0"/>
      <w:marRight w:val="0"/>
      <w:marTop w:val="0"/>
      <w:marBottom w:val="0"/>
      <w:divBdr>
        <w:top w:val="none" w:sz="0" w:space="0" w:color="auto"/>
        <w:left w:val="none" w:sz="0" w:space="0" w:color="auto"/>
        <w:bottom w:val="none" w:sz="0" w:space="0" w:color="auto"/>
        <w:right w:val="none" w:sz="0" w:space="0" w:color="auto"/>
      </w:divBdr>
      <w:divsChild>
        <w:div w:id="1559054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578793">
      <w:bodyDiv w:val="1"/>
      <w:marLeft w:val="0"/>
      <w:marRight w:val="0"/>
      <w:marTop w:val="0"/>
      <w:marBottom w:val="0"/>
      <w:divBdr>
        <w:top w:val="none" w:sz="0" w:space="0" w:color="auto"/>
        <w:left w:val="none" w:sz="0" w:space="0" w:color="auto"/>
        <w:bottom w:val="none" w:sz="0" w:space="0" w:color="auto"/>
        <w:right w:val="none" w:sz="0" w:space="0" w:color="auto"/>
      </w:divBdr>
      <w:divsChild>
        <w:div w:id="1980567877">
          <w:marLeft w:val="0"/>
          <w:marRight w:val="0"/>
          <w:marTop w:val="0"/>
          <w:marBottom w:val="0"/>
          <w:divBdr>
            <w:top w:val="none" w:sz="0" w:space="0" w:color="auto"/>
            <w:left w:val="none" w:sz="0" w:space="0" w:color="auto"/>
            <w:bottom w:val="none" w:sz="0" w:space="0" w:color="auto"/>
            <w:right w:val="none" w:sz="0" w:space="0" w:color="auto"/>
          </w:divBdr>
        </w:div>
        <w:div w:id="520512120">
          <w:marLeft w:val="0"/>
          <w:marRight w:val="0"/>
          <w:marTop w:val="0"/>
          <w:marBottom w:val="0"/>
          <w:divBdr>
            <w:top w:val="none" w:sz="0" w:space="0" w:color="auto"/>
            <w:left w:val="none" w:sz="0" w:space="0" w:color="auto"/>
            <w:bottom w:val="none" w:sz="0" w:space="0" w:color="auto"/>
            <w:right w:val="none" w:sz="0" w:space="0" w:color="auto"/>
          </w:divBdr>
        </w:div>
      </w:divsChild>
    </w:div>
    <w:div w:id="1131702412">
      <w:bodyDiv w:val="1"/>
      <w:marLeft w:val="0"/>
      <w:marRight w:val="0"/>
      <w:marTop w:val="0"/>
      <w:marBottom w:val="0"/>
      <w:divBdr>
        <w:top w:val="none" w:sz="0" w:space="0" w:color="auto"/>
        <w:left w:val="none" w:sz="0" w:space="0" w:color="auto"/>
        <w:bottom w:val="none" w:sz="0" w:space="0" w:color="auto"/>
        <w:right w:val="none" w:sz="0" w:space="0" w:color="auto"/>
      </w:divBdr>
      <w:divsChild>
        <w:div w:id="711728625">
          <w:marLeft w:val="0"/>
          <w:marRight w:val="0"/>
          <w:marTop w:val="0"/>
          <w:marBottom w:val="0"/>
          <w:divBdr>
            <w:top w:val="none" w:sz="0" w:space="0" w:color="auto"/>
            <w:left w:val="none" w:sz="0" w:space="0" w:color="auto"/>
            <w:bottom w:val="none" w:sz="0" w:space="0" w:color="auto"/>
            <w:right w:val="none" w:sz="0" w:space="0" w:color="auto"/>
          </w:divBdr>
          <w:divsChild>
            <w:div w:id="62724156">
              <w:marLeft w:val="0"/>
              <w:marRight w:val="0"/>
              <w:marTop w:val="0"/>
              <w:marBottom w:val="0"/>
              <w:divBdr>
                <w:top w:val="none" w:sz="0" w:space="0" w:color="auto"/>
                <w:left w:val="none" w:sz="0" w:space="0" w:color="auto"/>
                <w:bottom w:val="none" w:sz="0" w:space="0" w:color="auto"/>
                <w:right w:val="none" w:sz="0" w:space="0" w:color="auto"/>
              </w:divBdr>
            </w:div>
            <w:div w:id="1450123978">
              <w:marLeft w:val="0"/>
              <w:marRight w:val="0"/>
              <w:marTop w:val="0"/>
              <w:marBottom w:val="0"/>
              <w:divBdr>
                <w:top w:val="none" w:sz="0" w:space="0" w:color="auto"/>
                <w:left w:val="none" w:sz="0" w:space="0" w:color="auto"/>
                <w:bottom w:val="none" w:sz="0" w:space="0" w:color="auto"/>
                <w:right w:val="none" w:sz="0" w:space="0" w:color="auto"/>
              </w:divBdr>
              <w:divsChild>
                <w:div w:id="2034303352">
                  <w:marLeft w:val="0"/>
                  <w:marRight w:val="0"/>
                  <w:marTop w:val="0"/>
                  <w:marBottom w:val="0"/>
                  <w:divBdr>
                    <w:top w:val="none" w:sz="0" w:space="0" w:color="auto"/>
                    <w:left w:val="none" w:sz="0" w:space="0" w:color="auto"/>
                    <w:bottom w:val="none" w:sz="0" w:space="0" w:color="auto"/>
                    <w:right w:val="none" w:sz="0" w:space="0" w:color="auto"/>
                  </w:divBdr>
                  <w:divsChild>
                    <w:div w:id="163127745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175876690">
      <w:bodyDiv w:val="1"/>
      <w:marLeft w:val="0"/>
      <w:marRight w:val="0"/>
      <w:marTop w:val="0"/>
      <w:marBottom w:val="0"/>
      <w:divBdr>
        <w:top w:val="none" w:sz="0" w:space="0" w:color="auto"/>
        <w:left w:val="none" w:sz="0" w:space="0" w:color="auto"/>
        <w:bottom w:val="none" w:sz="0" w:space="0" w:color="auto"/>
        <w:right w:val="none" w:sz="0" w:space="0" w:color="auto"/>
      </w:divBdr>
      <w:divsChild>
        <w:div w:id="289942275">
          <w:marLeft w:val="0"/>
          <w:marRight w:val="0"/>
          <w:marTop w:val="0"/>
          <w:marBottom w:val="0"/>
          <w:divBdr>
            <w:top w:val="none" w:sz="0" w:space="0" w:color="auto"/>
            <w:left w:val="none" w:sz="0" w:space="0" w:color="auto"/>
            <w:bottom w:val="none" w:sz="0" w:space="0" w:color="auto"/>
            <w:right w:val="none" w:sz="0" w:space="0" w:color="auto"/>
          </w:divBdr>
          <w:divsChild>
            <w:div w:id="163515009">
              <w:marLeft w:val="0"/>
              <w:marRight w:val="0"/>
              <w:marTop w:val="0"/>
              <w:marBottom w:val="0"/>
              <w:divBdr>
                <w:top w:val="none" w:sz="0" w:space="0" w:color="auto"/>
                <w:left w:val="none" w:sz="0" w:space="0" w:color="auto"/>
                <w:bottom w:val="none" w:sz="0" w:space="0" w:color="auto"/>
                <w:right w:val="none" w:sz="0" w:space="0" w:color="auto"/>
              </w:divBdr>
              <w:divsChild>
                <w:div w:id="569460438">
                  <w:marLeft w:val="0"/>
                  <w:marRight w:val="0"/>
                  <w:marTop w:val="0"/>
                  <w:marBottom w:val="0"/>
                  <w:divBdr>
                    <w:top w:val="none" w:sz="0" w:space="0" w:color="auto"/>
                    <w:left w:val="none" w:sz="0" w:space="0" w:color="auto"/>
                    <w:bottom w:val="none" w:sz="0" w:space="0" w:color="auto"/>
                    <w:right w:val="none" w:sz="0" w:space="0" w:color="auto"/>
                  </w:divBdr>
                  <w:divsChild>
                    <w:div w:id="13440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7320">
          <w:marLeft w:val="0"/>
          <w:marRight w:val="0"/>
          <w:marTop w:val="0"/>
          <w:marBottom w:val="0"/>
          <w:divBdr>
            <w:top w:val="none" w:sz="0" w:space="0" w:color="auto"/>
            <w:left w:val="none" w:sz="0" w:space="0" w:color="auto"/>
            <w:bottom w:val="none" w:sz="0" w:space="0" w:color="auto"/>
            <w:right w:val="none" w:sz="0" w:space="0" w:color="auto"/>
          </w:divBdr>
          <w:divsChild>
            <w:div w:id="963122139">
              <w:marLeft w:val="0"/>
              <w:marRight w:val="0"/>
              <w:marTop w:val="0"/>
              <w:marBottom w:val="0"/>
              <w:divBdr>
                <w:top w:val="none" w:sz="0" w:space="0" w:color="auto"/>
                <w:left w:val="none" w:sz="0" w:space="0" w:color="auto"/>
                <w:bottom w:val="none" w:sz="0" w:space="0" w:color="auto"/>
                <w:right w:val="none" w:sz="0" w:space="0" w:color="auto"/>
              </w:divBdr>
              <w:divsChild>
                <w:div w:id="4246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859">
      <w:bodyDiv w:val="1"/>
      <w:marLeft w:val="0"/>
      <w:marRight w:val="0"/>
      <w:marTop w:val="0"/>
      <w:marBottom w:val="0"/>
      <w:divBdr>
        <w:top w:val="none" w:sz="0" w:space="0" w:color="auto"/>
        <w:left w:val="none" w:sz="0" w:space="0" w:color="auto"/>
        <w:bottom w:val="none" w:sz="0" w:space="0" w:color="auto"/>
        <w:right w:val="none" w:sz="0" w:space="0" w:color="auto"/>
      </w:divBdr>
    </w:div>
    <w:div w:id="1592663486">
      <w:bodyDiv w:val="1"/>
      <w:marLeft w:val="0"/>
      <w:marRight w:val="0"/>
      <w:marTop w:val="0"/>
      <w:marBottom w:val="0"/>
      <w:divBdr>
        <w:top w:val="none" w:sz="0" w:space="0" w:color="auto"/>
        <w:left w:val="none" w:sz="0" w:space="0" w:color="auto"/>
        <w:bottom w:val="none" w:sz="0" w:space="0" w:color="auto"/>
        <w:right w:val="none" w:sz="0" w:space="0" w:color="auto"/>
      </w:divBdr>
    </w:div>
    <w:div w:id="1884445520">
      <w:bodyDiv w:val="1"/>
      <w:marLeft w:val="0"/>
      <w:marRight w:val="0"/>
      <w:marTop w:val="0"/>
      <w:marBottom w:val="0"/>
      <w:divBdr>
        <w:top w:val="none" w:sz="0" w:space="0" w:color="auto"/>
        <w:left w:val="none" w:sz="0" w:space="0" w:color="auto"/>
        <w:bottom w:val="none" w:sz="0" w:space="0" w:color="auto"/>
        <w:right w:val="none" w:sz="0" w:space="0" w:color="auto"/>
      </w:divBdr>
    </w:div>
    <w:div w:id="1974016800">
      <w:bodyDiv w:val="1"/>
      <w:marLeft w:val="0"/>
      <w:marRight w:val="0"/>
      <w:marTop w:val="0"/>
      <w:marBottom w:val="0"/>
      <w:divBdr>
        <w:top w:val="none" w:sz="0" w:space="0" w:color="auto"/>
        <w:left w:val="none" w:sz="0" w:space="0" w:color="auto"/>
        <w:bottom w:val="none" w:sz="0" w:space="0" w:color="auto"/>
        <w:right w:val="none" w:sz="0" w:space="0" w:color="auto"/>
      </w:divBdr>
      <w:divsChild>
        <w:div w:id="289364461">
          <w:marLeft w:val="360"/>
          <w:marRight w:val="0"/>
          <w:marTop w:val="200"/>
          <w:marBottom w:val="0"/>
          <w:divBdr>
            <w:top w:val="none" w:sz="0" w:space="0" w:color="auto"/>
            <w:left w:val="none" w:sz="0" w:space="0" w:color="auto"/>
            <w:bottom w:val="none" w:sz="0" w:space="0" w:color="auto"/>
            <w:right w:val="none" w:sz="0" w:space="0" w:color="auto"/>
          </w:divBdr>
        </w:div>
        <w:div w:id="1890650329">
          <w:marLeft w:val="360"/>
          <w:marRight w:val="0"/>
          <w:marTop w:val="200"/>
          <w:marBottom w:val="0"/>
          <w:divBdr>
            <w:top w:val="none" w:sz="0" w:space="0" w:color="auto"/>
            <w:left w:val="none" w:sz="0" w:space="0" w:color="auto"/>
            <w:bottom w:val="none" w:sz="0" w:space="0" w:color="auto"/>
            <w:right w:val="none" w:sz="0" w:space="0" w:color="auto"/>
          </w:divBdr>
        </w:div>
        <w:div w:id="2036805318">
          <w:marLeft w:val="1080"/>
          <w:marRight w:val="0"/>
          <w:marTop w:val="100"/>
          <w:marBottom w:val="0"/>
          <w:divBdr>
            <w:top w:val="none" w:sz="0" w:space="0" w:color="auto"/>
            <w:left w:val="none" w:sz="0" w:space="0" w:color="auto"/>
            <w:bottom w:val="none" w:sz="0" w:space="0" w:color="auto"/>
            <w:right w:val="none" w:sz="0" w:space="0" w:color="auto"/>
          </w:divBdr>
        </w:div>
        <w:div w:id="1130435861">
          <w:marLeft w:val="1080"/>
          <w:marRight w:val="0"/>
          <w:marTop w:val="100"/>
          <w:marBottom w:val="0"/>
          <w:divBdr>
            <w:top w:val="none" w:sz="0" w:space="0" w:color="auto"/>
            <w:left w:val="none" w:sz="0" w:space="0" w:color="auto"/>
            <w:bottom w:val="none" w:sz="0" w:space="0" w:color="auto"/>
            <w:right w:val="none" w:sz="0" w:space="0" w:color="auto"/>
          </w:divBdr>
        </w:div>
        <w:div w:id="1682581161">
          <w:marLeft w:val="1080"/>
          <w:marRight w:val="0"/>
          <w:marTop w:val="100"/>
          <w:marBottom w:val="0"/>
          <w:divBdr>
            <w:top w:val="none" w:sz="0" w:space="0" w:color="auto"/>
            <w:left w:val="none" w:sz="0" w:space="0" w:color="auto"/>
            <w:bottom w:val="none" w:sz="0" w:space="0" w:color="auto"/>
            <w:right w:val="none" w:sz="0" w:space="0" w:color="auto"/>
          </w:divBdr>
        </w:div>
        <w:div w:id="524758221">
          <w:marLeft w:val="1080"/>
          <w:marRight w:val="0"/>
          <w:marTop w:val="100"/>
          <w:marBottom w:val="0"/>
          <w:divBdr>
            <w:top w:val="none" w:sz="0" w:space="0" w:color="auto"/>
            <w:left w:val="none" w:sz="0" w:space="0" w:color="auto"/>
            <w:bottom w:val="none" w:sz="0" w:space="0" w:color="auto"/>
            <w:right w:val="none" w:sz="0" w:space="0" w:color="auto"/>
          </w:divBdr>
        </w:div>
        <w:div w:id="1117991866">
          <w:marLeft w:val="360"/>
          <w:marRight w:val="0"/>
          <w:marTop w:val="200"/>
          <w:marBottom w:val="0"/>
          <w:divBdr>
            <w:top w:val="none" w:sz="0" w:space="0" w:color="auto"/>
            <w:left w:val="none" w:sz="0" w:space="0" w:color="auto"/>
            <w:bottom w:val="none" w:sz="0" w:space="0" w:color="auto"/>
            <w:right w:val="none" w:sz="0" w:space="0" w:color="auto"/>
          </w:divBdr>
        </w:div>
        <w:div w:id="900215995">
          <w:marLeft w:val="1080"/>
          <w:marRight w:val="0"/>
          <w:marTop w:val="200"/>
          <w:marBottom w:val="0"/>
          <w:divBdr>
            <w:top w:val="none" w:sz="0" w:space="0" w:color="auto"/>
            <w:left w:val="none" w:sz="0" w:space="0" w:color="auto"/>
            <w:bottom w:val="none" w:sz="0" w:space="0" w:color="auto"/>
            <w:right w:val="none" w:sz="0" w:space="0" w:color="auto"/>
          </w:divBdr>
        </w:div>
        <w:div w:id="1646275612">
          <w:marLeft w:val="1080"/>
          <w:marRight w:val="0"/>
          <w:marTop w:val="200"/>
          <w:marBottom w:val="0"/>
          <w:divBdr>
            <w:top w:val="none" w:sz="0" w:space="0" w:color="auto"/>
            <w:left w:val="none" w:sz="0" w:space="0" w:color="auto"/>
            <w:bottom w:val="none" w:sz="0" w:space="0" w:color="auto"/>
            <w:right w:val="none" w:sz="0" w:space="0" w:color="auto"/>
          </w:divBdr>
        </w:div>
        <w:div w:id="1053389134">
          <w:marLeft w:val="1080"/>
          <w:marRight w:val="0"/>
          <w:marTop w:val="200"/>
          <w:marBottom w:val="0"/>
          <w:divBdr>
            <w:top w:val="none" w:sz="0" w:space="0" w:color="auto"/>
            <w:left w:val="none" w:sz="0" w:space="0" w:color="auto"/>
            <w:bottom w:val="none" w:sz="0" w:space="0" w:color="auto"/>
            <w:right w:val="none" w:sz="0" w:space="0" w:color="auto"/>
          </w:divBdr>
        </w:div>
        <w:div w:id="1230964172">
          <w:marLeft w:val="1080"/>
          <w:marRight w:val="0"/>
          <w:marTop w:val="200"/>
          <w:marBottom w:val="0"/>
          <w:divBdr>
            <w:top w:val="none" w:sz="0" w:space="0" w:color="auto"/>
            <w:left w:val="none" w:sz="0" w:space="0" w:color="auto"/>
            <w:bottom w:val="none" w:sz="0" w:space="0" w:color="auto"/>
            <w:right w:val="none" w:sz="0" w:space="0" w:color="auto"/>
          </w:divBdr>
        </w:div>
      </w:divsChild>
    </w:div>
    <w:div w:id="2143645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psn/person/8084" TargetMode="External"/><Relationship Id="rId13" Type="http://schemas.openxmlformats.org/officeDocument/2006/relationships/hyperlink" Target="https://books.openedition.org/psn/person/8084"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ooks.openedition.org/psn/person/8083" TargetMode="External"/><Relationship Id="rId12" Type="http://schemas.openxmlformats.org/officeDocument/2006/relationships/hyperlink" Target="https://books.openedition.org/psn/person/808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openedition.org/psn/8082?lang=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ooks.openedition.org/psn/8082?lang=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s.openedition.org/psn/8082?lang=fr"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5397</Words>
  <Characters>29687</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Lespinet-Moret</dc:creator>
  <cp:keywords/>
  <dc:description/>
  <cp:lastModifiedBy>Isabelle Lespinet-Moret</cp:lastModifiedBy>
  <cp:revision>3</cp:revision>
  <cp:lastPrinted>2024-04-24T17:54:00Z</cp:lastPrinted>
  <dcterms:created xsi:type="dcterms:W3CDTF">2025-04-01T16:02:00Z</dcterms:created>
  <dcterms:modified xsi:type="dcterms:W3CDTF">2025-04-01T16:40:00Z</dcterms:modified>
</cp:coreProperties>
</file>