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7FCD" w:rsidRPr="00ED3A88" w:rsidRDefault="004E7FCD" w:rsidP="004E7FCD"/>
    <w:p w:rsidR="004E7FCD" w:rsidRPr="002261AA" w:rsidRDefault="004E7FCD" w:rsidP="004E7FCD">
      <w:pPr>
        <w:spacing w:line="360" w:lineRule="auto"/>
        <w:rPr>
          <w:rFonts w:ascii="Calibri" w:hAnsi="Calibri"/>
          <w:b/>
          <w:bCs/>
          <w:sz w:val="32"/>
          <w:szCs w:val="32"/>
        </w:rPr>
      </w:pPr>
      <w:r w:rsidRPr="002261AA">
        <w:rPr>
          <w:rFonts w:ascii="Calibri" w:hAnsi="Calibri"/>
          <w:b/>
          <w:bCs/>
          <w:sz w:val="32"/>
          <w:szCs w:val="32"/>
        </w:rPr>
        <w:t>Les sociétés euro</w:t>
      </w:r>
      <w:r>
        <w:rPr>
          <w:rFonts w:ascii="Calibri" w:hAnsi="Calibri"/>
          <w:b/>
          <w:bCs/>
          <w:sz w:val="32"/>
          <w:szCs w:val="32"/>
        </w:rPr>
        <w:t xml:space="preserve">péennes face à la croissance, </w:t>
      </w:r>
      <w:r w:rsidRPr="002261AA">
        <w:rPr>
          <w:rFonts w:ascii="Calibri" w:hAnsi="Calibri"/>
          <w:b/>
          <w:bCs/>
          <w:sz w:val="32"/>
          <w:szCs w:val="32"/>
        </w:rPr>
        <w:t>la consommation de masse</w:t>
      </w:r>
      <w:r>
        <w:rPr>
          <w:rFonts w:ascii="Calibri" w:hAnsi="Calibri"/>
          <w:b/>
          <w:bCs/>
          <w:sz w:val="32"/>
          <w:szCs w:val="32"/>
        </w:rPr>
        <w:t xml:space="preserve"> et les politiques sociales, de 1945 aux années 1970</w:t>
      </w:r>
    </w:p>
    <w:p w:rsidR="004E7FCD" w:rsidRPr="005352BA" w:rsidRDefault="004E7FCD" w:rsidP="004E7FCD">
      <w:pPr>
        <w:spacing w:line="360" w:lineRule="auto"/>
        <w:ind w:right="-432"/>
        <w:jc w:val="both"/>
        <w:rPr>
          <w:b/>
          <w:bCs/>
          <w:sz w:val="32"/>
          <w:szCs w:val="32"/>
        </w:rPr>
      </w:pPr>
      <w:r w:rsidRPr="005352BA">
        <w:rPr>
          <w:b/>
          <w:bCs/>
          <w:sz w:val="32"/>
          <w:szCs w:val="32"/>
        </w:rPr>
        <w:tab/>
      </w:r>
    </w:p>
    <w:p w:rsidR="004E7FCD" w:rsidRDefault="004E7FCD" w:rsidP="004E7FCD">
      <w:pPr>
        <w:spacing w:line="360" w:lineRule="auto"/>
        <w:ind w:right="-432" w:firstLine="708"/>
        <w:jc w:val="both"/>
        <w:rPr>
          <w:bCs/>
        </w:rPr>
      </w:pPr>
      <w:r w:rsidRPr="0036144B">
        <w:rPr>
          <w:bCs/>
        </w:rPr>
        <w:t xml:space="preserve">La période de l’après </w:t>
      </w:r>
      <w:r>
        <w:rPr>
          <w:bCs/>
        </w:rPr>
        <w:t>Seconde</w:t>
      </w:r>
      <w:r w:rsidRPr="0036144B">
        <w:rPr>
          <w:bCs/>
        </w:rPr>
        <w:t xml:space="preserve"> Guerre mondiale ouvre une ère de croissance intense pour la plupart des pays d’Europe occidentale, surtout pour les pays anciennement industrialisés. Cette croissance s’explique par un phénomène de « rattrapage » par rapport à la crise des années 30 et la </w:t>
      </w:r>
      <w:r>
        <w:rPr>
          <w:bCs/>
        </w:rPr>
        <w:t>Seconde G</w:t>
      </w:r>
      <w:r w:rsidRPr="0036144B">
        <w:rPr>
          <w:bCs/>
        </w:rPr>
        <w:t>uerre</w:t>
      </w:r>
      <w:r>
        <w:rPr>
          <w:bCs/>
        </w:rPr>
        <w:t xml:space="preserve"> mondiale</w:t>
      </w:r>
      <w:r w:rsidRPr="0036144B">
        <w:rPr>
          <w:bCs/>
        </w:rPr>
        <w:t>, mais aussi par l’application d’une volonté politique dans le cadre d’une économie mixte, reposant sur des principes keynésiens, de redistribution sociale, sur un arrière-fond de Plan Marshall. Un certain consensus -entre gouvernements, représentants salariaux et d’employeurs- se dessine pour des objectifs de plein emploi, de réduction des inégalités salariales, des politiques de protection sociale et de redistribution. C’est la période des « Trente Glorieuses » ou ailleurs nommée « Silver fifties » et « Golden sixties ». Ces tendances générales n’excluent pas des tensions sociales au sujet de la redistribution de la croissance, ni des tensions sur l’organisation sociale, ni des crises conjoncturelles comme celles de 1957-58 ou 1967 avant le grand coup de frein donné par la crise de 1973. Le terme de « Trente Glorieuses que l’on doit à l’économiste Jean Fourastié est commode, mais en même temps contestable : la prospérité ne dure pas 30 ans, elle n’est pas partagée exactement par toutes les catégories sociales. L’expression est également partie prenante d’un discours survalorisant la croissance et l’industrialisme.</w:t>
      </w:r>
    </w:p>
    <w:p w:rsidR="004E7FCD" w:rsidRPr="0036144B" w:rsidRDefault="004E7FCD" w:rsidP="004E7FCD">
      <w:pPr>
        <w:spacing w:line="360" w:lineRule="auto"/>
        <w:ind w:right="-432" w:firstLine="708"/>
        <w:jc w:val="both"/>
        <w:rPr>
          <w:bCs/>
        </w:rPr>
      </w:pPr>
      <w:r>
        <w:rPr>
          <w:bCs/>
        </w:rPr>
        <w:t>C’est aussi la période pour la France des guerres de décolonisation qui ont un impact important sur les jeunesses car il y a la conscription et pour les finances du pays, ainsi que pour les relations sociales.</w:t>
      </w:r>
    </w:p>
    <w:p w:rsidR="004E7FCD" w:rsidRPr="0036144B" w:rsidRDefault="004E7FCD" w:rsidP="004E7FCD">
      <w:pPr>
        <w:spacing w:line="360" w:lineRule="auto"/>
        <w:ind w:right="-432" w:firstLine="708"/>
        <w:jc w:val="both"/>
        <w:rPr>
          <w:bCs/>
        </w:rPr>
      </w:pPr>
    </w:p>
    <w:p w:rsidR="004E7FCD" w:rsidRDefault="004E7FCD" w:rsidP="004E7FCD">
      <w:pPr>
        <w:spacing w:line="360" w:lineRule="auto"/>
        <w:ind w:right="-432"/>
        <w:jc w:val="both"/>
        <w:rPr>
          <w:b/>
          <w:bCs/>
          <w:sz w:val="28"/>
          <w:szCs w:val="28"/>
        </w:rPr>
      </w:pPr>
      <w:r w:rsidRPr="005352BA">
        <w:rPr>
          <w:b/>
          <w:bCs/>
          <w:sz w:val="28"/>
          <w:szCs w:val="28"/>
        </w:rPr>
        <w:t>I- Croissance industrielle, politique économique, structures de l’emploi et réorganisation du travail</w:t>
      </w:r>
    </w:p>
    <w:p w:rsidR="004E7FCD" w:rsidRPr="005352BA" w:rsidRDefault="004E7FCD" w:rsidP="004E7FCD">
      <w:pPr>
        <w:spacing w:line="360" w:lineRule="auto"/>
        <w:ind w:right="-432"/>
        <w:jc w:val="both"/>
        <w:rPr>
          <w:b/>
          <w:bCs/>
          <w:sz w:val="28"/>
          <w:szCs w:val="28"/>
        </w:rPr>
      </w:pPr>
    </w:p>
    <w:p w:rsidR="004E7FCD" w:rsidRPr="0036144B" w:rsidRDefault="004E7FCD" w:rsidP="004E7FCD">
      <w:pPr>
        <w:spacing w:line="360" w:lineRule="auto"/>
        <w:ind w:right="-432"/>
        <w:jc w:val="both"/>
        <w:rPr>
          <w:bCs/>
        </w:rPr>
      </w:pPr>
      <w:r w:rsidRPr="0036144B">
        <w:rPr>
          <w:bCs/>
        </w:rPr>
        <w:t>La période de 1945-1973 se caractérise par une croissance économique exceptionnelle reposant sur une croissance industrielle jamais égalée et engendrant des transformations spectaculaires dans les sociétés d’Europe occidentale.</w:t>
      </w:r>
    </w:p>
    <w:p w:rsidR="004E7FCD" w:rsidRPr="00250FEF" w:rsidRDefault="004E7FCD" w:rsidP="004E7FCD">
      <w:pPr>
        <w:jc w:val="both"/>
        <w:rPr>
          <w:b/>
          <w:sz w:val="28"/>
          <w:szCs w:val="28"/>
        </w:rPr>
      </w:pPr>
    </w:p>
    <w:p w:rsidR="004E7FCD" w:rsidRDefault="004E7FCD" w:rsidP="004E7FCD">
      <w:pPr>
        <w:jc w:val="both"/>
        <w:rPr>
          <w:b/>
        </w:rPr>
      </w:pPr>
      <w:r w:rsidRPr="00415FA6">
        <w:rPr>
          <w:b/>
        </w:rPr>
        <w:t>1-Le plan Marshall : l’américanisation des sociétés européennes ? 1948-1952)</w:t>
      </w:r>
    </w:p>
    <w:p w:rsidR="004E7FCD" w:rsidRPr="00415FA6" w:rsidRDefault="004E7FCD" w:rsidP="004E7FCD">
      <w:pPr>
        <w:jc w:val="both"/>
        <w:rPr>
          <w:b/>
        </w:rPr>
      </w:pPr>
    </w:p>
    <w:p w:rsidR="004E7FCD" w:rsidRPr="00415FA6" w:rsidRDefault="004E7FCD" w:rsidP="004E7FCD">
      <w:pPr>
        <w:spacing w:line="360" w:lineRule="auto"/>
        <w:jc w:val="both"/>
      </w:pPr>
      <w:r w:rsidRPr="00415FA6">
        <w:lastRenderedPageBreak/>
        <w:t xml:space="preserve">Le plan Marshall a largement contribué à la mutation économique et sociale que connaît l’Europe à partir de 1947-1950. L’aide américaine escomptée par les Européens après-guerre, au vu de leur économie dynamisée par la guerre, tarde à venir et les années 1945-1947 sont très difficiles pour les Européens : efforts de reconstruction, pénuries pour la consommation quotidienne, rationnement et agitation sociale. </w:t>
      </w:r>
    </w:p>
    <w:p w:rsidR="004E7FCD" w:rsidRPr="00415FA6" w:rsidRDefault="004E7FCD" w:rsidP="004E7FCD">
      <w:pPr>
        <w:spacing w:line="360" w:lineRule="auto"/>
        <w:jc w:val="both"/>
      </w:pPr>
      <w:r w:rsidRPr="00415FA6">
        <w:t>Le plan Marshall vient en réponse à la crise de 1947. Il s’agit d’une aide matérielle qui est apportée sous diverses formes aux Européens : produits alimentaires, équipements industriels et agricoles.  Les dons représentent l’essentiel du plan Marshall ; les prêts ne représentent qu’un dixième de cette aide. L’injection de dollars permet aux Européens d’acheter du matériel et des denrées américaines. Le</w:t>
      </w:r>
      <w:r>
        <w:t xml:space="preserve">s Français et les Britanniques </w:t>
      </w:r>
      <w:r w:rsidRPr="00415FA6">
        <w:t>reçoivent prioritairement et massivement cette aide, (un quart chacune), tandis que la RFA n’en perçoit qu’un dixième et l’Italie 15%. L’Espagne, en raison du franquisme n’est pas concernée. C’est aussi un ensemble de valeurs, un mode de vie, un mode de production et de consommation qui sont exportés par les Etats-Unis et qui accompagnent les produits vers l’Europe. L’Amérique apparaît comme une puissance économique moderne et enviable, toute une communication en direction des Européens est développée en ce sens. Cette dimension s’accroit en opposition à l’URSS pendant la Guerre froide. Il apparaît aux Américains que l’accroissement de la productivité et l’élévation du niveau de vie en Europe permettront de lutter efficacement contre le communisme.</w:t>
      </w:r>
    </w:p>
    <w:p w:rsidR="004E7FCD" w:rsidRPr="00415FA6" w:rsidRDefault="004E7FCD" w:rsidP="004E7FCD">
      <w:pPr>
        <w:spacing w:line="360" w:lineRule="auto"/>
        <w:jc w:val="both"/>
      </w:pPr>
      <w:r w:rsidRPr="00415FA6">
        <w:t>Les Américains observent les modes de production européens qu’ils jugent trois à quatre fois inférieurs en productivité par rapport aux Etats-Unis. Ils lancent une campagne de productivité, notamment par des missions d’observation en Europe et en retour par des stages de formation aux Etats-Unis des ingénieurs, des techniciens, des responsables agricoles, des fonctionnaires, aux méthodes américaines de production industrielle et agricole. L’Angleterre et la France sont les deux terrains privilégiés de l’exportation de l’américanisation.</w:t>
      </w:r>
    </w:p>
    <w:p w:rsidR="004E7FCD" w:rsidRPr="00415FA6" w:rsidRDefault="004E7FCD" w:rsidP="004E7FCD">
      <w:pPr>
        <w:spacing w:line="360" w:lineRule="auto"/>
        <w:jc w:val="both"/>
      </w:pPr>
      <w:r w:rsidRPr="00415FA6">
        <w:t>Des</w:t>
      </w:r>
      <w:r>
        <w:t xml:space="preserve"> résistances se manifestent de </w:t>
      </w:r>
      <w:r w:rsidRPr="00415FA6">
        <w:t xml:space="preserve">la part des communistes, mais aussi chez les hauts –fonctionnaires, tous redoutant l’américanisation des sociétés européennes. </w:t>
      </w:r>
    </w:p>
    <w:p w:rsidR="004E7FCD" w:rsidRPr="00415FA6" w:rsidRDefault="004E7FCD" w:rsidP="004E7FCD">
      <w:pPr>
        <w:spacing w:line="360" w:lineRule="auto"/>
        <w:jc w:val="both"/>
      </w:pPr>
      <w:r w:rsidRPr="00415FA6">
        <w:t>L</w:t>
      </w:r>
      <w:r>
        <w:t xml:space="preserve">a modernisation qui en résulte </w:t>
      </w:r>
      <w:r w:rsidRPr="00415FA6">
        <w:t xml:space="preserve">est également le fruit d’une mise en place d’une politique économique nouvelle (en tant que pratique) en France, comme en Angleterre, à savoir la planification.  Le plan Monnet, mis en place en 1947, jusqu’à 1953 (pour coïncider avec le plan Marshall), premier plan de modernisation et d’équipement permet la remise en marche de l’économie française, notamment pour la production de charbon, acier et électricité (une production jamais atteinte auparavant en France) et dans le domaine de l’agriculture, c’est la période de la mécanisation (5 </w:t>
      </w:r>
      <w:r>
        <w:t>fois plus de tracteurs qu’avant-</w:t>
      </w:r>
      <w:r w:rsidRPr="00415FA6">
        <w:t xml:space="preserve">guerre) et de l’entrée dans une agriculture intensive (engrais, nouvelles semences, remembrement). Du côté de la </w:t>
      </w:r>
      <w:r w:rsidRPr="00415FA6">
        <w:lastRenderedPageBreak/>
        <w:t>consommation et du logement, le démarrage est plus lent en France, plus rapide en Angleterre. En G</w:t>
      </w:r>
      <w:r>
        <w:t xml:space="preserve">rande-Bretagne, le </w:t>
      </w:r>
      <w:r w:rsidRPr="000A56DE">
        <w:rPr>
          <w:i/>
          <w:iCs/>
        </w:rPr>
        <w:t xml:space="preserve">New </w:t>
      </w:r>
      <w:r>
        <w:rPr>
          <w:i/>
          <w:iCs/>
        </w:rPr>
        <w:t>T</w:t>
      </w:r>
      <w:r w:rsidRPr="000A56DE">
        <w:rPr>
          <w:i/>
          <w:iCs/>
        </w:rPr>
        <w:t xml:space="preserve">own </w:t>
      </w:r>
      <w:proofErr w:type="spellStart"/>
      <w:r w:rsidRPr="000A56DE">
        <w:rPr>
          <w:i/>
          <w:iCs/>
        </w:rPr>
        <w:t>Act</w:t>
      </w:r>
      <w:proofErr w:type="spellEnd"/>
      <w:r w:rsidRPr="00415FA6">
        <w:t xml:space="preserve"> (création de villes nouvelles et de logements à grande échelle) de 1946 permet la construction de 15 villes nouvelles réalisées en 1947 et 1956.  En France en 1951, la consommation privée dépasse de 7% celle de 1938, mais reste très loin derrière le nouveau modèle américain.</w:t>
      </w:r>
    </w:p>
    <w:p w:rsidR="004E7FCD" w:rsidRPr="00415FA6" w:rsidRDefault="004E7FCD" w:rsidP="004E7FCD">
      <w:pPr>
        <w:jc w:val="both"/>
        <w:rPr>
          <w:b/>
        </w:rPr>
      </w:pPr>
    </w:p>
    <w:p w:rsidR="004E7FCD" w:rsidRPr="0036144B" w:rsidRDefault="004E7FCD" w:rsidP="004E7FCD">
      <w:pPr>
        <w:spacing w:line="360" w:lineRule="auto"/>
        <w:ind w:right="-432"/>
        <w:jc w:val="both"/>
        <w:rPr>
          <w:bCs/>
        </w:rPr>
      </w:pPr>
    </w:p>
    <w:p w:rsidR="004E7FCD" w:rsidRPr="0036144B" w:rsidRDefault="004E7FCD" w:rsidP="004E7FCD">
      <w:pPr>
        <w:spacing w:line="360" w:lineRule="auto"/>
        <w:ind w:right="-432"/>
        <w:jc w:val="both"/>
        <w:rPr>
          <w:b/>
          <w:bCs/>
        </w:rPr>
      </w:pPr>
      <w:r>
        <w:rPr>
          <w:b/>
          <w:bCs/>
        </w:rPr>
        <w:t>2</w:t>
      </w:r>
      <w:r w:rsidRPr="0036144B">
        <w:rPr>
          <w:b/>
          <w:bCs/>
        </w:rPr>
        <w:t xml:space="preserve">) </w:t>
      </w:r>
      <w:r>
        <w:rPr>
          <w:b/>
          <w:bCs/>
        </w:rPr>
        <w:t>« Bataille de la production » et l</w:t>
      </w:r>
      <w:r w:rsidRPr="0036144B">
        <w:rPr>
          <w:b/>
          <w:bCs/>
        </w:rPr>
        <w:t>’usine</w:t>
      </w:r>
      <w:r>
        <w:rPr>
          <w:b/>
          <w:bCs/>
        </w:rPr>
        <w:t xml:space="preserve"> au cœur du dispositif productif. Dualisme industriel.</w:t>
      </w:r>
    </w:p>
    <w:p w:rsidR="004E7FCD" w:rsidRPr="0036144B" w:rsidRDefault="004E7FCD" w:rsidP="004E7FCD">
      <w:pPr>
        <w:spacing w:line="360" w:lineRule="auto"/>
        <w:ind w:right="-432"/>
        <w:jc w:val="both"/>
        <w:rPr>
          <w:bCs/>
        </w:rPr>
      </w:pPr>
      <w:r w:rsidRPr="0036144B">
        <w:rPr>
          <w:bCs/>
        </w:rPr>
        <w:t>Durant la période de reconstruction de l’après-guerre et de modernisation de l’économie</w:t>
      </w:r>
      <w:r>
        <w:rPr>
          <w:bCs/>
        </w:rPr>
        <w:t>,</w:t>
      </w:r>
      <w:r w:rsidRPr="0036144B">
        <w:rPr>
          <w:bCs/>
        </w:rPr>
        <w:t xml:space="preserve"> des transformations importantes se font jour. On assiste tout d’abord côté industrie à une concentration accélérée des lieux de production, notamment lorsqu’il s’agit de reconstruire à partir des destructions de guerre (</w:t>
      </w:r>
      <w:proofErr w:type="spellStart"/>
      <w:r w:rsidRPr="0036144B">
        <w:rPr>
          <w:bCs/>
        </w:rPr>
        <w:t>cf</w:t>
      </w:r>
      <w:proofErr w:type="spellEnd"/>
      <w:r w:rsidRPr="0036144B">
        <w:rPr>
          <w:bCs/>
        </w:rPr>
        <w:t xml:space="preserve"> Aciéries Denain dans le Nord). L’usine devient la norme du travail industriel. C’est tout autant un bâtiment, une architecture, un lieu de production, qu’une collectivité, un lieu de sociabilité, de solidarité, où se forge une culture ouvrière « maison » ou contestatrice.  L’Europe occidentale connaît cette évolution à des degrés divers, mais de façon de plus en plus convergente. La Grande-Bretagne détient la palme avec ses grandes « </w:t>
      </w:r>
      <w:r w:rsidRPr="0036144B">
        <w:rPr>
          <w:bCs/>
          <w:i/>
        </w:rPr>
        <w:t>corporations </w:t>
      </w:r>
      <w:r w:rsidRPr="0036144B">
        <w:rPr>
          <w:bCs/>
        </w:rPr>
        <w:t>» en 1951 : 29% des salariés de l’industrie travaillent dans établissements de plus de 1000 ouvriers, notamment dans des secteurs comme la construction électrique. En 1978 56 % des salariés sont employés dans des entreprises de plus de 2000 salariés. En France : 55% des salariés de l’industrie travaillent dans établissements de plus de 100 salariés ; 29% dans des usines de plus de 500 personnes. La très grande usine s’impose à plus d’un titre en Europe occidentale : Renault-Billancourt dépasse 40 000 ouvriers en 1</w:t>
      </w:r>
      <w:r>
        <w:rPr>
          <w:bCs/>
        </w:rPr>
        <w:t>950, Fiat 60 000 à Turin, Phili</w:t>
      </w:r>
      <w:r w:rsidRPr="0036144B">
        <w:rPr>
          <w:bCs/>
        </w:rPr>
        <w:t>ps 41 000 à Eindhoven (aux Pays Bas). Elle devient dans le langage de l’époque « une forteresse ouvrière » ou un « bastion ouvrier ».</w:t>
      </w:r>
    </w:p>
    <w:p w:rsidR="004E7FCD" w:rsidRPr="0036144B" w:rsidRDefault="004E7FCD" w:rsidP="004E7FCD">
      <w:pPr>
        <w:spacing w:line="360" w:lineRule="auto"/>
        <w:ind w:right="-432"/>
        <w:jc w:val="both"/>
        <w:rPr>
          <w:bCs/>
        </w:rPr>
      </w:pPr>
    </w:p>
    <w:p w:rsidR="004E7FCD" w:rsidRPr="0036144B" w:rsidRDefault="004E7FCD" w:rsidP="004E7FCD">
      <w:pPr>
        <w:ind w:right="-432"/>
        <w:jc w:val="both"/>
        <w:rPr>
          <w:bCs/>
          <w:i/>
        </w:rPr>
      </w:pPr>
      <w:r w:rsidRPr="0036144B">
        <w:rPr>
          <w:b/>
          <w:bCs/>
          <w:u w:val="single"/>
        </w:rPr>
        <w:t xml:space="preserve">Nombre de grandes entreprises en </w:t>
      </w:r>
      <w:proofErr w:type="gramStart"/>
      <w:r w:rsidRPr="0036144B">
        <w:rPr>
          <w:b/>
          <w:bCs/>
          <w:u w:val="single"/>
        </w:rPr>
        <w:t>1953</w:t>
      </w:r>
      <w:r w:rsidRPr="0036144B">
        <w:rPr>
          <w:bCs/>
        </w:rPr>
        <w:t xml:space="preserve"> </w:t>
      </w:r>
      <w:r>
        <w:rPr>
          <w:bCs/>
        </w:rPr>
        <w:t xml:space="preserve"> </w:t>
      </w:r>
      <w:r w:rsidRPr="0036144B">
        <w:rPr>
          <w:bCs/>
        </w:rPr>
        <w:t>(</w:t>
      </w:r>
      <w:proofErr w:type="gramEnd"/>
      <w:r w:rsidRPr="0036144B">
        <w:rPr>
          <w:bCs/>
        </w:rPr>
        <w:t xml:space="preserve">chiffres Y. Cassis, </w:t>
      </w:r>
      <w:r w:rsidRPr="0036144B">
        <w:rPr>
          <w:bCs/>
          <w:i/>
        </w:rPr>
        <w:t>Big Business</w:t>
      </w:r>
      <w:r>
        <w:rPr>
          <w:bCs/>
          <w:i/>
        </w:rPr>
        <w:t xml:space="preserve">: The </w:t>
      </w:r>
      <w:proofErr w:type="spellStart"/>
      <w:r>
        <w:rPr>
          <w:bCs/>
          <w:i/>
        </w:rPr>
        <w:t>european</w:t>
      </w:r>
      <w:proofErr w:type="spellEnd"/>
      <w:r>
        <w:rPr>
          <w:bCs/>
          <w:i/>
        </w:rPr>
        <w:t xml:space="preserve"> </w:t>
      </w:r>
      <w:proofErr w:type="spellStart"/>
      <w:r>
        <w:rPr>
          <w:bCs/>
          <w:i/>
        </w:rPr>
        <w:t>experience</w:t>
      </w:r>
      <w:proofErr w:type="spellEnd"/>
      <w:r>
        <w:rPr>
          <w:bCs/>
          <w:i/>
        </w:rPr>
        <w:t xml:space="preserve"> in the </w:t>
      </w:r>
      <w:proofErr w:type="spellStart"/>
      <w:r>
        <w:rPr>
          <w:bCs/>
          <w:i/>
        </w:rPr>
        <w:t>twentieth</w:t>
      </w:r>
      <w:proofErr w:type="spellEnd"/>
      <w:r>
        <w:rPr>
          <w:bCs/>
          <w:i/>
        </w:rPr>
        <w:t xml:space="preserve"> century, Oxford, </w:t>
      </w:r>
      <w:proofErr w:type="spellStart"/>
      <w:r>
        <w:rPr>
          <w:bCs/>
          <w:i/>
        </w:rPr>
        <w:t>university</w:t>
      </w:r>
      <w:proofErr w:type="spellEnd"/>
      <w:r>
        <w:rPr>
          <w:bCs/>
          <w:i/>
        </w:rPr>
        <w:t xml:space="preserve"> </w:t>
      </w:r>
      <w:proofErr w:type="spellStart"/>
      <w:r>
        <w:rPr>
          <w:bCs/>
          <w:i/>
        </w:rPr>
        <w:t>Press</w:t>
      </w:r>
      <w:proofErr w:type="spellEnd"/>
      <w:r>
        <w:rPr>
          <w:bCs/>
          <w:i/>
        </w:rPr>
        <w:t>, 1998)</w:t>
      </w:r>
    </w:p>
    <w:p w:rsidR="004E7FCD" w:rsidRPr="0036144B" w:rsidRDefault="004E7FCD" w:rsidP="004E7FCD">
      <w:pPr>
        <w:spacing w:line="360" w:lineRule="auto"/>
        <w:ind w:right="-432"/>
        <w:jc w:val="both"/>
        <w:rPr>
          <w:bCs/>
        </w:rPr>
      </w:pPr>
      <w:r w:rsidRPr="0036144B">
        <w:rPr>
          <w:bCs/>
        </w:rPr>
        <w:tab/>
      </w:r>
      <w:r w:rsidRPr="0036144B">
        <w:rPr>
          <w:bCs/>
        </w:rPr>
        <w:tab/>
      </w:r>
      <w:r w:rsidRPr="0036144B">
        <w:rPr>
          <w:bCs/>
        </w:rPr>
        <w:tab/>
      </w:r>
      <w:r w:rsidRPr="0036144B">
        <w:rPr>
          <w:bCs/>
        </w:rPr>
        <w:tab/>
      </w:r>
      <w:r w:rsidRPr="0036144B">
        <w:rPr>
          <w:bCs/>
        </w:rPr>
        <w:tab/>
      </w:r>
      <w:r w:rsidRPr="0036144B">
        <w:rPr>
          <w:bCs/>
        </w:rPr>
        <w:tab/>
        <w:t xml:space="preserve">      Angleterre     </w:t>
      </w:r>
      <w:r>
        <w:rPr>
          <w:bCs/>
        </w:rPr>
        <w:t xml:space="preserve">    </w:t>
      </w:r>
      <w:r w:rsidRPr="0036144B">
        <w:rPr>
          <w:bCs/>
        </w:rPr>
        <w:t xml:space="preserve">France      </w:t>
      </w:r>
      <w:r>
        <w:rPr>
          <w:bCs/>
        </w:rPr>
        <w:t xml:space="preserve">         </w:t>
      </w:r>
      <w:r w:rsidRPr="0036144B">
        <w:rPr>
          <w:bCs/>
        </w:rPr>
        <w:t xml:space="preserve"> RFA</w:t>
      </w:r>
    </w:p>
    <w:p w:rsidR="004E7FCD" w:rsidRPr="0036144B" w:rsidRDefault="004E7FCD" w:rsidP="004E7FCD">
      <w:pPr>
        <w:spacing w:line="360" w:lineRule="auto"/>
        <w:ind w:right="-432"/>
        <w:jc w:val="both"/>
        <w:rPr>
          <w:bCs/>
        </w:rPr>
      </w:pPr>
      <w:r w:rsidRPr="0036144B">
        <w:rPr>
          <w:bCs/>
        </w:rPr>
        <w:t xml:space="preserve">Au capital supérieur à 5 millions de £   </w:t>
      </w:r>
      <w:r w:rsidRPr="0036144B">
        <w:rPr>
          <w:bCs/>
        </w:rPr>
        <w:tab/>
      </w:r>
      <w:r>
        <w:rPr>
          <w:bCs/>
        </w:rPr>
        <w:tab/>
      </w:r>
      <w:r w:rsidRPr="0036144B">
        <w:rPr>
          <w:bCs/>
        </w:rPr>
        <w:t xml:space="preserve">153                </w:t>
      </w:r>
      <w:r>
        <w:rPr>
          <w:bCs/>
        </w:rPr>
        <w:t xml:space="preserve">   </w:t>
      </w:r>
      <w:r w:rsidRPr="0036144B">
        <w:rPr>
          <w:bCs/>
        </w:rPr>
        <w:t>12</w:t>
      </w:r>
      <w:r w:rsidRPr="0036144B">
        <w:rPr>
          <w:bCs/>
        </w:rPr>
        <w:tab/>
      </w:r>
      <w:r w:rsidRPr="0036144B">
        <w:rPr>
          <w:bCs/>
        </w:rPr>
        <w:tab/>
        <w:t>67</w:t>
      </w:r>
    </w:p>
    <w:p w:rsidR="004E7FCD" w:rsidRPr="0036144B" w:rsidRDefault="004E7FCD" w:rsidP="004E7FCD">
      <w:pPr>
        <w:spacing w:line="360" w:lineRule="auto"/>
        <w:ind w:right="-432"/>
        <w:jc w:val="both"/>
        <w:rPr>
          <w:bCs/>
        </w:rPr>
      </w:pPr>
      <w:r w:rsidRPr="0036144B">
        <w:rPr>
          <w:bCs/>
        </w:rPr>
        <w:t>Employant plus de 10 000 personnes</w:t>
      </w:r>
      <w:proofErr w:type="gramStart"/>
      <w:r w:rsidRPr="0036144B">
        <w:rPr>
          <w:bCs/>
        </w:rPr>
        <w:tab/>
        <w:t xml:space="preserve">  </w:t>
      </w:r>
      <w:r w:rsidRPr="0036144B">
        <w:rPr>
          <w:bCs/>
        </w:rPr>
        <w:tab/>
      </w:r>
      <w:proofErr w:type="gramEnd"/>
      <w:r>
        <w:rPr>
          <w:bCs/>
        </w:rPr>
        <w:tab/>
        <w:t xml:space="preserve">  </w:t>
      </w:r>
      <w:r w:rsidRPr="0036144B">
        <w:rPr>
          <w:bCs/>
        </w:rPr>
        <w:t>65</w:t>
      </w:r>
      <w:r w:rsidRPr="0036144B">
        <w:rPr>
          <w:bCs/>
        </w:rPr>
        <w:tab/>
      </w:r>
      <w:r w:rsidRPr="0036144B">
        <w:rPr>
          <w:bCs/>
        </w:rPr>
        <w:tab/>
        <w:t xml:space="preserve">  20</w:t>
      </w:r>
      <w:r w:rsidRPr="0036144B">
        <w:rPr>
          <w:bCs/>
        </w:rPr>
        <w:tab/>
      </w:r>
      <w:r w:rsidRPr="0036144B">
        <w:rPr>
          <w:bCs/>
        </w:rPr>
        <w:tab/>
        <w:t>26</w:t>
      </w:r>
    </w:p>
    <w:p w:rsidR="004E7FCD" w:rsidRPr="00761907" w:rsidRDefault="004E7FCD" w:rsidP="004E7FCD">
      <w:pPr>
        <w:spacing w:line="360" w:lineRule="auto"/>
        <w:ind w:right="-432"/>
        <w:jc w:val="both"/>
        <w:rPr>
          <w:bCs/>
          <w:i/>
        </w:rPr>
      </w:pPr>
      <w:r w:rsidRPr="00761907">
        <w:rPr>
          <w:b/>
          <w:bCs/>
          <w:u w:val="single"/>
        </w:rPr>
        <w:t>Nombre de grandes entreprises en 1972</w:t>
      </w:r>
      <w:proofErr w:type="gramStart"/>
      <w:r w:rsidRPr="00761907">
        <w:rPr>
          <w:b/>
          <w:bCs/>
          <w:u w:val="single"/>
        </w:rPr>
        <w:t xml:space="preserve"> </w:t>
      </w:r>
      <w:r w:rsidRPr="00761907">
        <w:rPr>
          <w:bCs/>
        </w:rPr>
        <w:t xml:space="preserve">  (</w:t>
      </w:r>
      <w:proofErr w:type="gramEnd"/>
      <w:r w:rsidRPr="00761907">
        <w:rPr>
          <w:bCs/>
        </w:rPr>
        <w:t xml:space="preserve">chiffres Y. Cassis, </w:t>
      </w:r>
      <w:r w:rsidRPr="00761907">
        <w:rPr>
          <w:bCs/>
          <w:i/>
        </w:rPr>
        <w:t xml:space="preserve">Big Business: The </w:t>
      </w:r>
      <w:proofErr w:type="spellStart"/>
      <w:r w:rsidRPr="00761907">
        <w:rPr>
          <w:bCs/>
          <w:i/>
        </w:rPr>
        <w:t>european</w:t>
      </w:r>
      <w:proofErr w:type="spellEnd"/>
      <w:r w:rsidRPr="00761907">
        <w:rPr>
          <w:bCs/>
          <w:i/>
        </w:rPr>
        <w:t xml:space="preserve"> </w:t>
      </w:r>
      <w:proofErr w:type="spellStart"/>
      <w:r w:rsidRPr="00761907">
        <w:rPr>
          <w:bCs/>
          <w:i/>
        </w:rPr>
        <w:t>experience</w:t>
      </w:r>
      <w:proofErr w:type="spellEnd"/>
      <w:r w:rsidRPr="00761907">
        <w:rPr>
          <w:bCs/>
          <w:i/>
        </w:rPr>
        <w:t xml:space="preserve"> in the </w:t>
      </w:r>
      <w:proofErr w:type="spellStart"/>
      <w:r w:rsidRPr="00761907">
        <w:rPr>
          <w:bCs/>
          <w:i/>
        </w:rPr>
        <w:t>twentieth</w:t>
      </w:r>
      <w:proofErr w:type="spellEnd"/>
      <w:r w:rsidRPr="00761907">
        <w:rPr>
          <w:bCs/>
          <w:i/>
        </w:rPr>
        <w:t xml:space="preserve"> century, Oxford, </w:t>
      </w:r>
      <w:proofErr w:type="spellStart"/>
      <w:r w:rsidRPr="00761907">
        <w:rPr>
          <w:bCs/>
          <w:i/>
        </w:rPr>
        <w:t>university</w:t>
      </w:r>
      <w:proofErr w:type="spellEnd"/>
      <w:r w:rsidRPr="00761907">
        <w:rPr>
          <w:bCs/>
          <w:i/>
        </w:rPr>
        <w:t xml:space="preserve"> </w:t>
      </w:r>
      <w:proofErr w:type="spellStart"/>
      <w:r w:rsidRPr="00761907">
        <w:rPr>
          <w:bCs/>
          <w:i/>
        </w:rPr>
        <w:t>Press</w:t>
      </w:r>
      <w:proofErr w:type="spellEnd"/>
      <w:r w:rsidRPr="00761907">
        <w:rPr>
          <w:bCs/>
          <w:i/>
        </w:rPr>
        <w:t>, 19</w:t>
      </w:r>
      <w:r>
        <w:rPr>
          <w:bCs/>
          <w:i/>
        </w:rPr>
        <w:t>98)</w:t>
      </w:r>
    </w:p>
    <w:p w:rsidR="004E7FCD" w:rsidRPr="0036144B" w:rsidRDefault="004E7FCD" w:rsidP="004E7FCD">
      <w:pPr>
        <w:spacing w:line="360" w:lineRule="auto"/>
        <w:ind w:right="-432"/>
        <w:jc w:val="both"/>
        <w:rPr>
          <w:bCs/>
        </w:rPr>
      </w:pPr>
      <w:r w:rsidRPr="00761907">
        <w:rPr>
          <w:bCs/>
        </w:rPr>
        <w:tab/>
      </w:r>
      <w:r w:rsidRPr="00761907">
        <w:rPr>
          <w:bCs/>
        </w:rPr>
        <w:tab/>
      </w:r>
      <w:r w:rsidRPr="00761907">
        <w:rPr>
          <w:bCs/>
        </w:rPr>
        <w:tab/>
      </w:r>
      <w:r w:rsidRPr="00761907">
        <w:rPr>
          <w:bCs/>
        </w:rPr>
        <w:tab/>
      </w:r>
      <w:r w:rsidRPr="00761907">
        <w:rPr>
          <w:bCs/>
        </w:rPr>
        <w:tab/>
      </w:r>
      <w:r w:rsidRPr="00761907">
        <w:rPr>
          <w:bCs/>
        </w:rPr>
        <w:tab/>
        <w:t xml:space="preserve">         </w:t>
      </w:r>
      <w:r w:rsidRPr="0036144B">
        <w:rPr>
          <w:bCs/>
        </w:rPr>
        <w:t xml:space="preserve">Angleterre     </w:t>
      </w:r>
      <w:r>
        <w:rPr>
          <w:bCs/>
        </w:rPr>
        <w:t xml:space="preserve">      </w:t>
      </w:r>
      <w:r w:rsidRPr="0036144B">
        <w:rPr>
          <w:bCs/>
        </w:rPr>
        <w:t xml:space="preserve">France     </w:t>
      </w:r>
      <w:r>
        <w:rPr>
          <w:bCs/>
        </w:rPr>
        <w:t xml:space="preserve">  </w:t>
      </w:r>
      <w:r w:rsidRPr="0036144B">
        <w:rPr>
          <w:bCs/>
        </w:rPr>
        <w:t xml:space="preserve">  RFA</w:t>
      </w:r>
    </w:p>
    <w:p w:rsidR="004E7FCD" w:rsidRDefault="004E7FCD" w:rsidP="004E7FCD">
      <w:pPr>
        <w:spacing w:line="360" w:lineRule="auto"/>
        <w:ind w:right="-432"/>
        <w:jc w:val="both"/>
        <w:rPr>
          <w:bCs/>
        </w:rPr>
      </w:pPr>
      <w:r w:rsidRPr="0036144B">
        <w:rPr>
          <w:bCs/>
        </w:rPr>
        <w:t>Employant plus de 10 000 personnes</w:t>
      </w:r>
      <w:r w:rsidRPr="0036144B">
        <w:rPr>
          <w:bCs/>
        </w:rPr>
        <w:tab/>
        <w:t xml:space="preserve">          </w:t>
      </w:r>
      <w:r>
        <w:rPr>
          <w:bCs/>
        </w:rPr>
        <w:t xml:space="preserve">               </w:t>
      </w:r>
      <w:r w:rsidRPr="0036144B">
        <w:rPr>
          <w:bCs/>
        </w:rPr>
        <w:t xml:space="preserve"> 160                  62</w:t>
      </w:r>
      <w:r w:rsidRPr="0036144B">
        <w:rPr>
          <w:bCs/>
        </w:rPr>
        <w:tab/>
      </w:r>
      <w:r w:rsidRPr="0036144B">
        <w:rPr>
          <w:bCs/>
        </w:rPr>
        <w:tab/>
        <w:t>102</w:t>
      </w:r>
      <w:r w:rsidRPr="0036144B">
        <w:rPr>
          <w:bCs/>
        </w:rPr>
        <w:tab/>
      </w:r>
    </w:p>
    <w:p w:rsidR="004E7FCD" w:rsidRPr="0036144B" w:rsidRDefault="004E7FCD" w:rsidP="004E7FCD">
      <w:pPr>
        <w:spacing w:line="360" w:lineRule="auto"/>
        <w:ind w:right="-432"/>
        <w:jc w:val="both"/>
        <w:rPr>
          <w:bCs/>
        </w:rPr>
      </w:pPr>
    </w:p>
    <w:p w:rsidR="004E7FCD" w:rsidRPr="0036144B" w:rsidRDefault="004E7FCD" w:rsidP="004E7FCD">
      <w:pPr>
        <w:spacing w:line="360" w:lineRule="auto"/>
        <w:ind w:right="-432"/>
        <w:jc w:val="both"/>
        <w:rPr>
          <w:bCs/>
        </w:rPr>
      </w:pPr>
    </w:p>
    <w:p w:rsidR="004E7FCD" w:rsidRPr="0036144B" w:rsidRDefault="004E7FCD" w:rsidP="004E7FCD">
      <w:pPr>
        <w:spacing w:line="360" w:lineRule="auto"/>
        <w:ind w:right="-432"/>
        <w:jc w:val="both"/>
        <w:rPr>
          <w:b/>
          <w:bCs/>
        </w:rPr>
      </w:pPr>
      <w:r>
        <w:rPr>
          <w:b/>
          <w:bCs/>
        </w:rPr>
        <w:t>a</w:t>
      </w:r>
      <w:r w:rsidRPr="0036144B">
        <w:rPr>
          <w:b/>
          <w:bCs/>
        </w:rPr>
        <w:t>) La transformation du</w:t>
      </w:r>
      <w:r>
        <w:rPr>
          <w:b/>
          <w:bCs/>
        </w:rPr>
        <w:t xml:space="preserve"> travail dans l’industrie </w:t>
      </w:r>
      <w:r w:rsidRPr="0036144B">
        <w:rPr>
          <w:b/>
          <w:bCs/>
        </w:rPr>
        <w:t xml:space="preserve">et les enjeux sociaux de la modernisation : </w:t>
      </w:r>
    </w:p>
    <w:p w:rsidR="004E7FCD" w:rsidRPr="0036144B" w:rsidRDefault="004E7FCD" w:rsidP="004E7FCD">
      <w:pPr>
        <w:spacing w:line="360" w:lineRule="auto"/>
        <w:ind w:right="-432"/>
        <w:jc w:val="both"/>
        <w:rPr>
          <w:bCs/>
        </w:rPr>
      </w:pPr>
      <w:r w:rsidRPr="0036144B">
        <w:rPr>
          <w:bCs/>
        </w:rPr>
        <w:t>La rationalisation de l’industrie s’est largement opérée dans les années 20 dans les secteurs modernes et nouveaux ; l’OST (l’Organisation scientifique du travail) ne gagne l’ensemble des industries que dans les années 60. Le travail à la chaîne en France a tardé à se mettr</w:t>
      </w:r>
      <w:r>
        <w:rPr>
          <w:bCs/>
        </w:rPr>
        <w:t xml:space="preserve">e en place ; en 1970 seulement </w:t>
      </w:r>
      <w:r w:rsidRPr="0036144B">
        <w:rPr>
          <w:bCs/>
        </w:rPr>
        <w:t>8% des ouvriers travaillent sur une chaîne, moins de 50% des ouvriers ont un poste sur machine. Toutefois, on observe en Italie comme en France, après le mouvement des années 68 et suivantes, un renforcement de la taylorisation. Tandis que cette organisation taylorienne a été vivement critiquée par les mouvements de contestation ; elle est l’une des réponses patronales à l’agitation ouvrière et au turn-over de la main d’œuvre non qualifiée.</w:t>
      </w:r>
    </w:p>
    <w:p w:rsidR="004E7FCD" w:rsidRPr="00266A09" w:rsidRDefault="004E7FCD" w:rsidP="004E7FCD">
      <w:pPr>
        <w:spacing w:line="360" w:lineRule="auto"/>
        <w:jc w:val="both"/>
        <w:rPr>
          <w:color w:val="660099"/>
        </w:rPr>
      </w:pPr>
      <w:r w:rsidRPr="0036144B">
        <w:rPr>
          <w:bCs/>
        </w:rPr>
        <w:t xml:space="preserve">La concentration a favorisé une mécanisation et une rationalisation accrues. Les missions de productivité aux Etats-Unis se multiplient et facilitent l’adoption du modèle américain en Europe occidentale. Toutefois, la rationalité ne l’emporte pas partout et les conditions de travail restent dans beaucoup d’endroits similaires à celles des périodes précédentes : le bruit, la saleté, la place obsédante de la machine ou l’utilisation de produits dangereux sont le quotidien de beaucoup d’ouvriers et d’ouvrières. Voir le film d’Hervé Le Roux, </w:t>
      </w:r>
      <w:r w:rsidRPr="0036144B">
        <w:rPr>
          <w:bCs/>
          <w:i/>
        </w:rPr>
        <w:t xml:space="preserve">Reprise, </w:t>
      </w:r>
      <w:r w:rsidRPr="0036144B">
        <w:rPr>
          <w:bCs/>
        </w:rPr>
        <w:t xml:space="preserve">sur l’usine Wonder à St-Ouen (documentaire de 1997, reprenant film 1968, voir </w:t>
      </w:r>
      <w:r>
        <w:rPr>
          <w:bCs/>
        </w:rPr>
        <w:t xml:space="preserve">le </w:t>
      </w:r>
      <w:r w:rsidRPr="0036144B">
        <w:rPr>
          <w:bCs/>
        </w:rPr>
        <w:t>lien internet</w:t>
      </w:r>
      <w:r w:rsidRPr="00266A09">
        <w:fldChar w:fldCharType="begin"/>
      </w:r>
      <w:r w:rsidRPr="00266A09">
        <w:instrText xml:space="preserve"> HYPERLINK "https://www.google.com/url?sa=t&amp;rct=j&amp;q=&amp;esrc=s&amp;source=web&amp;cd=11&amp;ved=2ahUKEwivs4GKg-roAhUHJhoKHfHkD_UQFjAKegQIARAB&amp;url=https%3A%2F%2Fwww.aphg.fr%2FReprise-Un-film-d-Herve-Le-Roux-version-restauree&amp;usg=AOvVaw26HgJ0CpB_OZdApEjCvgnu" </w:instrText>
      </w:r>
      <w:r w:rsidRPr="00266A09">
        <w:fldChar w:fldCharType="separate"/>
      </w:r>
      <w:r w:rsidRPr="00266A09">
        <w:rPr>
          <w:color w:val="660099"/>
        </w:rPr>
        <w:br/>
      </w:r>
      <w:r w:rsidRPr="00266A09">
        <w:rPr>
          <w:color w:val="660099"/>
          <w:sz w:val="30"/>
          <w:szCs w:val="30"/>
        </w:rPr>
        <w:t>Reprise. Un film d'Hervé Le Roux (version restaurée) - APHG</w:t>
      </w:r>
    </w:p>
    <w:p w:rsidR="004E7FCD" w:rsidRPr="00266A09" w:rsidRDefault="004E7FCD" w:rsidP="004E7FCD">
      <w:pPr>
        <w:rPr>
          <w:color w:val="660099"/>
        </w:rPr>
      </w:pPr>
      <w:r w:rsidRPr="00266A09">
        <w:rPr>
          <w:color w:val="3C4043"/>
          <w:sz w:val="21"/>
          <w:szCs w:val="21"/>
        </w:rPr>
        <w:t>www.aphg.fr › Reprise-Un-film-d-Herve-Le-Roux-version-</w:t>
      </w:r>
      <w:proofErr w:type="spellStart"/>
      <w:r w:rsidRPr="00266A09">
        <w:rPr>
          <w:color w:val="3C4043"/>
          <w:sz w:val="21"/>
          <w:szCs w:val="21"/>
        </w:rPr>
        <w:t>restauree</w:t>
      </w:r>
      <w:proofErr w:type="spellEnd"/>
    </w:p>
    <w:p w:rsidR="004E7FCD" w:rsidRPr="00266A09" w:rsidRDefault="004E7FCD" w:rsidP="004E7FCD">
      <w:r w:rsidRPr="00266A09">
        <w:fldChar w:fldCharType="end"/>
      </w:r>
      <w:r w:rsidRPr="00266A09">
        <w:rPr>
          <w:bCs/>
        </w:rPr>
        <w:t xml:space="preserve"> </w:t>
      </w:r>
    </w:p>
    <w:p w:rsidR="004E7FCD" w:rsidRPr="0036144B" w:rsidRDefault="004E7FCD" w:rsidP="004E7FCD">
      <w:pPr>
        <w:spacing w:line="360" w:lineRule="auto"/>
        <w:ind w:right="-432"/>
        <w:jc w:val="both"/>
        <w:rPr>
          <w:bCs/>
        </w:rPr>
      </w:pPr>
      <w:r w:rsidRPr="0036144B">
        <w:rPr>
          <w:bCs/>
        </w:rPr>
        <w:t>La distinction opérée dans l’entre-deux-guerres par la rationalis</w:t>
      </w:r>
      <w:r>
        <w:rPr>
          <w:bCs/>
        </w:rPr>
        <w:t>ation, entre OS (ouvrier spécialisé) et OP (ouvrier p</w:t>
      </w:r>
      <w:r w:rsidRPr="0036144B">
        <w:rPr>
          <w:bCs/>
        </w:rPr>
        <w:t>rofessi</w:t>
      </w:r>
      <w:r>
        <w:rPr>
          <w:bCs/>
        </w:rPr>
        <w:t>onnel) ou OQ (ouvrier qualifié)</w:t>
      </w:r>
      <w:r w:rsidRPr="0036144B">
        <w:rPr>
          <w:bCs/>
        </w:rPr>
        <w:t xml:space="preserve"> se maintient. Au sein des OS, la proportion de femmes augmente, tout comme celle des travailleurs immigrés qui désorm</w:t>
      </w:r>
      <w:r>
        <w:rPr>
          <w:bCs/>
        </w:rPr>
        <w:t>ais viennent surtout du Maghreb ; ce sont les ouvriers les moins bien payés.</w:t>
      </w:r>
    </w:p>
    <w:p w:rsidR="004E7FCD" w:rsidRPr="0036144B" w:rsidRDefault="004E7FCD" w:rsidP="004E7FCD">
      <w:pPr>
        <w:spacing w:line="360" w:lineRule="auto"/>
        <w:ind w:right="-432"/>
        <w:jc w:val="both"/>
        <w:rPr>
          <w:bCs/>
        </w:rPr>
      </w:pPr>
      <w:r w:rsidRPr="0036144B">
        <w:rPr>
          <w:bCs/>
        </w:rPr>
        <w:t>En termes de formation professionnelle, l’Allemagne et le Royaume-Uni ont adopté la formation en alternance, avec une forte implication des entreprises. Tandis qu’en France jusqu’aux années 70, la formation se fait par un enseignement à plein temps dans les centres d’apprentissage. Les écoles professionnelles allemandes ou les cours du soir anglais permettent une formation à l’âge adulte qui favorise la mobilité. Ces systèmes sont davantage développés dans l’Europe du Nord que celle du sud.</w:t>
      </w:r>
    </w:p>
    <w:p w:rsidR="004E7FCD" w:rsidRDefault="004E7FCD" w:rsidP="004E7FCD">
      <w:pPr>
        <w:spacing w:line="360" w:lineRule="auto"/>
        <w:ind w:right="-432"/>
        <w:jc w:val="both"/>
        <w:rPr>
          <w:bCs/>
        </w:rPr>
      </w:pPr>
      <w:r w:rsidRPr="0036144B">
        <w:rPr>
          <w:bCs/>
        </w:rPr>
        <w:t xml:space="preserve">On assiste de l’après-guerre aux années 70 à une réduction du travail autonome et à une expansion du salariat. Ce recul est dû à la disparition de nombreuses exploitations agricoles, à la croissance du secteur public avec le développement du </w:t>
      </w:r>
      <w:proofErr w:type="spellStart"/>
      <w:r w:rsidRPr="0036144B">
        <w:rPr>
          <w:bCs/>
        </w:rPr>
        <w:t>Welfare</w:t>
      </w:r>
      <w:proofErr w:type="spellEnd"/>
      <w:r w:rsidRPr="0036144B">
        <w:rPr>
          <w:bCs/>
        </w:rPr>
        <w:t xml:space="preserve">-State. </w:t>
      </w:r>
    </w:p>
    <w:p w:rsidR="004E7FCD" w:rsidRDefault="004E7FCD" w:rsidP="004E7FCD">
      <w:pPr>
        <w:spacing w:line="360" w:lineRule="auto"/>
        <w:ind w:right="-432"/>
        <w:jc w:val="both"/>
        <w:rPr>
          <w:bCs/>
        </w:rPr>
      </w:pPr>
    </w:p>
    <w:p w:rsidR="004E7FCD" w:rsidRPr="0036144B" w:rsidRDefault="004E7FCD" w:rsidP="004E7FCD">
      <w:pPr>
        <w:spacing w:line="360" w:lineRule="auto"/>
        <w:ind w:right="-432"/>
        <w:jc w:val="both"/>
        <w:rPr>
          <w:bCs/>
        </w:rPr>
      </w:pPr>
    </w:p>
    <w:p w:rsidR="004E7FCD" w:rsidRDefault="004E7FCD" w:rsidP="004E7FCD">
      <w:pPr>
        <w:spacing w:line="360" w:lineRule="auto"/>
        <w:ind w:right="-432"/>
        <w:jc w:val="both"/>
        <w:rPr>
          <w:bCs/>
        </w:rPr>
      </w:pPr>
      <w:proofErr w:type="gramStart"/>
      <w:r>
        <w:rPr>
          <w:b/>
          <w:bCs/>
        </w:rPr>
        <w:t>b</w:t>
      </w:r>
      <w:proofErr w:type="gramEnd"/>
      <w:r w:rsidRPr="0036144B">
        <w:rPr>
          <w:b/>
          <w:bCs/>
        </w:rPr>
        <w:t>- Le dualisme industriel </w:t>
      </w:r>
      <w:r w:rsidRPr="0036144B">
        <w:rPr>
          <w:bCs/>
        </w:rPr>
        <w:t>: La concentration n’exclut cependant pas la perpétuation des entreprises de moyennes et petites tailles en même temps que grossissent les très grandes entreprises. On nomme ce phénomène –qui s’est développé lor</w:t>
      </w:r>
      <w:r>
        <w:rPr>
          <w:bCs/>
        </w:rPr>
        <w:t>s de l’industrialisation du XIX</w:t>
      </w:r>
      <w:r w:rsidRPr="00266A09">
        <w:rPr>
          <w:bCs/>
          <w:vertAlign w:val="superscript"/>
        </w:rPr>
        <w:t>e</w:t>
      </w:r>
      <w:r>
        <w:rPr>
          <w:bCs/>
        </w:rPr>
        <w:t xml:space="preserve"> </w:t>
      </w:r>
      <w:r w:rsidRPr="0036144B">
        <w:rPr>
          <w:bCs/>
        </w:rPr>
        <w:t>s p</w:t>
      </w:r>
      <w:r>
        <w:rPr>
          <w:bCs/>
        </w:rPr>
        <w:t xml:space="preserve">articulièrement en France – le </w:t>
      </w:r>
      <w:r w:rsidRPr="0036144B">
        <w:rPr>
          <w:bCs/>
        </w:rPr>
        <w:t>« dualisme industriel ». C’est</w:t>
      </w:r>
      <w:r w:rsidRPr="0036144B">
        <w:rPr>
          <w:b/>
          <w:bCs/>
        </w:rPr>
        <w:t xml:space="preserve"> </w:t>
      </w:r>
      <w:r w:rsidRPr="0036144B">
        <w:rPr>
          <w:bCs/>
        </w:rPr>
        <w:t xml:space="preserve">en Grande-Bretagne que la part de la petite entreprise est la plus réduite : 2% de la main d’œuvre. En Allemagne de l’Ouest et en France, la situation est intermédiaire : 10 à 12% de la main d’œuvre industrielle travaillent dans des petites entreprises </w:t>
      </w:r>
      <w:r>
        <w:rPr>
          <w:bCs/>
        </w:rPr>
        <w:t>en 1970. En Grèce, c’est 55% en</w:t>
      </w:r>
      <w:r w:rsidRPr="0036144B">
        <w:rPr>
          <w:bCs/>
        </w:rPr>
        <w:t xml:space="preserve"> Italie et Espagne, c’est 25% de la main d’œuvre qui travaillent dans des micro-entreprises en 1970.</w:t>
      </w:r>
    </w:p>
    <w:p w:rsidR="004E7FCD" w:rsidRDefault="004E7FCD" w:rsidP="004E7FCD">
      <w:pPr>
        <w:spacing w:line="360" w:lineRule="auto"/>
        <w:ind w:right="-432"/>
        <w:jc w:val="both"/>
        <w:rPr>
          <w:bCs/>
        </w:rPr>
      </w:pPr>
    </w:p>
    <w:p w:rsidR="004E7FCD" w:rsidRPr="0036144B" w:rsidRDefault="004E7FCD" w:rsidP="004E7FCD">
      <w:pPr>
        <w:spacing w:line="360" w:lineRule="auto"/>
        <w:ind w:right="-432"/>
        <w:jc w:val="both"/>
        <w:rPr>
          <w:bCs/>
        </w:rPr>
      </w:pPr>
      <w:proofErr w:type="gramStart"/>
      <w:r>
        <w:rPr>
          <w:b/>
          <w:bCs/>
        </w:rPr>
        <w:t>c</w:t>
      </w:r>
      <w:proofErr w:type="gramEnd"/>
      <w:r w:rsidRPr="0036144B">
        <w:rPr>
          <w:b/>
          <w:bCs/>
        </w:rPr>
        <w:t>- Le « district industriel » :</w:t>
      </w:r>
    </w:p>
    <w:p w:rsidR="004E7FCD" w:rsidRPr="0036144B" w:rsidRDefault="004E7FCD" w:rsidP="004E7FCD">
      <w:pPr>
        <w:spacing w:line="360" w:lineRule="auto"/>
        <w:ind w:right="-432"/>
        <w:jc w:val="both"/>
        <w:rPr>
          <w:bCs/>
        </w:rPr>
      </w:pPr>
      <w:r w:rsidRPr="0036144B">
        <w:rPr>
          <w:bCs/>
        </w:rPr>
        <w:t>Parmi les transformations industrielles des années 70 et au-delà, émergent la notion de « district industriel »</w:t>
      </w:r>
      <w:r w:rsidRPr="0036144B">
        <w:rPr>
          <w:b/>
          <w:bCs/>
        </w:rPr>
        <w:t xml:space="preserve"> </w:t>
      </w:r>
      <w:r w:rsidRPr="0036144B">
        <w:rPr>
          <w:bCs/>
        </w:rPr>
        <w:t>dans lequel se multiplient les liens de complémentarité entre grandes, petites et moyennes entreprises, notamment dans des liens de sous-traitance, d’externalisation ou encore d’essaimage de grandes entreprises, assurant une flexibilité particulièrement recherchée dans les périodes de crise. A côté de la petite entreprise, à moindre coût de</w:t>
      </w:r>
      <w:r>
        <w:rPr>
          <w:bCs/>
        </w:rPr>
        <w:t xml:space="preserve"> travail et traditionnelle, se </w:t>
      </w:r>
      <w:r w:rsidRPr="0036144B">
        <w:rPr>
          <w:bCs/>
        </w:rPr>
        <w:t xml:space="preserve">développe une petite entreprise très moderne, très performante. Ce dualisme est particulièrement représentatif du tissu industriel ou des services français, avec 97% des entreprises qui emploient moins de 50 personnes en 1975. On le retrouve également dans le Bade-Wurtemberg ou en </w:t>
      </w:r>
      <w:r>
        <w:rPr>
          <w:bCs/>
        </w:rPr>
        <w:t>É</w:t>
      </w:r>
      <w:r w:rsidRPr="0036144B">
        <w:rPr>
          <w:bCs/>
        </w:rPr>
        <w:t>milie-Romagne.</w:t>
      </w:r>
    </w:p>
    <w:p w:rsidR="004E7FCD" w:rsidRDefault="004E7FCD" w:rsidP="004E7FCD">
      <w:pPr>
        <w:spacing w:line="360" w:lineRule="auto"/>
        <w:ind w:right="-432"/>
        <w:jc w:val="both"/>
        <w:rPr>
          <w:bCs/>
        </w:rPr>
      </w:pPr>
      <w:r w:rsidRPr="0036144B">
        <w:rPr>
          <w:bCs/>
        </w:rPr>
        <w:t>L’après</w:t>
      </w:r>
      <w:r>
        <w:rPr>
          <w:bCs/>
        </w:rPr>
        <w:t xml:space="preserve"> 2° Guerre Mondiale a mis fin à</w:t>
      </w:r>
      <w:r w:rsidRPr="0036144B">
        <w:rPr>
          <w:bCs/>
        </w:rPr>
        <w:t xml:space="preserve"> des formes anciennes de pluriactivité, même si on observe diverses formes de rapport à l’emploi ; les entreprises font appel à des titulaires, mais aussi à des temporaires pour faire face aux aléas de la production. On observe un retour à une certaine flexibilité après la crise de 1974.</w:t>
      </w:r>
    </w:p>
    <w:p w:rsidR="004E7FCD" w:rsidRPr="0036144B" w:rsidRDefault="004E7FCD" w:rsidP="004E7FCD">
      <w:pPr>
        <w:spacing w:line="360" w:lineRule="auto"/>
        <w:ind w:right="-432"/>
        <w:jc w:val="both"/>
        <w:rPr>
          <w:bCs/>
        </w:rPr>
      </w:pPr>
    </w:p>
    <w:p w:rsidR="004E7FCD" w:rsidRPr="006D2060" w:rsidRDefault="004E7FCD" w:rsidP="004E7FCD">
      <w:pPr>
        <w:spacing w:line="360" w:lineRule="auto"/>
        <w:ind w:right="-432"/>
        <w:jc w:val="both"/>
        <w:rPr>
          <w:b/>
          <w:bCs/>
          <w:sz w:val="28"/>
          <w:szCs w:val="28"/>
        </w:rPr>
      </w:pPr>
      <w:r>
        <w:rPr>
          <w:b/>
          <w:bCs/>
          <w:sz w:val="28"/>
          <w:szCs w:val="28"/>
        </w:rPr>
        <w:t>3</w:t>
      </w:r>
      <w:r w:rsidRPr="006D2060">
        <w:rPr>
          <w:b/>
          <w:bCs/>
          <w:sz w:val="28"/>
          <w:szCs w:val="28"/>
        </w:rPr>
        <w:t>- L’emprise de l’</w:t>
      </w:r>
      <w:r>
        <w:rPr>
          <w:b/>
          <w:bCs/>
          <w:sz w:val="28"/>
          <w:szCs w:val="28"/>
        </w:rPr>
        <w:t>É</w:t>
      </w:r>
      <w:r w:rsidRPr="006D2060">
        <w:rPr>
          <w:b/>
          <w:bCs/>
          <w:sz w:val="28"/>
          <w:szCs w:val="28"/>
        </w:rPr>
        <w:t xml:space="preserve">tat sur l’économie se renforce dans l’après-guerre. </w:t>
      </w:r>
    </w:p>
    <w:p w:rsidR="004E7FCD" w:rsidRPr="0036144B" w:rsidRDefault="004E7FCD" w:rsidP="004E7FCD">
      <w:pPr>
        <w:spacing w:line="360" w:lineRule="auto"/>
        <w:ind w:right="-432"/>
        <w:jc w:val="both"/>
        <w:rPr>
          <w:bCs/>
        </w:rPr>
      </w:pPr>
      <w:r w:rsidRPr="0036144B">
        <w:rPr>
          <w:bCs/>
        </w:rPr>
        <w:t xml:space="preserve">La France procède à des </w:t>
      </w:r>
      <w:r w:rsidRPr="00415FA6">
        <w:rPr>
          <w:b/>
          <w:bCs/>
        </w:rPr>
        <w:t>nationalisations</w:t>
      </w:r>
      <w:r w:rsidRPr="0036144B">
        <w:rPr>
          <w:bCs/>
        </w:rPr>
        <w:t>, en application du projet de CNR (Conseil national de la r</w:t>
      </w:r>
      <w:r>
        <w:rPr>
          <w:bCs/>
        </w:rPr>
        <w:t xml:space="preserve">ésistance), entre 1944 et 1946 </w:t>
      </w:r>
      <w:r w:rsidRPr="0036144B">
        <w:rPr>
          <w:bCs/>
        </w:rPr>
        <w:t>des secteurs essentiels : assurances, banques, électricité et ga</w:t>
      </w:r>
      <w:r>
        <w:rPr>
          <w:bCs/>
        </w:rPr>
        <w:t>z, quelques industries et à une</w:t>
      </w:r>
      <w:r w:rsidRPr="0036144B">
        <w:rPr>
          <w:bCs/>
        </w:rPr>
        <w:t xml:space="preserve"> planification indicative avec la création du Commissariat général au Plan dirigé par Jean Monnet. Par ce biais, mais aussi par la fixation d’une grille salariale (accords Parodi) et le contrôle des prix, l’</w:t>
      </w:r>
      <w:r>
        <w:rPr>
          <w:bCs/>
        </w:rPr>
        <w:t>É</w:t>
      </w:r>
      <w:r w:rsidRPr="0036144B">
        <w:rPr>
          <w:bCs/>
        </w:rPr>
        <w:t xml:space="preserve">tat intervient de façon plus décisive dans la vie économique et sociale. En Italie, le Plan Fanfani en 1949, puis le Plan </w:t>
      </w:r>
      <w:proofErr w:type="spellStart"/>
      <w:r w:rsidRPr="0036144B">
        <w:rPr>
          <w:bCs/>
        </w:rPr>
        <w:t>Vannoni</w:t>
      </w:r>
      <w:proofErr w:type="spellEnd"/>
      <w:r>
        <w:rPr>
          <w:bCs/>
        </w:rPr>
        <w:t>,</w:t>
      </w:r>
      <w:r w:rsidRPr="0036144B">
        <w:rPr>
          <w:bCs/>
        </w:rPr>
        <w:t xml:space="preserve"> visent également à moderniser l’économie et la société italiennes. </w:t>
      </w:r>
    </w:p>
    <w:p w:rsidR="004E7FCD" w:rsidRDefault="004E7FCD" w:rsidP="004E7FCD">
      <w:pPr>
        <w:spacing w:line="360" w:lineRule="auto"/>
        <w:ind w:right="-432"/>
        <w:jc w:val="both"/>
        <w:rPr>
          <w:bCs/>
        </w:rPr>
      </w:pPr>
      <w:r w:rsidRPr="0036144B">
        <w:rPr>
          <w:bCs/>
        </w:rPr>
        <w:lastRenderedPageBreak/>
        <w:t xml:space="preserve">En Grande-Bretagne, </w:t>
      </w:r>
      <w:r>
        <w:rPr>
          <w:bCs/>
        </w:rPr>
        <w:t xml:space="preserve">avant la Seconde Guerre mondiale, seuls les Télécoms (1912) et la BBC (1926) et les transports londoniens (1933) étaient des services publics. En Angleterre, </w:t>
      </w:r>
      <w:r w:rsidRPr="0036144B">
        <w:rPr>
          <w:bCs/>
        </w:rPr>
        <w:t>l’après-guerre est aussi marqué par des nationalisation</w:t>
      </w:r>
      <w:r>
        <w:rPr>
          <w:bCs/>
        </w:rPr>
        <w:t>s</w:t>
      </w:r>
      <w:r w:rsidRPr="0036144B">
        <w:rPr>
          <w:bCs/>
        </w:rPr>
        <w:t xml:space="preserve"> de grande envergure </w:t>
      </w:r>
      <w:r>
        <w:rPr>
          <w:bCs/>
        </w:rPr>
        <w:t xml:space="preserve">menées </w:t>
      </w:r>
      <w:r w:rsidRPr="0036144B">
        <w:rPr>
          <w:bCs/>
        </w:rPr>
        <w:t>par les travaillistes : 800 compagnies extractives sont regroupées dans la Société des Houillères britannique, en 1947</w:t>
      </w:r>
      <w:r>
        <w:rPr>
          <w:bCs/>
        </w:rPr>
        <w:t xml:space="preserve">. Les </w:t>
      </w:r>
      <w:r w:rsidRPr="0036144B">
        <w:rPr>
          <w:bCs/>
        </w:rPr>
        <w:t xml:space="preserve">compagnies privées de distribution d’eau et d’électricité et </w:t>
      </w:r>
      <w:r>
        <w:rPr>
          <w:bCs/>
        </w:rPr>
        <w:t xml:space="preserve">de </w:t>
      </w:r>
      <w:r w:rsidRPr="0036144B">
        <w:rPr>
          <w:bCs/>
        </w:rPr>
        <w:t>g</w:t>
      </w:r>
      <w:r>
        <w:rPr>
          <w:bCs/>
        </w:rPr>
        <w:t xml:space="preserve">az sont nationalisées en 1948. La Banque d’Angleterre, les transports ferroviaires et aérien sont également nationalisés. Plus de 20% des services et de l’industrie sont transférés de compagnies privées à l’État britannique. L’objectif des nationalisations était surtout de rendre plus productif et plus efficace des secteurs jugés peu performants ou nécessitant des investissements publics importants. Les entreprises industrielles sont réformées et deviennent des « corporations publiques » dont l’organisation ne diffère pas beaucoup du privé, notamment avec le système de la régie, comme pour le </w:t>
      </w:r>
      <w:r w:rsidRPr="000A56DE">
        <w:rPr>
          <w:bCs/>
          <w:i/>
          <w:iCs/>
        </w:rPr>
        <w:t xml:space="preserve">National Coal </w:t>
      </w:r>
      <w:proofErr w:type="spellStart"/>
      <w:r w:rsidRPr="000A56DE">
        <w:rPr>
          <w:bCs/>
          <w:i/>
          <w:iCs/>
        </w:rPr>
        <w:t>Board</w:t>
      </w:r>
      <w:proofErr w:type="spellEnd"/>
      <w:r>
        <w:rPr>
          <w:bCs/>
        </w:rPr>
        <w:t xml:space="preserve">. En 1946, les nationalisations s’inscrivent dans un projet socialiste planificateur du gouvernement Atlee et amènent les conservateurs à hurler au collectivisme. Les oppositions ont été très vives et des campagnes anti-nationalisation sont montées par les industriels et avec le soutien de la Chambre des Lords comme on a pu le voir pour le secteur de l’acier. La Grande-Bretagne doit faire face à des pénuries d’énergie grave à la fin des années 1940. La planification fait partie également des projets économiques et politiques des travaillistes. Là aussi, ils sont accusés de collectivistes et de bureaucrates par les conservateurs. Le gouvernement travailliste mène une politique d’austérité à l’intérieur, cherche à équilibrer la balance commerciale et à dynamiser la production industrielle (y compris privée). Cette politique est à mettre en relation avec celle du </w:t>
      </w:r>
      <w:proofErr w:type="spellStart"/>
      <w:r w:rsidRPr="000A56DE">
        <w:rPr>
          <w:bCs/>
          <w:i/>
          <w:iCs/>
        </w:rPr>
        <w:t>Welfare</w:t>
      </w:r>
      <w:proofErr w:type="spellEnd"/>
      <w:r w:rsidRPr="000A56DE">
        <w:rPr>
          <w:bCs/>
          <w:i/>
          <w:iCs/>
        </w:rPr>
        <w:t>-State</w:t>
      </w:r>
      <w:r>
        <w:rPr>
          <w:bCs/>
        </w:rPr>
        <w:t>.</w:t>
      </w:r>
    </w:p>
    <w:p w:rsidR="004E7FCD" w:rsidRPr="0036144B" w:rsidRDefault="004E7FCD" w:rsidP="004E7FCD">
      <w:pPr>
        <w:spacing w:line="360" w:lineRule="auto"/>
        <w:ind w:right="-432"/>
        <w:jc w:val="both"/>
        <w:rPr>
          <w:bCs/>
        </w:rPr>
      </w:pPr>
      <w:r w:rsidRPr="0036144B">
        <w:rPr>
          <w:bCs/>
        </w:rPr>
        <w:t>Si en RFA, l’</w:t>
      </w:r>
      <w:r>
        <w:rPr>
          <w:bCs/>
        </w:rPr>
        <w:t>É</w:t>
      </w:r>
      <w:r w:rsidRPr="0036144B">
        <w:rPr>
          <w:bCs/>
        </w:rPr>
        <w:t xml:space="preserve">tat se trouve à la tête de participations importantes dans des grandes entreprises comme Volkswagen, il n’y a pas de nationalisation et la tendance est plutôt à la déconcentration industrielle ; la situation était différente de celle des autres pays européens politiquement, mais aussi le tissu industriel par les « Konzern » était plus concentré.  </w:t>
      </w:r>
    </w:p>
    <w:p w:rsidR="004E7FCD" w:rsidRDefault="004E7FCD" w:rsidP="004E7FCD">
      <w:pPr>
        <w:spacing w:line="360" w:lineRule="auto"/>
        <w:ind w:right="-432"/>
        <w:jc w:val="both"/>
        <w:rPr>
          <w:bCs/>
        </w:rPr>
      </w:pPr>
    </w:p>
    <w:p w:rsidR="004E7FCD" w:rsidRDefault="004E7FCD" w:rsidP="004E7FCD">
      <w:pPr>
        <w:spacing w:line="360" w:lineRule="auto"/>
        <w:ind w:right="-432"/>
        <w:jc w:val="both"/>
        <w:rPr>
          <w:b/>
        </w:rPr>
      </w:pPr>
      <w:r w:rsidRPr="00AF5896">
        <w:rPr>
          <w:b/>
        </w:rPr>
        <w:t>4- Transformation des agricultures et recul des agriculteurs</w:t>
      </w:r>
    </w:p>
    <w:p w:rsidR="004E7FCD" w:rsidRDefault="004E7FCD" w:rsidP="004E7FCD">
      <w:pPr>
        <w:spacing w:line="360" w:lineRule="auto"/>
        <w:ind w:right="-432"/>
        <w:jc w:val="both"/>
        <w:rPr>
          <w:bCs/>
        </w:rPr>
      </w:pPr>
      <w:r>
        <w:rPr>
          <w:b/>
        </w:rPr>
        <w:tab/>
      </w:r>
      <w:r>
        <w:rPr>
          <w:bCs/>
        </w:rPr>
        <w:t xml:space="preserve">Dans toute l’Europe, les agricultures doivent nourrir une population de plus en plus nombreuse, en raison du baby-boom. </w:t>
      </w:r>
      <w:r w:rsidRPr="002E4D75">
        <w:rPr>
          <w:bCs/>
        </w:rPr>
        <w:t>L’agriculture est profondément transformée à la sortie de la Seconde Guerre mondiale</w:t>
      </w:r>
      <w:r>
        <w:rPr>
          <w:bCs/>
        </w:rPr>
        <w:t xml:space="preserve">, particulièrement en France dans ses structures et dans sa population agricole. Le plan Marshall a accompagné et orienté, parallèlement au plan Monnet, la mécanisation de l’agriculture. C’est l’époque du remembrement qui consiste à regrouper les exploitations et les terres cultivables afin que les tracteurs, les moissonneuses-batteuses puissent permettre des gains de productivité afin que l’agriculture soit plus productive. Ce remembrement nécessite des expropriations, des rachats, des financements. Les remembrements s’accompagnent d’arrachage des </w:t>
      </w:r>
      <w:r>
        <w:rPr>
          <w:bCs/>
        </w:rPr>
        <w:lastRenderedPageBreak/>
        <w:t xml:space="preserve">haies qui constituaient des paysages de bocage et de modification des cours d’eau et de l’usage de l’eau (irrigation, arrosage, réservoir).  </w:t>
      </w:r>
    </w:p>
    <w:p w:rsidR="004E7FCD" w:rsidRDefault="004E7FCD" w:rsidP="004E7FCD">
      <w:pPr>
        <w:spacing w:line="360" w:lineRule="auto"/>
        <w:ind w:right="-432" w:firstLine="708"/>
        <w:jc w:val="both"/>
        <w:rPr>
          <w:bCs/>
        </w:rPr>
      </w:pPr>
      <w:r>
        <w:rPr>
          <w:bCs/>
        </w:rPr>
        <w:t xml:space="preserve">Parallèlement à la mécanisation, il y a un mouvement de départ des ouvriers agricoles et au sein des familles d’agriculteurs vers les villes et vers des emplois dans le secondaire et dans le tertiaire. Voir les graphiques dans la présentation </w:t>
      </w:r>
      <w:proofErr w:type="spellStart"/>
      <w:r>
        <w:rPr>
          <w:bCs/>
        </w:rPr>
        <w:t>powerpoint</w:t>
      </w:r>
      <w:proofErr w:type="spellEnd"/>
      <w:r>
        <w:rPr>
          <w:bCs/>
        </w:rPr>
        <w:t>. Ce mouvement de population s’amplifie au fil des décennies. Cette époque de modernisation des exploitations agricoles se fait au prix de l’endettement, des transformations dans l’organisation du travail et d’un rapprochement de l’agriculture et de l’industrie. L’industrie fournit des engrais en quantité, des produits pour le traitement des cultures (pesticides, herbicides, sulfates, nitrates, etc.), transforment les semences. Les agriculteurs se regroupent dans certains cas en coopératives. Une forte syndicalisation s’opère, cette question sera étudiée dans le cours sur les mouvements sociaux.</w:t>
      </w:r>
    </w:p>
    <w:p w:rsidR="004E7FCD" w:rsidRDefault="004E7FCD" w:rsidP="004E7FCD">
      <w:pPr>
        <w:spacing w:line="360" w:lineRule="auto"/>
        <w:ind w:right="-432" w:firstLine="708"/>
        <w:jc w:val="both"/>
        <w:rPr>
          <w:bCs/>
        </w:rPr>
      </w:pPr>
      <w:r>
        <w:rPr>
          <w:bCs/>
        </w:rPr>
        <w:t>Se renforce l’intégration des agricultures dans une économie globale, au prix de mutations dans l’organisation économique et sociale, avant même la construction de l’Europe et de la politique agricole commune (PAC) en 1962. Cette politique agricole commune vise la sécurité alimentaire des Européens en cherchant à remédier aux pénuries, en garantissant certains prix et en régulant les volumes de production et grâce au stockage.</w:t>
      </w:r>
    </w:p>
    <w:p w:rsidR="004E7FCD" w:rsidRDefault="004E7FCD" w:rsidP="004E7FCD">
      <w:pPr>
        <w:spacing w:line="360" w:lineRule="auto"/>
        <w:ind w:right="-432" w:firstLine="708"/>
        <w:jc w:val="both"/>
        <w:rPr>
          <w:bCs/>
        </w:rPr>
      </w:pPr>
    </w:p>
    <w:p w:rsidR="004E7FCD" w:rsidRDefault="004E7FCD" w:rsidP="004E7FCD">
      <w:pPr>
        <w:spacing w:line="360" w:lineRule="auto"/>
        <w:ind w:right="-432" w:firstLine="708"/>
        <w:jc w:val="both"/>
        <w:rPr>
          <w:bCs/>
        </w:rPr>
      </w:pPr>
      <w:r>
        <w:rPr>
          <w:bCs/>
        </w:rPr>
        <w:t xml:space="preserve">Parmi les mutations sociales, les recompositions des sociétés européennes, la place des agriculteurs et celle du tertiaire opèrent un mouvement de ciseaux. Les agriculteurs perdent leur importance numérique et symbolique, le tertiaire progresse fortement. </w:t>
      </w:r>
      <w:r w:rsidRPr="004E7FCD">
        <w:rPr>
          <w:b/>
        </w:rPr>
        <w:t>Voir cours suivant</w:t>
      </w:r>
      <w:r>
        <w:rPr>
          <w:bCs/>
        </w:rPr>
        <w:t> :</w:t>
      </w:r>
    </w:p>
    <w:p w:rsidR="004E7FCD" w:rsidRPr="00AF5896" w:rsidRDefault="004E7FCD" w:rsidP="004E7FCD">
      <w:pPr>
        <w:spacing w:line="360" w:lineRule="auto"/>
        <w:ind w:right="-432"/>
        <w:jc w:val="both"/>
        <w:rPr>
          <w:rFonts w:ascii="Calibri" w:hAnsi="Calibri"/>
          <w:bCs/>
          <w:sz w:val="28"/>
          <w:szCs w:val="28"/>
        </w:rPr>
      </w:pPr>
      <w:r w:rsidRPr="002261AA">
        <w:rPr>
          <w:rFonts w:ascii="Calibri" w:hAnsi="Calibri"/>
          <w:b/>
          <w:bCs/>
          <w:sz w:val="28"/>
          <w:szCs w:val="28"/>
        </w:rPr>
        <w:t>II</w:t>
      </w:r>
      <w:r w:rsidRPr="002261AA">
        <w:rPr>
          <w:rFonts w:ascii="Calibri" w:hAnsi="Calibri"/>
          <w:bCs/>
          <w:sz w:val="28"/>
          <w:szCs w:val="28"/>
        </w:rPr>
        <w:t xml:space="preserve"> - </w:t>
      </w:r>
      <w:r w:rsidRPr="002261AA">
        <w:rPr>
          <w:rFonts w:ascii="Calibri" w:hAnsi="Calibri"/>
          <w:b/>
          <w:bCs/>
          <w:sz w:val="28"/>
          <w:szCs w:val="28"/>
        </w:rPr>
        <w:t>Massification des classes moyennes et développement du tertiaire</w:t>
      </w:r>
    </w:p>
    <w:p w:rsidR="004E7FCD" w:rsidRDefault="004E7FCD" w:rsidP="004E7FCD">
      <w:pPr>
        <w:spacing w:line="360" w:lineRule="auto"/>
        <w:ind w:right="-432" w:firstLine="708"/>
        <w:jc w:val="both"/>
        <w:rPr>
          <w:bCs/>
        </w:rPr>
      </w:pPr>
    </w:p>
    <w:p w:rsidR="004E7FCD" w:rsidRPr="0036144B" w:rsidRDefault="004E7FCD" w:rsidP="004E7FCD">
      <w:pPr>
        <w:spacing w:line="360" w:lineRule="auto"/>
        <w:ind w:right="-432"/>
        <w:jc w:val="both"/>
        <w:rPr>
          <w:bCs/>
        </w:rPr>
      </w:pPr>
    </w:p>
    <w:p w:rsidR="005D028D" w:rsidRDefault="005D028D"/>
    <w:sectPr w:rsidR="005D028D" w:rsidSect="004E65E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CD"/>
    <w:rsid w:val="004E65EC"/>
    <w:rsid w:val="004E7FCD"/>
    <w:rsid w:val="005D0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361D40B"/>
  <w15:chartTrackingRefBased/>
  <w15:docId w15:val="{AF405B5B-7F20-CE4F-98B5-3F726ACF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C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2813</Words>
  <Characters>15474</Characters>
  <Application>Microsoft Office Word</Application>
  <DocSecurity>0</DocSecurity>
  <Lines>128</Lines>
  <Paragraphs>36</Paragraphs>
  <ScaleCrop>false</ScaleCrop>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Lespinet-Moret</dc:creator>
  <cp:keywords/>
  <dc:description/>
  <cp:lastModifiedBy>Isabelle Lespinet-Moret</cp:lastModifiedBy>
  <cp:revision>1</cp:revision>
  <cp:lastPrinted>2025-03-12T14:55:00Z</cp:lastPrinted>
  <dcterms:created xsi:type="dcterms:W3CDTF">2025-03-12T14:51:00Z</dcterms:created>
  <dcterms:modified xsi:type="dcterms:W3CDTF">2025-03-12T14:55:00Z</dcterms:modified>
</cp:coreProperties>
</file>