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5C71" w14:textId="18E1D7DD" w:rsidR="007E2201" w:rsidRPr="00847E5E" w:rsidRDefault="00353088" w:rsidP="00121A7E">
      <w:pPr>
        <w:pStyle w:val="Titre1"/>
        <w:spacing w:line="276" w:lineRule="auto"/>
        <w:jc w:val="center"/>
        <w:rPr>
          <w:rFonts w:ascii="Garamond" w:eastAsia="Times New Roman" w:hAnsi="Garamond" w:cs="Times New Roman"/>
          <w:color w:val="000000" w:themeColor="text1"/>
          <w:kern w:val="0"/>
          <w:sz w:val="24"/>
          <w:szCs w:val="24"/>
          <w:lang w:eastAsia="fr-FR"/>
          <w14:ligatures w14:val="none"/>
        </w:rPr>
      </w:pPr>
      <w:r w:rsidRPr="00847E5E">
        <w:rPr>
          <w:rFonts w:ascii="Garamond" w:eastAsia="Times New Roman" w:hAnsi="Garamond" w:cs="Times New Roman"/>
          <w:color w:val="000000" w:themeColor="text1"/>
          <w:kern w:val="0"/>
          <w:sz w:val="24"/>
          <w:szCs w:val="24"/>
          <w:lang w:eastAsia="fr-FR"/>
          <w14:ligatures w14:val="none"/>
        </w:rPr>
        <w:t>La Syrie après la chute de Bachar al Assad</w:t>
      </w:r>
    </w:p>
    <w:p w14:paraId="74CDD2ED" w14:textId="1721B37A" w:rsidR="00121A7E" w:rsidRPr="00847E5E" w:rsidRDefault="00121A7E" w:rsidP="00121A7E">
      <w:pPr>
        <w:jc w:val="center"/>
        <w:rPr>
          <w:rFonts w:ascii="Garamond" w:eastAsia="Times New Roman" w:hAnsi="Garamond" w:cs="Times New Roman"/>
          <w:color w:val="000000" w:themeColor="text1"/>
          <w:kern w:val="0"/>
          <w:lang w:eastAsia="fr-FR"/>
          <w14:ligatures w14:val="none"/>
        </w:rPr>
      </w:pPr>
      <w:r w:rsidRPr="00847E5E">
        <w:rPr>
          <w:rFonts w:ascii="Garamond" w:eastAsia="Times New Roman" w:hAnsi="Garamond" w:cs="Times New Roman"/>
          <w:color w:val="000000" w:themeColor="text1"/>
          <w:kern w:val="0"/>
          <w:lang w:eastAsia="fr-FR"/>
          <w14:ligatures w14:val="none"/>
        </w:rPr>
        <w:t>Cours 6 14/04</w:t>
      </w:r>
    </w:p>
    <w:p w14:paraId="2AAC2B59" w14:textId="77777777" w:rsidR="00121A7E" w:rsidRPr="00847E5E" w:rsidRDefault="00121A7E" w:rsidP="00121A7E">
      <w:pPr>
        <w:jc w:val="center"/>
        <w:rPr>
          <w:rFonts w:ascii="Garamond" w:eastAsia="Times New Roman" w:hAnsi="Garamond" w:cs="Times New Roman"/>
          <w:color w:val="000000" w:themeColor="text1"/>
          <w:kern w:val="0"/>
          <w:lang w:eastAsia="fr-FR"/>
          <w14:ligatures w14:val="none"/>
        </w:rPr>
      </w:pPr>
    </w:p>
    <w:p w14:paraId="036DEFAC" w14:textId="26FC8D6B" w:rsidR="00121A7E" w:rsidRPr="00847E5E" w:rsidRDefault="00121A7E" w:rsidP="00121A7E">
      <w:pPr>
        <w:jc w:val="center"/>
        <w:rPr>
          <w:rFonts w:ascii="Garamond" w:hAnsi="Garamond"/>
          <w:lang w:eastAsia="fr-FR"/>
        </w:rPr>
      </w:pPr>
      <w:r w:rsidRPr="00847E5E">
        <w:rPr>
          <w:rFonts w:ascii="Garamond" w:eastAsia="Times New Roman" w:hAnsi="Garamond" w:cs="Times New Roman"/>
          <w:color w:val="000000" w:themeColor="text1"/>
          <w:kern w:val="0"/>
          <w:lang w:eastAsia="fr-FR"/>
          <w14:ligatures w14:val="none"/>
        </w:rPr>
        <w:t>Arthur Quesnay</w:t>
      </w:r>
    </w:p>
    <w:p w14:paraId="759A0344" w14:textId="73910AFD" w:rsidR="007F177A" w:rsidRPr="00847E5E" w:rsidRDefault="007F177A" w:rsidP="00847E5E">
      <w:pPr>
        <w:pStyle w:val="Titre2"/>
        <w:numPr>
          <w:ilvl w:val="0"/>
          <w:numId w:val="13"/>
        </w:numPr>
        <w:spacing w:line="276" w:lineRule="auto"/>
        <w:jc w:val="both"/>
        <w:rPr>
          <w:rFonts w:ascii="Garamond" w:eastAsia="Times New Roman" w:hAnsi="Garamond" w:cs="Times New Roman"/>
          <w:sz w:val="24"/>
          <w:szCs w:val="24"/>
        </w:rPr>
      </w:pPr>
      <w:r w:rsidRPr="00847E5E">
        <w:rPr>
          <w:rFonts w:ascii="Garamond" w:eastAsia="Times New Roman" w:hAnsi="Garamond" w:cs="Times New Roman"/>
          <w:sz w:val="24"/>
          <w:szCs w:val="24"/>
        </w:rPr>
        <w:t>L</w:t>
      </w:r>
      <w:r w:rsidR="00483C23" w:rsidRPr="00847E5E">
        <w:rPr>
          <w:rFonts w:ascii="Garamond" w:eastAsia="Times New Roman" w:hAnsi="Garamond" w:cs="Times New Roman"/>
          <w:sz w:val="24"/>
          <w:szCs w:val="24"/>
        </w:rPr>
        <w:t>a matrice du nouveau pouvoir syrien</w:t>
      </w:r>
      <w:r w:rsidRPr="00847E5E">
        <w:rPr>
          <w:rFonts w:ascii="Garamond" w:hAnsi="Garamond" w:cs="Times New Roman"/>
          <w:color w:val="000000" w:themeColor="text1"/>
          <w:sz w:val="24"/>
          <w:szCs w:val="24"/>
        </w:rPr>
        <w:t>:</w:t>
      </w:r>
      <w:r w:rsidRPr="00847E5E">
        <w:rPr>
          <w:rFonts w:ascii="Garamond" w:eastAsia="Times New Roman" w:hAnsi="Garamond" w:cs="Times New Roman"/>
          <w:sz w:val="24"/>
          <w:szCs w:val="24"/>
        </w:rPr>
        <w:t xml:space="preserve"> la transformation de mouvements transnationaux par les patronages étatiques et l’ancrage dans la société révolutionnaire </w:t>
      </w:r>
    </w:p>
    <w:p w14:paraId="59FEAA00" w14:textId="77777777" w:rsidR="007F177A" w:rsidRPr="00847E5E" w:rsidRDefault="007F177A" w:rsidP="00847E5E">
      <w:pPr>
        <w:spacing w:line="276" w:lineRule="auto"/>
        <w:ind w:firstLine="720"/>
        <w:jc w:val="both"/>
        <w:rPr>
          <w:rFonts w:ascii="Garamond" w:hAnsi="Garamond" w:cs="Times New Roman"/>
        </w:rPr>
      </w:pPr>
    </w:p>
    <w:p w14:paraId="19CCA43C" w14:textId="77777777" w:rsidR="007F177A" w:rsidRPr="00847E5E" w:rsidRDefault="007F177A" w:rsidP="00847E5E">
      <w:pPr>
        <w:spacing w:line="276" w:lineRule="auto"/>
        <w:jc w:val="both"/>
        <w:rPr>
          <w:rFonts w:ascii="Garamond" w:eastAsia="Times New Roman" w:hAnsi="Garamond" w:cs="Times New Roman"/>
        </w:rPr>
      </w:pPr>
    </w:p>
    <w:p w14:paraId="0603B4CD" w14:textId="77777777" w:rsidR="007E2201"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 xml:space="preserve">Si l’internationalisation des guerres civiles est souvent le fait de l’action des Etats, à travers le patronage d’un mouvement armé, le conflit syrien permet d’étudier le cas d’organisations transnationales, dont la genèse et les trajectoires précèdent le conflit. </w:t>
      </w:r>
    </w:p>
    <w:p w14:paraId="1688BC18" w14:textId="77777777" w:rsidR="007E2201" w:rsidRPr="00847E5E" w:rsidRDefault="007E2201"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Les cas du PKK et de HTS en Syrie permettent de revenir sur</w:t>
      </w:r>
      <w:r w:rsidR="007F177A" w:rsidRPr="00847E5E">
        <w:rPr>
          <w:rFonts w:ascii="Garamond" w:eastAsia="Times New Roman" w:hAnsi="Garamond" w:cs="Times New Roman"/>
        </w:rPr>
        <w:t xml:space="preserve"> le fonctionnement international des guerres civiles en analysant la rencontre problématique du patronage international et des agendas transnationaux de deux groupes armés</w:t>
      </w:r>
      <w:r w:rsidRPr="00847E5E">
        <w:rPr>
          <w:rFonts w:ascii="Garamond" w:eastAsia="Times New Roman" w:hAnsi="Garamond" w:cs="Times New Roman"/>
        </w:rPr>
        <w:t xml:space="preserve">. </w:t>
      </w:r>
    </w:p>
    <w:p w14:paraId="6893ED69" w14:textId="48238A98" w:rsidR="007E2201" w:rsidRPr="00847E5E" w:rsidRDefault="007E2201"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Hay'at Tahrir al-Sham (HTS) à Idlib, créé par le Jabhat al-Nusra, directement fondée par l’Etat islamique irakien et soutenu par al-Qaeda ; et le mouvement kurde syrien dans le Nord Est syrien (NES), affilié au parti des travailleurs du Kurdistan (</w:t>
      </w:r>
      <w:r w:rsidRPr="00847E5E">
        <w:rPr>
          <w:rFonts w:ascii="Garamond" w:hAnsi="Garamond" w:cs="Times New Roman"/>
          <w:color w:val="202122"/>
          <w:shd w:val="clear" w:color="auto" w:fill="FFFFFF"/>
        </w:rPr>
        <w:t>Partiya Karkerên Kurdistan</w:t>
      </w:r>
      <w:r w:rsidRPr="00847E5E">
        <w:rPr>
          <w:rFonts w:ascii="Garamond" w:hAnsi="Garamond" w:cs="Times New Roman"/>
          <w:i/>
          <w:iCs/>
          <w:color w:val="202122"/>
          <w:shd w:val="clear" w:color="auto" w:fill="FFFFFF"/>
        </w:rPr>
        <w:t xml:space="preserve">, </w:t>
      </w:r>
      <w:r w:rsidRPr="00847E5E">
        <w:rPr>
          <w:rFonts w:ascii="Garamond" w:eastAsia="Times New Roman" w:hAnsi="Garamond" w:cs="Times New Roman"/>
        </w:rPr>
        <w:t>PKK), un mouvement kurde de Turquie formé en 1979 et installé en Irak.</w:t>
      </w:r>
    </w:p>
    <w:p w14:paraId="5AC54A4B" w14:textId="6EEAEDDB" w:rsidR="007F177A" w:rsidRPr="00847E5E" w:rsidRDefault="007E2201" w:rsidP="00847E5E">
      <w:pPr>
        <w:spacing w:line="276" w:lineRule="auto"/>
        <w:ind w:firstLine="720"/>
        <w:jc w:val="both"/>
        <w:rPr>
          <w:rFonts w:ascii="Garamond" w:hAnsi="Garamond" w:cs="Times New Roman"/>
        </w:rPr>
      </w:pPr>
      <w:r w:rsidRPr="00847E5E">
        <w:rPr>
          <w:rFonts w:ascii="Garamond" w:eastAsia="Times New Roman" w:hAnsi="Garamond" w:cs="Times New Roman"/>
        </w:rPr>
        <w:t>En 2024, a la veille de la chute de Bachar al Assad, soit a</w:t>
      </w:r>
      <w:r w:rsidR="007F177A" w:rsidRPr="00847E5E">
        <w:rPr>
          <w:rFonts w:ascii="Garamond" w:eastAsia="Times New Roman" w:hAnsi="Garamond" w:cs="Times New Roman"/>
        </w:rPr>
        <w:t>près plus de dix ans de guerre civile syrienne, ces deux organisations internationalistes contrôlent près d'un quart du territoire syrien, l'essentiel des ressources du pays et un tiers de sa population.</w:t>
      </w:r>
    </w:p>
    <w:p w14:paraId="5DBFF76F" w14:textId="0C8C22AA"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 xml:space="preserve">Bien que la mise en comparaison soit éclairante sur le rôle de l’international dans les guerres civiles, tout semble opposer les deux organisations. Le PKK est séculier, HTS est islamiste, le premier est nationaliste-kurde, le second confessionnel-sunnite. </w:t>
      </w:r>
      <w:r w:rsidRPr="00847E5E">
        <w:rPr>
          <w:rFonts w:ascii="Garamond" w:hAnsi="Garamond" w:cs="Times New Roman"/>
        </w:rPr>
        <w:t xml:space="preserve">Cependant, leur trajectoire en Syrie interroge sur la manière dont deux mouvements classés comme « terroristes » sont parvenus à trouver un appui auprès d’Etats membres de l’OTAN et quel en est l’effet sur le fonctionnement de ces organisations transnationales ? </w:t>
      </w:r>
      <w:r w:rsidRPr="00847E5E">
        <w:rPr>
          <w:rFonts w:ascii="Garamond" w:eastAsia="Times New Roman" w:hAnsi="Garamond" w:cs="Times New Roman"/>
        </w:rPr>
        <w:t xml:space="preserve">En effet, au-delà de l’idéologie, les stratégies des deux mouvements suivent des dynamiques communes, contraints par le même environnement international. Les deux organisations recherchent de la même manière la protection d’États perçus comme hostile par leurs propres militants : l’« Amérique impérialiste » pour des nationalistes kurdes marxistes ; « l’armée turque athée » pour les shaykhs de HTS. Ce faisant, HTS et le mouvement kurde syrien cherchent </w:t>
      </w:r>
      <w:r w:rsidR="007E2201" w:rsidRPr="00847E5E">
        <w:rPr>
          <w:rFonts w:ascii="Garamond" w:eastAsia="Times New Roman" w:hAnsi="Garamond" w:cs="Times New Roman"/>
        </w:rPr>
        <w:t xml:space="preserve">alors </w:t>
      </w:r>
      <w:r w:rsidRPr="00847E5E">
        <w:rPr>
          <w:rFonts w:ascii="Garamond" w:eastAsia="Times New Roman" w:hAnsi="Garamond" w:cs="Times New Roman"/>
        </w:rPr>
        <w:t xml:space="preserve">à obtenir une reconnaissance internationale au prix de transformations idéologique, de repositionnement stratégique dans la lutte contre le terrorisme et dans de nouvelles pratiques de gouvernance. Ils empruntent ainsi des itinéraires contrastés de localisation en Syrie, c’est-à-dire d’interactions transactionnelles avec les élites et les cultures politiques locales au sein des territoires tombés sous leur contrôle et, corsetés par les relations avec leurs États sponsors qui cherchent à stabiliser le conflit.  L’entrée dans une relation de patronage avec les Etats a un impact direct sur l’agenda stratégique des deux organisations. HTS renonce pour un temps à la lutte armée contre Damas alors le mouvement kurde syrien limite ses actions antiturques dans un jeu d'équilibre entre la confrontation avec la Turquie et le soutien de la Coalition occidentale. </w:t>
      </w:r>
    </w:p>
    <w:p w14:paraId="28845583"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En effet, pris dans une guerre civile couteuses, leur seule option de survie devient l’ouverture sur l’international par le patronage étatique. Cependant, la pérennisation du patronage international dépend de leur capacité à opérer leur localisation dans la société syrienne. Cela implique de rompre avec leur organisation mère et de s'extraire de son contrôle transnational. Ainsi, la survie des projets deux organisations passe par leur normalisation internationale soit l'inscription sur la liste des organisations "terroristes" pour le HTS, et la proximité avec le PKK pour le mouvement kurde syrien. Ce dilemme impact la forme des projets politiques qu’ils tentent de mettre en place : en termes de mobilisations militantes, production des identités</w:t>
      </w:r>
      <w:r w:rsidRPr="00847E5E">
        <w:rPr>
          <w:rFonts w:ascii="Garamond" w:eastAsia="Times New Roman" w:hAnsi="Garamond" w:cs="Times New Roman"/>
          <w:vertAlign w:val="superscript"/>
        </w:rPr>
        <w:footnoteReference w:id="1"/>
      </w:r>
      <w:r w:rsidRPr="00847E5E">
        <w:rPr>
          <w:rFonts w:ascii="Garamond" w:eastAsia="Times New Roman" w:hAnsi="Garamond" w:cs="Times New Roman"/>
        </w:rPr>
        <w:t>, la formation des institutions</w:t>
      </w:r>
      <w:r w:rsidRPr="00847E5E">
        <w:rPr>
          <w:rFonts w:ascii="Garamond" w:eastAsia="Times New Roman" w:hAnsi="Garamond" w:cs="Times New Roman"/>
          <w:vertAlign w:val="superscript"/>
        </w:rPr>
        <w:footnoteReference w:id="2"/>
      </w:r>
      <w:r w:rsidRPr="00847E5E">
        <w:rPr>
          <w:rFonts w:ascii="Garamond" w:eastAsia="Times New Roman" w:hAnsi="Garamond" w:cs="Times New Roman"/>
        </w:rPr>
        <w:t>, les rapports de genre</w:t>
      </w:r>
      <w:r w:rsidRPr="00847E5E">
        <w:rPr>
          <w:rFonts w:ascii="Garamond" w:eastAsia="Times New Roman" w:hAnsi="Garamond" w:cs="Times New Roman"/>
          <w:vertAlign w:val="superscript"/>
        </w:rPr>
        <w:footnoteReference w:id="3"/>
      </w:r>
      <w:r w:rsidRPr="00847E5E">
        <w:rPr>
          <w:rFonts w:ascii="Garamond" w:eastAsia="Times New Roman" w:hAnsi="Garamond" w:cs="Times New Roman"/>
        </w:rPr>
        <w:t>... La production de modes de gouvernance est ainsi le résultat de la capacité des groupes à négocier leur agenda politique avec les contraintes internationales. Les appareils miliciens se retrouvent au centre de l’ensemble des enjeux de pouvoir, constituant un régime milicien et devenant la clef de voute entre l’État, les opérateurs transnationaux et différents acteurs locaux</w:t>
      </w:r>
      <w:r w:rsidRPr="00847E5E">
        <w:rPr>
          <w:rFonts w:ascii="Garamond" w:eastAsia="Times New Roman" w:hAnsi="Garamond" w:cs="Times New Roman"/>
          <w:vertAlign w:val="superscript"/>
        </w:rPr>
        <w:footnoteReference w:id="4"/>
      </w:r>
      <w:r w:rsidRPr="00847E5E">
        <w:rPr>
          <w:rFonts w:ascii="Garamond" w:eastAsia="Times New Roman" w:hAnsi="Garamond" w:cs="Times New Roman"/>
        </w:rPr>
        <w:t xml:space="preserve">. </w:t>
      </w:r>
    </w:p>
    <w:p w14:paraId="77D1438D" w14:textId="5BEDC0CE"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 xml:space="preserve">La particularité de l’opposition syrienne est ainsi la rencontre entre des stratégies militantes transnationales et des soutiens étatiques internationaux. Au regard de la littérature sur l’internationalisation des guerres civiles, la montée en puissance de ces groupes armés complexifie la question de l’internationalisation du conflit syrien. Elle démontre le jeu constant des organisations transnationales entre pressions internationales et adaptation de leurs programmes politiques. Si l’ordre international contemporain impose une représentation monopolistique du territoire et de la population, le cas syrien présente un modèle où les logiques monopolistiques des groupes armés sont sujettes à de multiples contraintes ce qui empêchent la mise en place de gouvernement transnational, mais aussi limite la normalisation de ces groupes dans le système international et la clarification vis à vis de leurs réseaux transnationaux historiques. </w:t>
      </w:r>
    </w:p>
    <w:p w14:paraId="32196492" w14:textId="4B0A9034" w:rsidR="007F177A" w:rsidRPr="00847E5E" w:rsidRDefault="007F177A" w:rsidP="00847E5E">
      <w:pPr>
        <w:pStyle w:val="Paragraphedeliste"/>
        <w:spacing w:line="276" w:lineRule="auto"/>
        <w:ind w:left="1080"/>
        <w:jc w:val="both"/>
        <w:rPr>
          <w:rFonts w:ascii="Garamond" w:eastAsia="Times New Roman" w:hAnsi="Garamond" w:cs="Times New Roman"/>
          <w:sz w:val="24"/>
          <w:szCs w:val="24"/>
        </w:rPr>
      </w:pPr>
      <w:r w:rsidRPr="00847E5E">
        <w:rPr>
          <w:rFonts w:ascii="Garamond" w:eastAsia="Times New Roman" w:hAnsi="Garamond" w:cs="Times New Roman"/>
          <w:sz w:val="24"/>
          <w:szCs w:val="24"/>
        </w:rPr>
        <w:t xml:space="preserve">Dans une première partie, nous analyserons la mise en place de la relation de patronage entre ces mouvements et les Etats sponsors. Ce tournant semble d’autant plus paradoxal que, initialement, les deux organisations sont non syriennes et s’appuient sur une expérience militaire et politique transnationales, ainsi que sur des ressources financières acquises à l’étranger : le PKK pour le mouvement kurde syrien, al-Qaeda et de la mouvance djihadiste pour HTS. Ces ressources leur permettent de s’imposer face à des acteurs révolutionnaires en pleine fragmentation. Or, à partir de 2014, une série de batailles obligent les deux organisations transnationales à accepter un patronage étatique. Le siège de Qobane et la bataille de Idlib changent leur rapport au patronage international et les oblige à prendre des positions contradictoires avec leur ligne idéologique. Cette connexion sur l’international devient ensuite un élément essentiel de leur survie. En 2019, HTS perd 40% de ses territoires à Idlib, face aux forces du régime syrien appuyé par la Russie et l’Iran, avant l’intervention turque de février 2020. Plus à l’Est, le mouvement kurde est défait par la Turquie en 2018 à Afrin, puis en 2019 dans le nord du NES. Le mouvement ne doit sa sauvegarde qu’à des interventions étrangères, russe et américaine. </w:t>
      </w:r>
    </w:p>
    <w:p w14:paraId="133401B2"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 xml:space="preserve">Dans une deuxième partie, nous analysons l’impact de ce nouveau positionnement international des deux organisations sur leur fonctionnement. Les soutiens internationaux dépendent de leur capacité à gérer leur localisation et à se distancier de leur matrice militante initiale. Paradoxalement, alors que HTS et le PKK découlent de trajectoires transnationales, leur survie dépend de soutiens étatiques et de leur capacité à s’implanter localement. Nous verrons que le poids de la structure partisane d’origine est un facteur clefs dans la capacité des militants à opérer d’une dissociation par rapport à leur organisation mère. Sur ce point, HTS vis-à-vis d’Al Qaeda et le mouvement kurde vis-à-vis du PKK suivent des trajectoires très différentes. Nous reviendrons sur les transformations politiques au sein des deux mouvements, sur leur relation à l’idéologie et sur la manière dont la mise en place de structures de gouvernances reflète leur repositionnement sur la scène international. </w:t>
      </w:r>
    </w:p>
    <w:p w14:paraId="4D31B62C"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 xml:space="preserve">Dans une troisième partie, nous reviendrons sur la tentative de transformation du label international de ces deux organisations. Or, leur désignation comme groupe « terroriste » reste une contrainte indépassable de leur tentative de « normalisation ». Il en résulte effet cliquet de marginalisation et d’exclusions des négociations internationales en cours sur la Syrie. </w:t>
      </w:r>
    </w:p>
    <w:p w14:paraId="6CCD2A4E" w14:textId="77777777" w:rsidR="007F177A" w:rsidRPr="00847E5E" w:rsidRDefault="007F177A" w:rsidP="00847E5E">
      <w:pPr>
        <w:spacing w:line="276" w:lineRule="auto"/>
        <w:jc w:val="both"/>
        <w:rPr>
          <w:rFonts w:ascii="Garamond" w:eastAsia="Times New Roman" w:hAnsi="Garamond" w:cs="Times New Roman"/>
        </w:rPr>
      </w:pPr>
    </w:p>
    <w:p w14:paraId="15DCEA73" w14:textId="23A0791A" w:rsidR="007F177A" w:rsidRPr="00847E5E" w:rsidRDefault="007F177A" w:rsidP="00847E5E">
      <w:pPr>
        <w:pStyle w:val="Titre3"/>
        <w:spacing w:line="276" w:lineRule="auto"/>
        <w:jc w:val="both"/>
        <w:rPr>
          <w:rFonts w:ascii="Garamond" w:eastAsia="Times New Roman" w:hAnsi="Garamond" w:cs="Times New Roman"/>
          <w:color w:val="000000"/>
          <w:sz w:val="24"/>
          <w:szCs w:val="24"/>
        </w:rPr>
      </w:pPr>
      <w:bookmarkStart w:id="0" w:name="_1fob9te" w:colFirst="0" w:colLast="0"/>
      <w:bookmarkEnd w:id="0"/>
      <w:r w:rsidRPr="00847E5E">
        <w:rPr>
          <w:rFonts w:ascii="Garamond" w:eastAsia="Times New Roman" w:hAnsi="Garamond" w:cs="Times New Roman"/>
          <w:color w:val="000000"/>
          <w:sz w:val="24"/>
          <w:szCs w:val="24"/>
        </w:rPr>
        <w:t>Les patronages étatiques</w:t>
      </w:r>
    </w:p>
    <w:p w14:paraId="571AF7D8" w14:textId="77777777" w:rsidR="007F177A" w:rsidRPr="00847E5E" w:rsidRDefault="007F177A" w:rsidP="00847E5E">
      <w:pPr>
        <w:pBdr>
          <w:top w:val="nil"/>
          <w:left w:val="nil"/>
          <w:bottom w:val="nil"/>
          <w:right w:val="nil"/>
          <w:between w:val="nil"/>
        </w:pBdr>
        <w:spacing w:line="276" w:lineRule="auto"/>
        <w:ind w:firstLine="720"/>
        <w:jc w:val="both"/>
        <w:rPr>
          <w:rFonts w:ascii="Garamond" w:eastAsia="Times New Roman" w:hAnsi="Garamond" w:cs="Times New Roman"/>
          <w:color w:val="000000"/>
        </w:rPr>
      </w:pPr>
    </w:p>
    <w:p w14:paraId="40A310E8" w14:textId="77777777" w:rsidR="007F177A" w:rsidRPr="00847E5E" w:rsidRDefault="007F177A" w:rsidP="00847E5E">
      <w:pPr>
        <w:pBdr>
          <w:top w:val="nil"/>
          <w:left w:val="nil"/>
          <w:bottom w:val="nil"/>
          <w:right w:val="nil"/>
          <w:between w:val="nil"/>
        </w:pBdr>
        <w:spacing w:line="276" w:lineRule="auto"/>
        <w:ind w:firstLine="720"/>
        <w:jc w:val="both"/>
        <w:rPr>
          <w:rFonts w:ascii="Garamond" w:eastAsia="Times New Roman" w:hAnsi="Garamond" w:cs="Times New Roman"/>
          <w:color w:val="000000"/>
        </w:rPr>
      </w:pPr>
      <w:r w:rsidRPr="00847E5E">
        <w:rPr>
          <w:rFonts w:ascii="Garamond" w:eastAsia="Times New Roman" w:hAnsi="Garamond" w:cs="Times New Roman"/>
          <w:color w:val="000000"/>
        </w:rPr>
        <w:t>Plus de dix ans après le début de la Révolution syrienne en 2011, les deux principales organisations de l’opposition encore en lice, HTS et le PKK, sont non syriennes. Ce paradoxe découle de leurs expériences transnationales respectives qui assurent la construction de leur capital militaire en Syrie et leur permet de l’emporter face à un mouvement révolutionnaire fragmenté. Cependant, l’intensification du conflit syrien oblige progressivement les deux organisations à passer sous la protection de sponsors étatiques. Ces patronages représentent une nouvelle étape de leur internationalisation. Ils se développent de manière différente en fonction du poids structurel des organisations mères et des possibilités de séparation des militants syriens avec le mouvement d’origine.</w:t>
      </w:r>
    </w:p>
    <w:p w14:paraId="4ACC5C49" w14:textId="77777777" w:rsidR="007F177A" w:rsidRPr="00847E5E" w:rsidRDefault="007F177A" w:rsidP="00847E5E">
      <w:pPr>
        <w:pBdr>
          <w:top w:val="nil"/>
          <w:left w:val="nil"/>
          <w:bottom w:val="nil"/>
          <w:right w:val="nil"/>
          <w:between w:val="nil"/>
        </w:pBdr>
        <w:spacing w:line="276" w:lineRule="auto"/>
        <w:ind w:firstLine="720"/>
        <w:jc w:val="both"/>
        <w:rPr>
          <w:rFonts w:ascii="Garamond" w:eastAsia="Times New Roman" w:hAnsi="Garamond" w:cs="Times New Roman"/>
          <w:color w:val="000000"/>
        </w:rPr>
      </w:pPr>
    </w:p>
    <w:p w14:paraId="1CFD4BB7" w14:textId="77777777" w:rsidR="007F177A" w:rsidRPr="00847E5E" w:rsidRDefault="007F177A" w:rsidP="00847E5E">
      <w:pPr>
        <w:pStyle w:val="Titre4"/>
        <w:spacing w:line="276" w:lineRule="auto"/>
        <w:jc w:val="both"/>
        <w:rPr>
          <w:rFonts w:ascii="Garamond" w:eastAsia="Times New Roman" w:hAnsi="Garamond" w:cs="Times New Roman"/>
          <w:color w:val="000000"/>
          <w:sz w:val="24"/>
          <w:szCs w:val="24"/>
        </w:rPr>
      </w:pPr>
      <w:r w:rsidRPr="00847E5E">
        <w:rPr>
          <w:rFonts w:ascii="Garamond" w:eastAsia="Times New Roman" w:hAnsi="Garamond" w:cs="Times New Roman"/>
          <w:color w:val="000000"/>
          <w:sz w:val="24"/>
          <w:szCs w:val="24"/>
          <w:highlight w:val="white"/>
        </w:rPr>
        <w:t>Le poids des structures transnationales</w:t>
      </w:r>
      <w:r w:rsidRPr="00847E5E">
        <w:rPr>
          <w:rFonts w:ascii="Garamond" w:eastAsia="Times New Roman" w:hAnsi="Garamond" w:cs="Times New Roman"/>
          <w:color w:val="000000"/>
          <w:sz w:val="24"/>
          <w:szCs w:val="24"/>
        </w:rPr>
        <w:t xml:space="preserve"> </w:t>
      </w:r>
    </w:p>
    <w:p w14:paraId="3C4E743D" w14:textId="77777777" w:rsidR="007F177A" w:rsidRPr="00847E5E" w:rsidRDefault="007F177A" w:rsidP="00847E5E">
      <w:pPr>
        <w:spacing w:line="276" w:lineRule="auto"/>
        <w:ind w:firstLine="720"/>
        <w:jc w:val="both"/>
        <w:rPr>
          <w:rFonts w:ascii="Garamond" w:eastAsia="Times New Roman" w:hAnsi="Garamond" w:cs="Times New Roman"/>
        </w:rPr>
      </w:pPr>
    </w:p>
    <w:p w14:paraId="28CE09F3"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Les deux organisations suivent des logiques d’avant-gardes révolutionnaires - caractérisées par la construction de réseaux de militants, le contrôle d’institutions et des actions ciblées contre des groupes rivaux – mais le poids des structures partisanes transnationales qui les encadrent n’est pas le même. Cette différence majeure impacte le positionnement de leur branches armée en Syrie et leur possibilité d’alliance avec des Etats. En particulier la possibilité d’autonomisation de la branche syrienne par rapport au mouvement d’origine.</w:t>
      </w:r>
    </w:p>
    <w:p w14:paraId="03607531"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color w:val="000000"/>
        </w:rPr>
        <w:t>L’espace politique kurde, dont fait partie le PKK, a toujours fonctionné comme un espace transnational en perpétuelle adaptation aux évolutions du système international qui les structurent</w:t>
      </w:r>
      <w:r w:rsidRPr="00847E5E">
        <w:rPr>
          <w:rFonts w:ascii="Garamond" w:eastAsia="Times New Roman" w:hAnsi="Garamond" w:cs="Times New Roman"/>
          <w:color w:val="000000"/>
          <w:vertAlign w:val="superscript"/>
        </w:rPr>
        <w:footnoteReference w:id="5"/>
      </w:r>
      <w:r w:rsidRPr="00847E5E">
        <w:rPr>
          <w:rFonts w:ascii="Garamond" w:eastAsia="Times New Roman" w:hAnsi="Garamond" w:cs="Times New Roman"/>
          <w:color w:val="000000"/>
        </w:rPr>
        <w:t xml:space="preserve">. </w:t>
      </w:r>
      <w:r w:rsidRPr="00847E5E">
        <w:rPr>
          <w:rFonts w:ascii="Garamond" w:eastAsia="Times New Roman" w:hAnsi="Garamond" w:cs="Times New Roman"/>
        </w:rPr>
        <w:t>La répartition du peuplement kurde sur quatre pays en Turquie, Irak, Syrie et Iran inscrit d’office les mouvements politiques kurdes sur des logiques transnationales</w:t>
      </w:r>
      <w:r w:rsidRPr="00847E5E">
        <w:rPr>
          <w:rFonts w:ascii="Garamond" w:eastAsia="Times New Roman" w:hAnsi="Garamond" w:cs="Times New Roman"/>
          <w:vertAlign w:val="superscript"/>
        </w:rPr>
        <w:footnoteReference w:id="6"/>
      </w:r>
      <w:r w:rsidRPr="00847E5E">
        <w:rPr>
          <w:rFonts w:ascii="Garamond" w:eastAsia="Times New Roman" w:hAnsi="Garamond" w:cs="Times New Roman"/>
        </w:rPr>
        <w:t>. L’espace politique kurde est en ce sens transfrontalier avec des liens commerciaux, tribaux et confrériques</w:t>
      </w:r>
      <w:r w:rsidRPr="00847E5E">
        <w:rPr>
          <w:rFonts w:ascii="Garamond" w:eastAsia="Times New Roman" w:hAnsi="Garamond" w:cs="Times New Roman"/>
          <w:color w:val="000000"/>
          <w:vertAlign w:val="superscript"/>
        </w:rPr>
        <w:footnoteReference w:id="7"/>
      </w:r>
      <w:r w:rsidRPr="00847E5E">
        <w:rPr>
          <w:rFonts w:ascii="Garamond" w:eastAsia="Times New Roman" w:hAnsi="Garamond" w:cs="Times New Roman"/>
        </w:rPr>
        <w:t>. Pris dans ce contexte historique, les réseaux d’encadrement transnationaux du PKK sont au cœur du fonctionnement de l’organisation et expliquent probablement sa capacité à survivre à des défaites militaires majeures. Ce contrôle se retrouve aussi bien à Qandil que dans les différents espaces régionaux comme en Syrie ou encore dans la diaspora kurde en Europe. Premièrement, l’appareil PKK produit des cadres via un parcours de formation centralisé par Qandil au sein des centres de formation du parti. La référence au combat contre la Turquie est au centre de l'idéologie. Des exercices d’autocritique valident la formation des futurs cadres avec la volonté de former un « Homme nouveau ». Deuxièmement, la rotation régulière de ces cadres vise à empêcher leur autonomisation vis-à-vis de l’état-major de l’organisation. Les cadres doivent reporter à Qandil qui leur soumet la stratégie à suivre. En cas de doute sur leur loyauté, les cadres sont rappelés pour suivre des académies, soit une forme de rééducation politique. Il n’y a pas de déconnexion possible avec le parti, ceux qui veulent se détacher du parti sont tués comme Juan Ibrahim, le chef des Assaesh du NES</w:t>
      </w:r>
      <w:r w:rsidRPr="00847E5E">
        <w:rPr>
          <w:rStyle w:val="Appelnotedebasdep"/>
          <w:rFonts w:ascii="Garamond" w:eastAsia="Times New Roman" w:hAnsi="Garamond" w:cs="Times New Roman"/>
        </w:rPr>
        <w:footnoteReference w:id="8"/>
      </w:r>
      <w:r w:rsidRPr="00847E5E">
        <w:rPr>
          <w:rFonts w:ascii="Garamond" w:eastAsia="Times New Roman" w:hAnsi="Garamond" w:cs="Times New Roman"/>
        </w:rPr>
        <w:t xml:space="preserve">. Troisièmement, Qandil exerce un verrouillage des postes clefs dans l’ensemble des théâtres d’opération et secteurs : commandement militaire, réseaux économique, nomination des représentants politiques et candidats aux élections. </w:t>
      </w:r>
    </w:p>
    <w:p w14:paraId="267C77F9" w14:textId="477D1ED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highlight w:val="white"/>
        </w:rPr>
        <w:t xml:space="preserve">Dès le départ, l'avant-gardisme imprègne ainsi les structures de gouvernance que le parti gère par le biais de cadres partisans placés à tous les niveaux de la structure administrative des NES. L'avant-gardisme précède ainsi la mise en place des institutions. La relation parti/institution est fondamentale. Les institutions sont issues des réseaux de partis et des matrices idéologiques. </w:t>
      </w:r>
    </w:p>
    <w:p w14:paraId="10135484" w14:textId="77777777" w:rsidR="007F177A" w:rsidRPr="00847E5E" w:rsidRDefault="007F177A" w:rsidP="00847E5E">
      <w:pPr>
        <w:spacing w:line="276" w:lineRule="auto"/>
        <w:jc w:val="both"/>
        <w:rPr>
          <w:rFonts w:ascii="Garamond" w:eastAsia="Times New Roman" w:hAnsi="Garamond" w:cs="Times New Roman"/>
        </w:rPr>
      </w:pPr>
    </w:p>
    <w:p w14:paraId="509E0340"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 xml:space="preserve">Comparé au PKK, le poids structurel de l’EII en tant qu’organisation transnationale est plus limité, le manque de cadres explique la montée des Syriens dans la hiérarchie de mouvement. En 2011, l’EII est en voie de reconstruction après une défaite militaire en Irak face aux forces américaines et irakiennes. La majorité de ses cadres sont morts ou incarcérés dans les prisons irakiennes et les militants rescapés survivent dans des territoires irakiens périphériques. Cependant, le retrait américain de décembre 2011 et la répression du gouvernement du premier ministre irakien Nouri al Maliki ouvre de nouvelles opportunités à l’EII. L’organisation est alors en pleine reconstruction, si la Syrie n’est pas considérée comme un théâtre principal d’opération, l’organisation va rapidement utiliser les territoires révolutionnaires comme sanctuaires pour se reconstruire. La Syrie devient ainsi stratégique pour l’EII et la possibilité de sanctionner les cadres syriens est plus restreinte.  </w:t>
      </w:r>
    </w:p>
    <w:p w14:paraId="58EF8A09"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 xml:space="preserve">Fort de ce contrôle plus relatif de la maison mère, le JBN se lance dans des stratégies de coopération avec l’ASL. Le mouvement vise le contrôle des institutions (tribunaux, positions dans les conseils local, mise en place d’une police des mœurs, silos à grains) afin de s’infiltrer au cœur du mouvement révolutionnaire. </w:t>
      </w:r>
      <w:r w:rsidRPr="00847E5E">
        <w:rPr>
          <w:rFonts w:ascii="Garamond" w:hAnsi="Garamond" w:cs="Times New Roman"/>
        </w:rPr>
        <w:t xml:space="preserve">Ses combattants, mieux équipés que l’ASL, jouent un rôle déterminant dans les combats contre le régime. L’efficacité apparente du mouvement et le rayonnement de ses actions, orchestrée sur le plan médiatique, suscite l’admiration des autres groupes de l’ASL. </w:t>
      </w:r>
      <w:r w:rsidRPr="00847E5E">
        <w:rPr>
          <w:rFonts w:ascii="Garamond" w:eastAsia="Times New Roman" w:hAnsi="Garamond" w:cs="Times New Roman"/>
        </w:rPr>
        <w:t xml:space="preserve">Dans le même temps, </w:t>
      </w:r>
      <w:r w:rsidRPr="00847E5E">
        <w:rPr>
          <w:rFonts w:ascii="Garamond" w:eastAsia="Times New Roman" w:hAnsi="Garamond" w:cs="Times New Roman"/>
          <w:highlight w:val="white"/>
        </w:rPr>
        <w:t xml:space="preserve">la stratégie de pénétration du mouvement révolutionnaire crée un appel d’air et fait monter des militants locaux. </w:t>
      </w:r>
      <w:r w:rsidRPr="00847E5E">
        <w:rPr>
          <w:rFonts w:ascii="Garamond" w:eastAsia="Times New Roman" w:hAnsi="Garamond" w:cs="Times New Roman"/>
        </w:rPr>
        <w:t xml:space="preserve">Le JbN est ainsi pris dans une phase ascendante de l’ASL. </w:t>
      </w:r>
      <w:r w:rsidRPr="00847E5E">
        <w:rPr>
          <w:rFonts w:ascii="Garamond" w:hAnsi="Garamond" w:cs="Times New Roman"/>
        </w:rPr>
        <w:t xml:space="preserve">Bien que le contrôle moral et physique des combattants au sein du JBN joue un rôle central dans la cohésion interne de l’organisation et dans leur séparation vis-à-vis de l’ASL (les combattants restent à l’écart de la population, vivent entre eux et ne peuvent que rarement voir leur famille), </w:t>
      </w:r>
      <w:r w:rsidRPr="00847E5E">
        <w:rPr>
          <w:rFonts w:ascii="Garamond" w:eastAsia="Times New Roman" w:hAnsi="Garamond" w:cs="Times New Roman"/>
          <w:highlight w:val="white"/>
        </w:rPr>
        <w:t>une majorité des commandants du JbN sont syriens face à un nombre plus restreint de cadres irakiens</w:t>
      </w:r>
      <w:r w:rsidRPr="00847E5E">
        <w:rPr>
          <w:rFonts w:ascii="Garamond" w:eastAsia="Times New Roman" w:hAnsi="Garamond" w:cs="Times New Roman"/>
        </w:rPr>
        <w:t xml:space="preserve">. Dans les faits, le manque de cadres fait défaut à la mise en place d’un système de rotation aussi structuré que celui du PKK qui est capables de renouveler ses militants malgré un fort taux d’attrition. Cela explique sans doute une plus grande décharge vers les commandants locaux qui disposent d’une certaine autonomie. De ce fait, l’espace stratégique du JbN n’est pas aussi limité que celui du mouvement kurde syrien par rapport au PKK. Jolani a plus de marge de manœuvre et ne suit que de vagues directives. </w:t>
      </w:r>
    </w:p>
    <w:p w14:paraId="788F68A9"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En 2013, les deux organisations sont ainsi dans des structures d’opportunités très différentes. Le PKK a pris le contrôle militaire des territoires kurdes. Il y réprime les autres mouvements politiques kurdes et joue le jeu du nationalisme ethnique afin de cloisonner ces territoires vis-à-vis de la révolution syrienne. Les cadres syriens du PKK sont dans une situation de dépendance forte. Cette politique communautaire lui permet des collaborations avec le régime et les supplétifs iraniens et a également pour effet de forcer le soutien de la population kurde. Face à la montée en intensité du conflit, les cadres du PKK s’affirment comme la seule alternative pour protéger les territoires kurdes. Dans le même temps les stratégies d’alliance avec l’ASL échouent et s’ouvrent souvent sur des affrontements réguliers. Le mouvement kurde se referme sur une stratégie ethnique sous l’égide de Qandil dont les cadres assure la survive militaire des enclaves d’Afrin, Qobane et de la Jezzire.</w:t>
      </w:r>
    </w:p>
    <w:p w14:paraId="30AF2317" w14:textId="77777777" w:rsidR="007F177A" w:rsidRPr="00847E5E" w:rsidRDefault="007F177A" w:rsidP="00847E5E">
      <w:pPr>
        <w:spacing w:line="276" w:lineRule="auto"/>
        <w:ind w:firstLine="720"/>
        <w:jc w:val="both"/>
        <w:rPr>
          <w:rFonts w:ascii="Garamond" w:eastAsia="Times New Roman" w:hAnsi="Garamond" w:cs="Times New Roman"/>
        </w:rPr>
      </w:pPr>
      <w:bookmarkStart w:id="1" w:name="_Hlk218598578"/>
      <w:r w:rsidRPr="00847E5E">
        <w:rPr>
          <w:rFonts w:ascii="Garamond" w:eastAsia="Times New Roman" w:hAnsi="Garamond" w:cs="Times New Roman"/>
        </w:rPr>
        <w:t xml:space="preserve">Pour le JbN la stratégie d’ouverture sur l’ASL et la montée des cadres syriens se traduit par des tensions entre cadre syriens et irakiens tout au long de 2013. Elles portent sur les choix stratégiques comme combattre contre les autres groupes de l’ASL pour s’imposer ou contre les forces du régime. </w:t>
      </w:r>
      <w:r w:rsidRPr="00847E5E">
        <w:rPr>
          <w:rFonts w:ascii="Garamond" w:hAnsi="Garamond" w:cs="Times New Roman"/>
        </w:rPr>
        <w:t xml:space="preserve">L’ancrage dans la révolution syrienne est vu comme important pour les cadres syriens de JbN. Afin de ne pas se couper de la population, le Jabhat al-Nusra fait d’ailleurs preuve de prudence sur les questions sensibles. Bien que d’inspiration salafiste, et donc opposé par principe au culte des saints et favorable à l’application des hudud (peines graves, et non modulables par le juge, prévues par la charia), la Jabhat al-Nusra conditionne la mise en place de ces mesures à l’établissement d’un régime islamique, ce qui permet – en fonction des rapports de forces – de fermer provisoirement les yeux sur des pratiques considérées non orthodoxes. Cette politique semble fonctionner puisque lorsque le Jabhat al-Nusra est inscrite sur la liste des organisations terroristes par le Département d’État américain, le 11 décembre 2012, la plupart des autres groupes et une partie de la population des zones insurgées lui témoignent leur solidarité. De plus, </w:t>
      </w:r>
      <w:r w:rsidRPr="00847E5E">
        <w:rPr>
          <w:rFonts w:ascii="Garamond" w:hAnsi="Garamond" w:cs="Times New Roman"/>
          <w:color w:val="000000"/>
          <w:lang w:val="fr-CH"/>
        </w:rPr>
        <w:t>JbN refuse de cibler les minorités et de mener des opérations à l'étranger. Jolani, en particulier, articule un projet politique qui vise à s'éloigner des erreurs commises en Irak, notamment la guerre sectaire lancée par ISIS, arguant que la nature populaire du soulèvement syrien exigeait une réponse différente. JaN refuse notamment de mener des opérations en Turquie contre le siège de la Coalition de l'Opposition, comme le préconisait la direction de l'EIIL.</w:t>
      </w:r>
    </w:p>
    <w:p w14:paraId="49E20165" w14:textId="77777777" w:rsidR="007F177A" w:rsidRPr="00847E5E" w:rsidRDefault="007F177A" w:rsidP="00847E5E">
      <w:pPr>
        <w:spacing w:line="276" w:lineRule="auto"/>
        <w:ind w:firstLine="720"/>
        <w:jc w:val="both"/>
        <w:rPr>
          <w:rFonts w:ascii="Garamond" w:hAnsi="Garamond" w:cs="Times New Roman"/>
        </w:rPr>
      </w:pPr>
      <w:r w:rsidRPr="00847E5E">
        <w:rPr>
          <w:rFonts w:ascii="Garamond" w:eastAsia="Times New Roman" w:hAnsi="Garamond" w:cs="Times New Roman"/>
        </w:rPr>
        <w:t xml:space="preserve">Ces tensions entre les cadres syriens et irakiens au sein du JbN conduisent au déclenchement d’affrontements et à une scission interne brutale. </w:t>
      </w:r>
      <w:r w:rsidRPr="00847E5E">
        <w:rPr>
          <w:rFonts w:ascii="Garamond" w:hAnsi="Garamond" w:cs="Times New Roman"/>
        </w:rPr>
        <w:t>En mars 2013, l</w:t>
      </w:r>
      <w:r w:rsidRPr="00847E5E">
        <w:rPr>
          <w:rFonts w:ascii="Garamond" w:eastAsia="Times New Roman" w:hAnsi="Garamond" w:cs="Times New Roman"/>
        </w:rPr>
        <w:t xml:space="preserve">es cadres syriens, au côté de l’ASL, se soulèvent contre l’EI qui </w:t>
      </w:r>
      <w:r w:rsidRPr="00847E5E">
        <w:rPr>
          <w:rFonts w:ascii="Garamond" w:hAnsi="Garamond" w:cs="Times New Roman"/>
        </w:rPr>
        <w:t xml:space="preserve">est alors chassé d’une partie importante de la Syrie avant de revenir en juin 2014. Cette rupture est suivie de </w:t>
      </w:r>
      <w:r w:rsidRPr="00847E5E">
        <w:rPr>
          <w:rFonts w:ascii="Garamond" w:hAnsi="Garamond" w:cs="Times New Roman"/>
          <w:color w:val="000000"/>
          <w:lang w:val="fr-CH"/>
        </w:rPr>
        <w:t>longues batailles comme la bataille de Sharq al-Sikka, qui dure près de cinq mois et inflige de lourdes pertes à JbN.</w:t>
      </w:r>
      <w:r w:rsidRPr="00847E5E">
        <w:rPr>
          <w:rFonts w:ascii="Garamond" w:hAnsi="Garamond" w:cs="Times New Roman"/>
        </w:rPr>
        <w:t xml:space="preserve"> Mais la confrontation entre les deux organisations est également idéologique. Pour affirmer sa légitimité face à l’EIIL, les cadres syriens de JbN se réclament de la branche historique d’al-Qaïda (sous la direction d’Ayman al-Zawahiri) et donnent la priorité à la lutte contre le régime syrien aux côtés des autres groupes armés</w:t>
      </w:r>
      <w:r w:rsidRPr="00847E5E">
        <w:rPr>
          <w:rStyle w:val="Appelnotedebasdep"/>
          <w:rFonts w:ascii="Garamond" w:hAnsi="Garamond" w:cs="Times New Roman"/>
        </w:rPr>
        <w:footnoteReference w:id="9"/>
      </w:r>
      <w:r w:rsidRPr="00847E5E">
        <w:rPr>
          <w:rFonts w:ascii="Garamond" w:hAnsi="Garamond" w:cs="Times New Roman"/>
        </w:rPr>
        <w:t>. Le groupe entame ainsi plusieurs changements de nom pour devenir al-Qaïda au Levant (al-Qa‘ida fi Bilad al-Cham, elle demeure plus connue sous le nom de Jabhat al-Nusra).</w:t>
      </w:r>
      <w:r w:rsidRPr="00847E5E">
        <w:rPr>
          <w:rFonts w:ascii="Garamond" w:eastAsia="Times New Roman" w:hAnsi="Garamond" w:cs="Times New Roman"/>
        </w:rPr>
        <w:t xml:space="preserve"> </w:t>
      </w:r>
      <w:r w:rsidRPr="00847E5E">
        <w:rPr>
          <w:rFonts w:ascii="Garamond" w:hAnsi="Garamond" w:cs="Times New Roman"/>
        </w:rPr>
        <w:t>Pour sa part, l’EII rompt avec al-Qaïda, puis annonce en juin 2014 la formation d’un califat ayant vocation à recueillir l’allégeance de tous les sunnites.</w:t>
      </w:r>
      <w:bookmarkStart w:id="2" w:name="_3dy6vkm" w:colFirst="0" w:colLast="0"/>
      <w:bookmarkStart w:id="3" w:name="_1t3h5sf" w:colFirst="0" w:colLast="0"/>
      <w:bookmarkEnd w:id="2"/>
      <w:bookmarkEnd w:id="3"/>
    </w:p>
    <w:bookmarkEnd w:id="1"/>
    <w:p w14:paraId="7E5C69F0" w14:textId="77777777" w:rsidR="007F177A" w:rsidRPr="00847E5E" w:rsidRDefault="007F177A" w:rsidP="00847E5E">
      <w:pPr>
        <w:spacing w:line="276" w:lineRule="auto"/>
        <w:ind w:firstLine="720"/>
        <w:jc w:val="both"/>
        <w:rPr>
          <w:rFonts w:ascii="Garamond" w:hAnsi="Garamond" w:cs="Times New Roman"/>
        </w:rPr>
      </w:pPr>
    </w:p>
    <w:p w14:paraId="3A590BC2" w14:textId="77777777" w:rsidR="007F177A" w:rsidRPr="00847E5E" w:rsidRDefault="007F177A" w:rsidP="00847E5E">
      <w:pPr>
        <w:pStyle w:val="Titre4"/>
        <w:spacing w:line="276" w:lineRule="auto"/>
        <w:jc w:val="both"/>
        <w:rPr>
          <w:rFonts w:ascii="Garamond" w:hAnsi="Garamond" w:cs="Times New Roman"/>
          <w:sz w:val="24"/>
          <w:szCs w:val="24"/>
        </w:rPr>
      </w:pPr>
      <w:r w:rsidRPr="00847E5E" w:rsidDel="00F56AB6">
        <w:rPr>
          <w:rFonts w:ascii="Garamond" w:hAnsi="Garamond" w:cs="Times New Roman"/>
          <w:sz w:val="24"/>
          <w:szCs w:val="24"/>
        </w:rPr>
        <w:t>La construction d</w:t>
      </w:r>
      <w:r w:rsidRPr="00847E5E">
        <w:rPr>
          <w:rFonts w:ascii="Garamond" w:hAnsi="Garamond" w:cs="Times New Roman"/>
          <w:sz w:val="24"/>
          <w:szCs w:val="24"/>
        </w:rPr>
        <w:t xml:space="preserve">es relations de patronage </w:t>
      </w:r>
    </w:p>
    <w:p w14:paraId="0524D6CA" w14:textId="77777777" w:rsidR="007F177A" w:rsidRPr="00847E5E" w:rsidRDefault="007F177A" w:rsidP="00847E5E">
      <w:pPr>
        <w:spacing w:line="276" w:lineRule="auto"/>
        <w:jc w:val="both"/>
        <w:rPr>
          <w:rFonts w:ascii="Garamond" w:hAnsi="Garamond" w:cs="Times New Roman"/>
        </w:rPr>
      </w:pPr>
    </w:p>
    <w:p w14:paraId="7150B788" w14:textId="77777777" w:rsidR="007F177A" w:rsidRPr="00847E5E" w:rsidRDefault="007F177A" w:rsidP="00847E5E">
      <w:pPr>
        <w:spacing w:line="276" w:lineRule="auto"/>
        <w:ind w:firstLine="720"/>
        <w:jc w:val="both"/>
        <w:rPr>
          <w:rFonts w:ascii="Garamond" w:eastAsia="Times New Roman" w:hAnsi="Garamond" w:cs="Times New Roman"/>
          <w:highlight w:val="white"/>
        </w:rPr>
      </w:pPr>
      <w:r w:rsidRPr="00847E5E">
        <w:rPr>
          <w:rFonts w:ascii="Garamond" w:eastAsia="Times New Roman" w:hAnsi="Garamond" w:cs="Times New Roman"/>
        </w:rPr>
        <w:t xml:space="preserve">A partir de 2014, l’agenda transnational des deux organisations se confronte à la réalité du terrain avec la montée en force de l’Etat islamique et le retour du régime soutenu par l’Iran et la Russie. Si </w:t>
      </w:r>
      <w:r w:rsidRPr="00847E5E">
        <w:rPr>
          <w:rFonts w:ascii="Garamond" w:hAnsi="Garamond" w:cs="Times New Roman"/>
        </w:rPr>
        <w:t>leurs ressources militantes ont permis aux deux mouvements de gagner face aux autres acteurs de l’opposition, les rapports de forces régionaux restent insurmontables et imposent un</w:t>
      </w:r>
      <w:r w:rsidRPr="00847E5E">
        <w:rPr>
          <w:rFonts w:ascii="Garamond" w:eastAsia="Times New Roman" w:hAnsi="Garamond" w:cs="Times New Roman"/>
          <w:highlight w:val="white"/>
        </w:rPr>
        <w:t xml:space="preserve"> nouveau réalisme stratégique.</w:t>
      </w:r>
      <w:r w:rsidRPr="00847E5E">
        <w:rPr>
          <w:rFonts w:ascii="Garamond" w:eastAsia="Times New Roman" w:hAnsi="Garamond" w:cs="Times New Roman"/>
        </w:rPr>
        <w:t xml:space="preserve"> </w:t>
      </w:r>
      <w:r w:rsidRPr="00847E5E">
        <w:rPr>
          <w:rFonts w:ascii="Garamond" w:eastAsia="Times New Roman" w:hAnsi="Garamond" w:cs="Times New Roman"/>
          <w:highlight w:val="white"/>
        </w:rPr>
        <w:t xml:space="preserve">À mesure que le conflit s’intensifie et s’internationalise, différentes batailles démontrent que le temps de l'arrogance révolutionnaire est révolu. Les forces du PKK ne peuvent tenir seules face à l’Etat islamique en 2014 et deviennent dépendantes du soutien de la coalition internationale. Il en va de même face à l’armée turque qui déploie un modus operandi peu coûteux avec des combats sous-traités aux milices syriennes appuyée par des forces spéciales et l'utilisation massive de drones. En 2018, les forces kurdes perdent la région d’Afrin après deux mois de combats. En octobre 2019, l’évacuation par la coalition internationale d’une partie du nord de la Syrie permet à l'opération turque "Printemps de la paix" de prendre le contrôle de la bande frontière entre les villes de Tell-Tamer et Ras al-Ein. </w:t>
      </w:r>
    </w:p>
    <w:p w14:paraId="409DC66E"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 xml:space="preserve">L’offensive de l’EI en 2014 est également un tournant pour le JbN qui est obligé de combattre frontalement son ancienne organisation mère. </w:t>
      </w:r>
      <w:r w:rsidRPr="00847E5E">
        <w:rPr>
          <w:rFonts w:ascii="Garamond" w:eastAsia="Times New Roman" w:hAnsi="Garamond" w:cs="Times New Roman"/>
          <w:highlight w:val="white"/>
        </w:rPr>
        <w:t>Par la suite, isolé face aux troupes du régime soutenu par la Russie et l’Iran, le HTS subit un revers majeur à Idlib entre décembre 2019 et septembre 2020. Le groupe perd près de 40% du territoire en dix mois de combat. L'effondrement complet n’est évité que par l'intervention de la Turquie en février 2020 avec plus de 10 000 soldats turcs qui se déploient pour éviter une nouvelle vague de réfugiés et que la crise syrienne ne se déverse en Turquie.</w:t>
      </w:r>
      <w:r w:rsidRPr="00847E5E">
        <w:rPr>
          <w:rFonts w:ascii="Garamond" w:hAnsi="Garamond" w:cs="Times New Roman"/>
        </w:rPr>
        <w:t xml:space="preserve"> </w:t>
      </w:r>
      <w:r w:rsidRPr="00847E5E">
        <w:rPr>
          <w:rFonts w:ascii="Garamond" w:eastAsia="Times New Roman" w:hAnsi="Garamond" w:cs="Times New Roman"/>
        </w:rPr>
        <w:t>L</w:t>
      </w:r>
      <w:r w:rsidRPr="00847E5E">
        <w:rPr>
          <w:rFonts w:ascii="Garamond" w:hAnsi="Garamond" w:cs="Times New Roman"/>
        </w:rPr>
        <w:t xml:space="preserve">a relation de patronage avec un Etat protecteur devient une question de survie pour les deux mouvements. </w:t>
      </w:r>
    </w:p>
    <w:p w14:paraId="7FD244B2" w14:textId="77777777" w:rsidR="007F177A" w:rsidRPr="00847E5E" w:rsidDel="001B4319"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Dans ce contexte, les relations de patronage</w:t>
      </w:r>
      <w:r w:rsidRPr="00847E5E" w:rsidDel="004146C8">
        <w:rPr>
          <w:rFonts w:ascii="Garamond" w:eastAsia="Times New Roman" w:hAnsi="Garamond" w:cs="Times New Roman"/>
        </w:rPr>
        <w:t>s</w:t>
      </w:r>
      <w:r w:rsidRPr="00847E5E">
        <w:rPr>
          <w:rFonts w:ascii="Garamond" w:eastAsia="Times New Roman" w:hAnsi="Garamond" w:cs="Times New Roman"/>
        </w:rPr>
        <w:t xml:space="preserve"> se mettent en place dans l’urgence de la guerre à mesure que les rapports de forces évoluent défavorablement pour HTS et le PKK. Elles suscitent l’espoir d’une protection militaire efficace et transforment la stratégie des deux organisations. Les relations de patronage se construisent progressivement, de manière non linéaire. Elles sont d’abord difficiles à maitriser pour </w:t>
      </w:r>
      <w:r w:rsidRPr="00847E5E" w:rsidDel="001B4319">
        <w:rPr>
          <w:rFonts w:ascii="Garamond" w:eastAsia="Times New Roman" w:hAnsi="Garamond" w:cs="Times New Roman"/>
        </w:rPr>
        <w:t>les organisations</w:t>
      </w:r>
      <w:r w:rsidRPr="00847E5E">
        <w:rPr>
          <w:rFonts w:ascii="Garamond" w:eastAsia="Times New Roman" w:hAnsi="Garamond" w:cs="Times New Roman"/>
        </w:rPr>
        <w:t xml:space="preserve">le PKK et HTS qui doivent entrer en relation avec des acteurs étatiques hétérogènes et partagent cette même perception du flou et du manque de cohérence des politiques étrangères. Les deux organisations témoignent de leur difficulté à </w:t>
      </w:r>
      <w:r w:rsidRPr="00847E5E" w:rsidDel="001B4319">
        <w:rPr>
          <w:rFonts w:ascii="Garamond" w:eastAsia="Times New Roman" w:hAnsi="Garamond" w:cs="Times New Roman"/>
        </w:rPr>
        <w:t xml:space="preserve">décrypter </w:t>
      </w:r>
      <w:r w:rsidRPr="00847E5E">
        <w:rPr>
          <w:rFonts w:ascii="Garamond" w:eastAsia="Times New Roman" w:hAnsi="Garamond" w:cs="Times New Roman"/>
        </w:rPr>
        <w:t xml:space="preserve">la stratégie de leurs partenaires dont elles doivent apprendre </w:t>
      </w:r>
      <w:r w:rsidRPr="00847E5E" w:rsidDel="001B4319">
        <w:rPr>
          <w:rFonts w:ascii="Garamond" w:eastAsia="Times New Roman" w:hAnsi="Garamond" w:cs="Times New Roman"/>
        </w:rPr>
        <w:t xml:space="preserve">à décoder </w:t>
      </w:r>
      <w:r w:rsidRPr="00847E5E">
        <w:rPr>
          <w:rFonts w:ascii="Garamond" w:eastAsia="Times New Roman" w:hAnsi="Garamond" w:cs="Times New Roman"/>
        </w:rPr>
        <w:t xml:space="preserve">les contraintes et les objectifs. </w:t>
      </w:r>
    </w:p>
    <w:p w14:paraId="40A25F98"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 xml:space="preserve">En effet, les Etats ne sont pas des blocs monolithiques et </w:t>
      </w:r>
      <w:r w:rsidRPr="00847E5E" w:rsidDel="004146C8">
        <w:rPr>
          <w:rFonts w:ascii="Garamond" w:eastAsia="Times New Roman" w:hAnsi="Garamond" w:cs="Times New Roman"/>
        </w:rPr>
        <w:t xml:space="preserve">leurs </w:t>
      </w:r>
      <w:r w:rsidRPr="00847E5E">
        <w:rPr>
          <w:rFonts w:ascii="Garamond" w:eastAsia="Times New Roman" w:hAnsi="Garamond" w:cs="Times New Roman"/>
        </w:rPr>
        <w:t>les différentes institutions (forces spéciales, diplomates, programmes de reconstruction, acteurs humanitaires) qui interviennent en Syrie ne poursuivent pas les mêmes objectifs</w:t>
      </w:r>
      <w:r w:rsidRPr="00847E5E" w:rsidDel="004146C8">
        <w:rPr>
          <w:rFonts w:ascii="Garamond" w:eastAsia="Times New Roman" w:hAnsi="Garamond" w:cs="Times New Roman"/>
        </w:rPr>
        <w:t xml:space="preserve"> entre les forces spéciales, diplomates, programmes de reconstruction, acteurs humanitaires</w:t>
      </w:r>
      <w:r w:rsidRPr="00847E5E">
        <w:rPr>
          <w:rFonts w:ascii="Garamond" w:eastAsia="Times New Roman" w:hAnsi="Garamond" w:cs="Times New Roman"/>
        </w:rPr>
        <w:t>. C</w:t>
      </w:r>
      <w:r w:rsidRPr="00847E5E" w:rsidDel="004146C8">
        <w:rPr>
          <w:rFonts w:ascii="Garamond" w:eastAsia="Times New Roman" w:hAnsi="Garamond" w:cs="Times New Roman"/>
        </w:rPr>
        <w:t xml:space="preserve">es derniers ont chacun des contraintes différentes sur la manière de traiter avec des groupes non étatiques. </w:t>
      </w:r>
      <w:r w:rsidRPr="00847E5E">
        <w:rPr>
          <w:rFonts w:ascii="Garamond" w:eastAsia="Times New Roman" w:hAnsi="Garamond" w:cs="Times New Roman"/>
        </w:rPr>
        <w:t xml:space="preserve">L’ouverture du mouvement kurde sur les pays occidentaux débute en 2014 avec les forces spéciales américaines puis se développent via différents types de coopération avec les administrations occidentales : diplomates, renseignement puis agences de développement et une variété de programme civils de « stabilisation ». Plutôt qu’une relation unique entre le mouvement kurde et l’international, on observe une multitude de canaux de discussions et de programmes techniques fonctionnant souvent de manière isolée les uns des autres. Par exemple, les forces spéciales occidentales collaborent de manières soutenues avec le mouvement kurde syrien qu’elles forment et fournissent en armement pour lutter contre l’EI. A contrario, les diplomates refusent de financer directement les administrations civiles locales sous prétexte de leur proximité avec des mouvements « terroristes » et de leur manque de transparence. </w:t>
      </w:r>
    </w:p>
    <w:p w14:paraId="303A18AC"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Cette confusion est renforcée par le faible degré de coordination entre les Etats qui forment la Coalition internationale.</w:t>
      </w:r>
      <w:r w:rsidRPr="00847E5E" w:rsidDel="001B4319">
        <w:rPr>
          <w:rFonts w:ascii="Garamond" w:eastAsia="Times New Roman" w:hAnsi="Garamond" w:cs="Times New Roman"/>
        </w:rPr>
        <w:t xml:space="preserve"> </w:t>
      </w:r>
      <w:r w:rsidRPr="00847E5E">
        <w:rPr>
          <w:rFonts w:ascii="Garamond" w:eastAsia="Times New Roman" w:hAnsi="Garamond" w:cs="Times New Roman"/>
        </w:rPr>
        <w:t>Si l</w:t>
      </w:r>
      <w:r w:rsidRPr="00847E5E" w:rsidDel="001B4319">
        <w:rPr>
          <w:rFonts w:ascii="Garamond" w:eastAsia="Times New Roman" w:hAnsi="Garamond" w:cs="Times New Roman"/>
        </w:rPr>
        <w:t xml:space="preserve">es Etats-Unis sont à la tête de </w:t>
      </w:r>
      <w:r w:rsidRPr="00847E5E">
        <w:rPr>
          <w:rFonts w:ascii="Garamond" w:eastAsia="Times New Roman" w:hAnsi="Garamond" w:cs="Times New Roman"/>
        </w:rPr>
        <w:t>cette</w:t>
      </w:r>
      <w:r w:rsidRPr="00847E5E" w:rsidDel="001B4319">
        <w:rPr>
          <w:rFonts w:ascii="Garamond" w:eastAsia="Times New Roman" w:hAnsi="Garamond" w:cs="Times New Roman"/>
        </w:rPr>
        <w:t xml:space="preserve"> Coalition et décident des grandes orientations stratégiques, les différents Etats qui la compose ont chacun leur manière de construire leur relation avec les forces kurdes selon les impératifs de leurs politiques intérieures qui impactent leur politique syrienne : attentats en Europe, politique migratoire, échéances électorales… Le fonctionnement de la Coalition est ainsi complexe et manque de coopération avec des intérêts parfois contradictoires. Il n’y a aucun mécanisme de coordination au niveau des Etats occidentaux et les grandes décisions résultent souvent de dossiers étrangers au dossier syrien. </w:t>
      </w:r>
      <w:r w:rsidRPr="00847E5E">
        <w:rPr>
          <w:rFonts w:ascii="Garamond" w:eastAsia="Times New Roman" w:hAnsi="Garamond" w:cs="Times New Roman"/>
        </w:rPr>
        <w:t>De même, la relation entre HTS et la Turquie se construit sur plus de cinq années. Elle dépend de rapport de forces continuent entre l’armée turque, les renseignements et la diplomatie d’Ankara qui ne partagent pas la même politique en Syrie. Les services de renseignements turcs sont favorables à une politique de stabilisation de Idlib afin d’éviter une nouvelle vague migratoire vers la Turquie et une déstabilisation politique de l’AKP. Les renseignements voient dans l’héritier d’al-Qaeda un moindre mal permettant d’administrer à bas coûts l’enclave de Idlib. Cependant l’armée turque</w:t>
      </w:r>
      <w:r w:rsidRPr="00847E5E" w:rsidDel="001B4319">
        <w:rPr>
          <w:rFonts w:ascii="Garamond" w:eastAsia="Times New Roman" w:hAnsi="Garamond" w:cs="Times New Roman"/>
        </w:rPr>
        <w:t>s</w:t>
      </w:r>
      <w:r w:rsidRPr="00847E5E">
        <w:rPr>
          <w:rFonts w:ascii="Garamond" w:eastAsia="Times New Roman" w:hAnsi="Garamond" w:cs="Times New Roman"/>
        </w:rPr>
        <w:t xml:space="preserve"> est sur la réserve face à un mouvement qu’elle considère idéologiquement dangereux et </w:t>
      </w:r>
      <w:r w:rsidRPr="00847E5E" w:rsidDel="001B4319">
        <w:rPr>
          <w:rFonts w:ascii="Garamond" w:eastAsia="Times New Roman" w:hAnsi="Garamond" w:cs="Times New Roman"/>
        </w:rPr>
        <w:t xml:space="preserve">comme un groupe </w:t>
      </w:r>
      <w:r w:rsidRPr="00847E5E">
        <w:rPr>
          <w:rFonts w:ascii="Garamond" w:eastAsia="Times New Roman" w:hAnsi="Garamond" w:cs="Times New Roman"/>
        </w:rPr>
        <w:t>terroriste. De plus, HTS est tenu responsable des soldats turcs tombés dans l’enclave en conséquence des escarmouches régulières entre le groupe et le régime syrien. HTS et les forces kurdes se retrouvent ainsi pris dans des relations asymétriques qui, dans un contexte régional en pleine ébullition, les obligent à s’adapter à un ensemble d’acteurs. Progressivement, leur perception du « système international » se précise et passe de l’état d’idées préconçues à une approche pragmatique de praticiens de l’action internationale.</w:t>
      </w:r>
    </w:p>
    <w:p w14:paraId="3FD138C7"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 xml:space="preserve">Pour se protéger de l’arbitraire de réseaux d’acteurs étatiques qu’ils maitrisent mal, les deux organisations encadrent étroitement les acteurs internationaux qui se déploient sur leurs territoires. La confiance envers les parrains étatiques est </w:t>
      </w:r>
      <w:r w:rsidRPr="00847E5E" w:rsidDel="0010670B">
        <w:rPr>
          <w:rFonts w:ascii="Garamond" w:eastAsia="Times New Roman" w:hAnsi="Garamond" w:cs="Times New Roman"/>
        </w:rPr>
        <w:t xml:space="preserve">précaire </w:t>
      </w:r>
      <w:r w:rsidRPr="00847E5E">
        <w:rPr>
          <w:rFonts w:ascii="Garamond" w:eastAsia="Times New Roman" w:hAnsi="Garamond" w:cs="Times New Roman"/>
        </w:rPr>
        <w:t xml:space="preserve">limitée avec des positionnements idéologiques paradoxaux. Les islamistes de HTS s’allient à l’armée turque qu’ils qualifient « d’armée athée », les militants du PKK, nourries de références anti-impérialistes, s’allient à une coalition menée par les Etats-Unis. Chaque déploiement fait l’objet de négociations. HTS, accepte avec beaucoup de réticences l’arrivée de l’armée turque sur </w:t>
      </w:r>
      <w:r w:rsidRPr="00847E5E" w:rsidDel="0010670B">
        <w:rPr>
          <w:rFonts w:ascii="Garamond" w:eastAsia="Times New Roman" w:hAnsi="Garamond" w:cs="Times New Roman"/>
        </w:rPr>
        <w:t>les territoires rebelles</w:t>
      </w:r>
      <w:r w:rsidRPr="00847E5E">
        <w:rPr>
          <w:rFonts w:ascii="Garamond" w:eastAsia="Times New Roman" w:hAnsi="Garamond" w:cs="Times New Roman"/>
        </w:rPr>
        <w:t xml:space="preserve">son territoire. D’abord, en 2018, à titre d’observateur, puis, sur le point de rompre militairement, dès 2020, comme armée à part entière. En 2014, malgré l’urgence de la bataille de Kobane, le mouvement kurde fait tout pour conserver un contrôle étroit sur l’aide militaire qu’il reçoit au risque de perdre certains soutiens. En effet, les Américains hésitent six mois avant de soutenir les forces kurdes face à l’EI plutôt que l’ASL, comme le leur suggérait Ankara. Les kurdes craignent ensuite de perdre le contrôle des opérations militaires avec l’envoie d’un contingent de </w:t>
      </w:r>
      <w:r w:rsidRPr="00847E5E">
        <w:rPr>
          <w:rFonts w:ascii="Garamond" w:eastAsia="Times New Roman" w:hAnsi="Garamond" w:cs="Times New Roman"/>
          <w:i/>
        </w:rPr>
        <w:t xml:space="preserve">peshmergas </w:t>
      </w:r>
      <w:r w:rsidRPr="00847E5E">
        <w:rPr>
          <w:rFonts w:ascii="Garamond" w:eastAsia="Times New Roman" w:hAnsi="Garamond" w:cs="Times New Roman"/>
        </w:rPr>
        <w:t xml:space="preserve">par le PDK, un parti rival kurde irakien. Faute de confiance dans les objectifs du partenaire occidental, les militants kurdes n’ont de cesse de désarmer toute force militaire rivale et d’interdire l’autonomisation des unités formées en partenariat avec la Coalition. Cette approche se confirme </w:t>
      </w:r>
      <w:r w:rsidRPr="00847E5E">
        <w:rPr>
          <w:rFonts w:ascii="Garamond" w:eastAsia="Times New Roman" w:hAnsi="Garamond" w:cs="Times New Roman"/>
          <w:color w:val="000000"/>
          <w:highlight w:val="white"/>
        </w:rPr>
        <w:t>en 2019 lorsque les États-Unis évacuent une partie du Nord est syrien et laissent la Turquie opérer son offensive. Face à ce qui est vécu comme une « trahison », la réaction du mouvement kurde est d’essayer de sortir de l’alignement pro-occidental. Le mouvement réinvestit alors sa relation avec Damas espérant que la Russie intervienne en sa faveur auprès du régime syrien. Des rencontres multiples ont lieu au cours de l’année 2020, des commissions techniques sont créées, mais, le refus de Damas de négocier et la politique russe de rapprocher la Turquie de la Syrie dans un front commun anti-kurde</w:t>
      </w:r>
      <w:r w:rsidRPr="00847E5E">
        <w:rPr>
          <w:rStyle w:val="Appelnotedebasdep"/>
          <w:rFonts w:ascii="Garamond" w:eastAsia="Times New Roman" w:hAnsi="Garamond" w:cs="Times New Roman"/>
          <w:color w:val="000000"/>
          <w:highlight w:val="white"/>
        </w:rPr>
        <w:footnoteReference w:id="10"/>
      </w:r>
      <w:r w:rsidRPr="00847E5E">
        <w:rPr>
          <w:rFonts w:ascii="Garamond" w:eastAsia="Times New Roman" w:hAnsi="Garamond" w:cs="Times New Roman"/>
          <w:color w:val="000000"/>
          <w:highlight w:val="white"/>
        </w:rPr>
        <w:t xml:space="preserve">, rompent les négociations. Faute d’alternatives, les dirigeants du NES doivent se résigner à un partenariat précaire avec les pays occidentaux, entretenant l’hypothétique espoir d’une reconnaissance internationale. </w:t>
      </w:r>
    </w:p>
    <w:p w14:paraId="587C1045"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Malgré la fermeture du terrain et le degré de contrôle exercé par les organisations, l’aide internationale devient un élément structurel de leur survie et impacte leurs stratégies. Les organisations doivent céder aux demandes des États-patrons sur des points essentiels qui réorientent leurs stratégies respectives de conquêtes territoriales. Alors qu’en 2015 les forces kurdes veulent conquérir les territoires le long de la bande frontière avec la Turquie afin de pousser vers l’ouest du pays et relier les territoires kurdes de la Djé</w:t>
      </w:r>
      <w:r w:rsidRPr="00847E5E" w:rsidDel="0010670B">
        <w:rPr>
          <w:rFonts w:ascii="Garamond" w:eastAsia="Times New Roman" w:hAnsi="Garamond" w:cs="Times New Roman"/>
        </w:rPr>
        <w:t>Je</w:t>
      </w:r>
      <w:r w:rsidRPr="00847E5E">
        <w:rPr>
          <w:rFonts w:ascii="Garamond" w:eastAsia="Times New Roman" w:hAnsi="Garamond" w:cs="Times New Roman"/>
        </w:rPr>
        <w:t>z</w:t>
      </w:r>
      <w:r w:rsidRPr="00847E5E" w:rsidDel="0010670B">
        <w:rPr>
          <w:rFonts w:ascii="Garamond" w:eastAsia="Times New Roman" w:hAnsi="Garamond" w:cs="Times New Roman"/>
        </w:rPr>
        <w:t>z</w:t>
      </w:r>
      <w:r w:rsidRPr="00847E5E">
        <w:rPr>
          <w:rFonts w:ascii="Garamond" w:eastAsia="Times New Roman" w:hAnsi="Garamond" w:cs="Times New Roman"/>
        </w:rPr>
        <w:t>irah avec la poche kurde de Afrin</w:t>
      </w:r>
      <w:r w:rsidRPr="00847E5E" w:rsidDel="0010670B">
        <w:rPr>
          <w:rFonts w:ascii="Garamond" w:eastAsia="Times New Roman" w:hAnsi="Garamond" w:cs="Times New Roman"/>
        </w:rPr>
        <w:t>e</w:t>
      </w:r>
      <w:r w:rsidRPr="00847E5E">
        <w:rPr>
          <w:rFonts w:ascii="Garamond" w:eastAsia="Times New Roman" w:hAnsi="Garamond" w:cs="Times New Roman"/>
        </w:rPr>
        <w:t>, les Etats-Unis les obligent à pousser vers le Sud pour prendre Ra</w:t>
      </w:r>
      <w:r w:rsidRPr="00847E5E" w:rsidDel="0010670B">
        <w:rPr>
          <w:rFonts w:ascii="Garamond" w:eastAsia="Times New Roman" w:hAnsi="Garamond" w:cs="Times New Roman"/>
        </w:rPr>
        <w:t>kk</w:t>
      </w:r>
      <w:r w:rsidRPr="00847E5E">
        <w:rPr>
          <w:rFonts w:ascii="Garamond" w:eastAsia="Times New Roman" w:hAnsi="Garamond" w:cs="Times New Roman"/>
        </w:rPr>
        <w:t xml:space="preserve">a puis la région au nord de l’Euphrate. </w:t>
      </w:r>
      <w:r w:rsidRPr="00847E5E">
        <w:rPr>
          <w:rFonts w:ascii="Garamond" w:hAnsi="Garamond" w:cs="Times New Roman"/>
        </w:rPr>
        <w:t xml:space="preserve">Pour HTS, le partenariat avec la Turquie implique de mettre un terme aux perspectives révolutionnaires de faire tomber le régime syrien. </w:t>
      </w:r>
      <w:r w:rsidRPr="00847E5E">
        <w:rPr>
          <w:rFonts w:ascii="Garamond" w:eastAsia="Times New Roman" w:hAnsi="Garamond" w:cs="Times New Roman"/>
        </w:rPr>
        <w:t xml:space="preserve">En mars 2020, HTS est contraint d’accepter la mise en place d’une trêve avec la Russie et le régime soit de </w:t>
      </w:r>
      <w:r w:rsidRPr="00847E5E">
        <w:rPr>
          <w:rFonts w:ascii="Garamond" w:eastAsia="Times New Roman" w:hAnsi="Garamond" w:cs="Times New Roman"/>
          <w:highlight w:val="white"/>
        </w:rPr>
        <w:t>troquer le djihad offensif contre une stratégie de résilience</w:t>
      </w:r>
      <w:r w:rsidRPr="00847E5E">
        <w:rPr>
          <w:rFonts w:ascii="Garamond" w:eastAsia="Times New Roman" w:hAnsi="Garamond" w:cs="Times New Roman"/>
        </w:rPr>
        <w:t xml:space="preserve">. </w:t>
      </w:r>
      <w:r w:rsidRPr="00847E5E">
        <w:rPr>
          <w:rFonts w:ascii="Garamond" w:eastAsia="Times New Roman" w:hAnsi="Garamond" w:cs="Times New Roman"/>
          <w:highlight w:val="white"/>
        </w:rPr>
        <w:t xml:space="preserve">HTS est ensuite forcé d'accepter l'accord </w:t>
      </w:r>
      <w:r w:rsidRPr="00847E5E">
        <w:rPr>
          <w:rFonts w:ascii="Garamond" w:eastAsia="Times New Roman" w:hAnsi="Garamond" w:cs="Times New Roman"/>
        </w:rPr>
        <w:t xml:space="preserve">russo-turc du 4 mars 2020, </w:t>
      </w:r>
      <w:r w:rsidRPr="00847E5E">
        <w:rPr>
          <w:rFonts w:ascii="Garamond" w:eastAsia="Times New Roman" w:hAnsi="Garamond" w:cs="Times New Roman"/>
          <w:highlight w:val="white"/>
        </w:rPr>
        <w:t>qui lui impose des patrouilles conjointes russo-turques sur son territoire</w:t>
      </w:r>
      <w:r w:rsidRPr="00847E5E">
        <w:rPr>
          <w:rFonts w:ascii="Garamond" w:eastAsia="Times New Roman" w:hAnsi="Garamond" w:cs="Times New Roman"/>
        </w:rPr>
        <w:t xml:space="preserve"> ou encore la distribution de l’aide onusienne à partir des zones du régime</w:t>
      </w:r>
      <w:r w:rsidRPr="00847E5E">
        <w:rPr>
          <w:rStyle w:val="Appelnotedebasdep"/>
          <w:rFonts w:ascii="Garamond" w:eastAsia="Times New Roman" w:hAnsi="Garamond" w:cs="Times New Roman"/>
        </w:rPr>
        <w:footnoteReference w:id="11"/>
      </w:r>
      <w:r w:rsidRPr="00847E5E">
        <w:rPr>
          <w:rFonts w:ascii="Garamond" w:eastAsia="Times New Roman" w:hAnsi="Garamond" w:cs="Times New Roman"/>
        </w:rPr>
        <w:t>.  La décision du groupe de soutenir activement</w:t>
      </w:r>
      <w:r w:rsidRPr="00847E5E">
        <w:rPr>
          <w:rFonts w:ascii="Garamond" w:hAnsi="Garamond" w:cs="Times New Roman"/>
          <w:vertAlign w:val="superscript"/>
        </w:rPr>
        <w:t xml:space="preserve"> </w:t>
      </w:r>
      <w:r w:rsidRPr="00847E5E">
        <w:rPr>
          <w:rFonts w:ascii="Garamond" w:eastAsia="Times New Roman" w:hAnsi="Garamond" w:cs="Times New Roman"/>
        </w:rPr>
        <w:t xml:space="preserve">ces accords crée des tensions avec une partie de la base militante mais, faute d’alternative, l’organisation n’a plus le choix de sa stratégie d’ouverture.  </w:t>
      </w:r>
    </w:p>
    <w:p w14:paraId="2A890913"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En effet, malgré ces contraintes qu’ils imposent, les parrainages internationaux ont deux avantages. D’une part, ils ne s’ingèrent pas dans les affaires internes des organisations et laissent la direction de chaque organisation relativement libre de sa politique locale. Faute de volonté ou de cohérence dans leur politique syrienne, les Etats n’essaient pas de changer la gouvernance et l’encadrement idéologique des territoires. D’autre</w:t>
      </w:r>
      <w:r w:rsidRPr="00847E5E" w:rsidDel="0010670B">
        <w:rPr>
          <w:rFonts w:ascii="Garamond" w:eastAsia="Times New Roman" w:hAnsi="Garamond" w:cs="Times New Roman"/>
        </w:rPr>
        <w:t>s</w:t>
      </w:r>
      <w:r w:rsidRPr="00847E5E">
        <w:rPr>
          <w:rFonts w:ascii="Garamond" w:eastAsia="Times New Roman" w:hAnsi="Garamond" w:cs="Times New Roman"/>
        </w:rPr>
        <w:t xml:space="preserve"> part, les parrainages placent les deux groupes en position de force face à un régime syrien affaibli</w:t>
      </w:r>
      <w:r w:rsidRPr="00847E5E" w:rsidDel="0010670B">
        <w:rPr>
          <w:rFonts w:ascii="Garamond" w:eastAsia="Times New Roman" w:hAnsi="Garamond" w:cs="Times New Roman"/>
        </w:rPr>
        <w:t>t</w:t>
      </w:r>
      <w:r w:rsidRPr="00847E5E">
        <w:rPr>
          <w:rFonts w:ascii="Garamond" w:eastAsia="Times New Roman" w:hAnsi="Garamond" w:cs="Times New Roman"/>
        </w:rPr>
        <w:t xml:space="preserve"> et en déliquescence croissante des pouvoirs publics</w:t>
      </w:r>
      <w:r w:rsidRPr="00847E5E">
        <w:rPr>
          <w:rFonts w:ascii="Garamond" w:eastAsia="Times New Roman" w:hAnsi="Garamond" w:cs="Times New Roman"/>
          <w:vertAlign w:val="superscript"/>
        </w:rPr>
        <w:footnoteReference w:id="12"/>
      </w:r>
      <w:r w:rsidRPr="00847E5E">
        <w:rPr>
          <w:rFonts w:ascii="Garamond" w:eastAsia="Times New Roman" w:hAnsi="Garamond" w:cs="Times New Roman"/>
        </w:rPr>
        <w:t xml:space="preserve">. Sur le plan militaire, l’aide internationale permet aux deux organisations de vaincre l’EI et de contenir la menace tandis que le régime est confronté à une insurrection croissante sur son territoire. Sur le plan économique, cela leur procure un accès à des devises fortes. L'économie d'Idlib fonctionne en lires turques, tandis que l’économie du NES se dollarise lentement grâce aux ventes de pétrole et à sa frontière avec le Kurdistan irakien. Les partenariats avec des États puissants disposant de fonds de stabilisation, une forte capacité à fournir de l'aide humanitaire et l'accès à un secteur privé dynamique. On observe par exemple l'expansion de l'industrie turque à Idlib ou les secteurs de la construction et de l’électricité sont connecté à la Turquie. Dans le NES, les financements de la Coalition, via des entreprises privées, permet de maintenir les infrastructures (routes, électricité, eau) et de relancer l’agriculture, la production pétrolière, les capacités de raffinement. </w:t>
      </w:r>
    </w:p>
    <w:p w14:paraId="662DE7DB" w14:textId="77777777" w:rsidR="007F177A" w:rsidRPr="00847E5E" w:rsidRDefault="007F177A" w:rsidP="00847E5E">
      <w:pPr>
        <w:spacing w:line="276" w:lineRule="auto"/>
        <w:ind w:firstLine="720"/>
        <w:jc w:val="both"/>
        <w:rPr>
          <w:rFonts w:ascii="Garamond" w:eastAsia="Times New Roman" w:hAnsi="Garamond" w:cs="Times New Roman"/>
        </w:rPr>
      </w:pPr>
    </w:p>
    <w:p w14:paraId="0A24A11E" w14:textId="25223CF9" w:rsidR="007F177A" w:rsidRPr="00847E5E" w:rsidRDefault="007F177A" w:rsidP="00847E5E">
      <w:pPr>
        <w:pStyle w:val="Titre3"/>
        <w:spacing w:line="276" w:lineRule="auto"/>
        <w:jc w:val="both"/>
        <w:rPr>
          <w:rFonts w:ascii="Garamond" w:eastAsia="Times New Roman" w:hAnsi="Garamond" w:cs="Times New Roman"/>
          <w:sz w:val="24"/>
          <w:szCs w:val="24"/>
        </w:rPr>
      </w:pPr>
      <w:bookmarkStart w:id="4" w:name="_4d34og8" w:colFirst="0" w:colLast="0"/>
      <w:bookmarkEnd w:id="4"/>
      <w:r w:rsidRPr="00847E5E">
        <w:rPr>
          <w:rFonts w:ascii="Garamond" w:eastAsia="Times New Roman" w:hAnsi="Garamond" w:cs="Times New Roman"/>
          <w:sz w:val="24"/>
          <w:szCs w:val="24"/>
        </w:rPr>
        <w:t>Les effets sur les mouvements</w:t>
      </w:r>
    </w:p>
    <w:p w14:paraId="3A45A63C" w14:textId="77777777" w:rsidR="007F177A" w:rsidRPr="00847E5E" w:rsidRDefault="007F177A" w:rsidP="00847E5E">
      <w:pPr>
        <w:spacing w:line="276" w:lineRule="auto"/>
        <w:ind w:firstLine="720"/>
        <w:jc w:val="both"/>
        <w:rPr>
          <w:rFonts w:ascii="Garamond" w:eastAsia="Times New Roman" w:hAnsi="Garamond" w:cs="Times New Roman"/>
          <w:iCs/>
        </w:rPr>
      </w:pPr>
      <w:r w:rsidRPr="00847E5E">
        <w:rPr>
          <w:rFonts w:ascii="Garamond" w:eastAsia="Times New Roman" w:hAnsi="Garamond" w:cs="Times New Roman"/>
          <w:iCs/>
        </w:rPr>
        <w:t xml:space="preserve">Le développement des patronages étatiques a de nombreux impacts sur les deux organisations. Toute d’abord, l’aide internationale construit de nouveaux rapports de force au sein des deux organisations ce qui crée des fractures au sein de HTS et des tensions dans le mouvement kurde. Ensuite, ces nouveaux équilibres de pouvoir se répercutent sur le projet idéologique initialement porté par les organisations mères. On assiste à une sorte de révolution silencieuse avec des élites locales qui rejettent la discipline partisane et son idéologie. Enfin, ces transformations débouchent sur différents modes de gouvernement des populations, la gouvernance devenant un moyen d’afficher la bonne conduite du mouvement dans l’espoir d’obtenir une reconnaissance politique au niveau international. </w:t>
      </w:r>
    </w:p>
    <w:p w14:paraId="1D071754" w14:textId="77777777" w:rsidR="007F177A" w:rsidRPr="00847E5E" w:rsidRDefault="007F177A" w:rsidP="00847E5E">
      <w:pPr>
        <w:spacing w:line="276" w:lineRule="auto"/>
        <w:ind w:firstLine="720"/>
        <w:jc w:val="both"/>
        <w:rPr>
          <w:rFonts w:ascii="Garamond" w:eastAsia="Times New Roman" w:hAnsi="Garamond" w:cs="Times New Roman"/>
          <w:iCs/>
        </w:rPr>
      </w:pPr>
    </w:p>
    <w:p w14:paraId="3416A897" w14:textId="77777777" w:rsidR="007F177A" w:rsidRPr="00847E5E" w:rsidRDefault="007F177A" w:rsidP="00847E5E">
      <w:pPr>
        <w:pStyle w:val="Titre4"/>
        <w:spacing w:line="276" w:lineRule="auto"/>
        <w:jc w:val="both"/>
        <w:rPr>
          <w:rFonts w:ascii="Garamond" w:eastAsia="Times New Roman" w:hAnsi="Garamond" w:cs="Times New Roman"/>
          <w:sz w:val="24"/>
          <w:szCs w:val="24"/>
        </w:rPr>
      </w:pPr>
      <w:r w:rsidRPr="00847E5E">
        <w:rPr>
          <w:rFonts w:ascii="Garamond" w:eastAsia="Times New Roman" w:hAnsi="Garamond" w:cs="Times New Roman"/>
          <w:sz w:val="24"/>
          <w:szCs w:val="24"/>
        </w:rPr>
        <w:t>Positionnement international et rapport de force interne aux organisations</w:t>
      </w:r>
    </w:p>
    <w:p w14:paraId="644E6FBC" w14:textId="77777777" w:rsidR="007F177A" w:rsidRPr="00847E5E" w:rsidRDefault="007F177A" w:rsidP="00847E5E">
      <w:pPr>
        <w:spacing w:line="276" w:lineRule="auto"/>
        <w:ind w:firstLine="720"/>
        <w:jc w:val="both"/>
        <w:rPr>
          <w:rFonts w:ascii="Garamond" w:eastAsia="Times New Roman" w:hAnsi="Garamond" w:cs="Times New Roman"/>
        </w:rPr>
      </w:pPr>
    </w:p>
    <w:p w14:paraId="3021790E"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hAnsi="Garamond" w:cs="Times New Roman"/>
        </w:rPr>
        <w:t xml:space="preserve">Les tentatives de repositionnement de JbN et sa nouvelle alliance avec la Turquie se traduisent par une longue série de transformations interne au mouvement. Dès mars 2015, JbN s’ouvre sur les groupes de l’insurrection syrienne connectés à la Turquie. Il forme avec Ahrar al-Cham et d’anciennes unités de l’ASL une coalition combattant dans les gouvernorats de Hama, Latakia et Idlib, l’Armée de la conquête (Jaych alFatah), et accepte un compromis sur l’administration de la ville d’Idlib. Cela n’empêche pas qu’une </w:t>
      </w:r>
      <w:r w:rsidRPr="00847E5E">
        <w:rPr>
          <w:rFonts w:ascii="Garamond" w:eastAsia="Times New Roman" w:hAnsi="Garamond" w:cs="Times New Roman"/>
          <w:highlight w:val="white"/>
        </w:rPr>
        <w:t xml:space="preserve">politique de grignotage progressif sur les autres groupes révolutionnaires se poursuit, mais dans le même temps le groupe devient plus pragmatique et doit intégrer des non militants. </w:t>
      </w:r>
    </w:p>
    <w:p w14:paraId="0F2DEE4C"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 xml:space="preserve">L’organisation est également amenée à se repositionner sur le plan international par rapport à la mouvance jihadiste. </w:t>
      </w:r>
      <w:r w:rsidRPr="00847E5E">
        <w:rPr>
          <w:rFonts w:ascii="Garamond" w:hAnsi="Garamond" w:cs="Times New Roman"/>
        </w:rPr>
        <w:t xml:space="preserve">Bien qu’elle refuse de désavouer ses liens avec al-Qaïda, le Jabhat al-Nusra insiste sur le caractère proprement syrien de ses objectifs. Dans un entretien de mai 2015 avec Al Jazeera, Abu Muhammad al-Julani déclare : </w:t>
      </w:r>
      <w:r w:rsidRPr="00847E5E">
        <w:rPr>
          <w:rFonts w:ascii="Garamond" w:hAnsi="Garamond" w:cs="Times New Roman"/>
          <w:i/>
        </w:rPr>
        <w:t xml:space="preserve">« Le Front Nusra n'a pas de plans ou de directives pour cibler l'Occident. Nous avons reçu des ordres clairs de ne pas utiliser la Syrie comme rampe de lancement pour attaquer les États-Unis ou l'Europe afin de ne pas saboter la véritable mission contre le régime. Al-Qaïda le fait peut-être, mais pas ici en Syrie </w:t>
      </w:r>
      <w:r w:rsidRPr="00847E5E">
        <w:rPr>
          <w:rFonts w:ascii="Garamond" w:hAnsi="Garamond" w:cs="Times New Roman"/>
        </w:rPr>
        <w:t>». Dans le même entretien, ce dernier nie l’existence du groupe Khorasan qui, d’après les services de renseignements américains, préparait des attentats contre les pays occidentaux.</w:t>
      </w:r>
      <w:r w:rsidRPr="00847E5E">
        <w:rPr>
          <w:rFonts w:ascii="Garamond" w:eastAsia="Times New Roman" w:hAnsi="Garamond" w:cs="Times New Roman"/>
        </w:rPr>
        <w:t xml:space="preserve"> </w:t>
      </w:r>
      <w:r w:rsidRPr="00847E5E">
        <w:rPr>
          <w:rFonts w:ascii="Garamond" w:eastAsia="Times New Roman" w:hAnsi="Garamond" w:cs="Times New Roman"/>
          <w:highlight w:val="white"/>
        </w:rPr>
        <w:t xml:space="preserve">En effet, la relation avec Al-Qaida est marquée par </w:t>
      </w:r>
      <w:r w:rsidRPr="00847E5E">
        <w:rPr>
          <w:rFonts w:ascii="Garamond" w:eastAsia="Times New Roman" w:hAnsi="Garamond" w:cs="Times New Roman"/>
        </w:rPr>
        <w:t xml:space="preserve">trois ruptures : l'annonce d'une rupture officielle avec un changement de nom (Jebha Fath al-Sham en 2016 puis HTS en janvier 2017), un schisme interne avec certains des dirigeants du mouvement soucieux </w:t>
      </w:r>
      <w:r w:rsidRPr="00847E5E">
        <w:rPr>
          <w:rFonts w:ascii="Garamond" w:eastAsia="Times New Roman" w:hAnsi="Garamond" w:cs="Times New Roman"/>
          <w:highlight w:val="white"/>
        </w:rPr>
        <w:t>de maintenir des liens avec Al-Qaïda (ces derniers crée Huras al-Din en février 2018)</w:t>
      </w:r>
      <w:r w:rsidRPr="00847E5E">
        <w:rPr>
          <w:rStyle w:val="Appelnotedebasdep"/>
          <w:rFonts w:ascii="Garamond" w:eastAsia="Times New Roman" w:hAnsi="Garamond" w:cs="Times New Roman"/>
          <w:highlight w:val="white"/>
        </w:rPr>
        <w:footnoteReference w:id="13"/>
      </w:r>
      <w:r w:rsidRPr="00847E5E">
        <w:rPr>
          <w:rFonts w:ascii="Garamond" w:eastAsia="Times New Roman" w:hAnsi="Garamond" w:cs="Times New Roman"/>
          <w:highlight w:val="white"/>
        </w:rPr>
        <w:t xml:space="preserve"> et enfin, une confrontation militaire ouverte en juillet 2020 avec la branche locale d'Al-Qaïda à Idlib.</w:t>
      </w:r>
    </w:p>
    <w:p w14:paraId="701B95C6" w14:textId="77777777" w:rsidR="007F177A" w:rsidRPr="00847E5E" w:rsidRDefault="007F177A" w:rsidP="00847E5E">
      <w:pPr>
        <w:spacing w:line="276" w:lineRule="auto"/>
        <w:ind w:firstLine="720"/>
        <w:jc w:val="both"/>
        <w:rPr>
          <w:rFonts w:ascii="Garamond" w:hAnsi="Garamond" w:cs="Times New Roman"/>
          <w:color w:val="000000"/>
          <w:lang w:val="fr-CH"/>
        </w:rPr>
      </w:pPr>
      <w:r w:rsidRPr="00847E5E">
        <w:rPr>
          <w:rFonts w:ascii="Garamond" w:hAnsi="Garamond" w:cs="Times New Roman"/>
          <w:color w:val="000000"/>
          <w:lang w:val="fr-CH"/>
        </w:rPr>
        <w:t xml:space="preserve">Initialement, le HTS ne souhaites pas d’affrontements contre la branche locale de Al-Qaïda et opte pour une stratégie d’isolement en obligeant Huras al-Din à renoncer aux "opérations externes" (c’est-à-dire au jihad global), dissoudre ses tribunaux, ses centres de détention et points de contrôle, et à accepter la juridiction des tribunaux militaires du HTS. Cet accord perdure jusqu’à l’intervention militaire de la Turquie à Idlib en février 2020 qui perturbe l'équilibre fragile entre les deux organisations. HTS décide alors de s'aligner sur l'accord russo-turc de stabilisation du front d’Idlib, reconnaissant essentiellement la présence intermittente des forces russes par le déploiement de patrouilles conjointes turco-russes dans les territoires contrôlés par les rebelles. De plus, cette transformation coïncide avec la détérioration progressive de la situation à Idlib, où Hurras al-Din, confronté à des difficultés financières, a de plus en plus recouru aux enlèvements, au pillage et au vol. Le repositionnement de HTS débouche ainsi sur la destruction de Hurras al-Din ce qui a un effet de bascule, pour la première fois depuis le début de la Révolution, al-Qaïda n’a plus de présence visible en Syrie. </w:t>
      </w:r>
    </w:p>
    <w:p w14:paraId="6D4DC7A9" w14:textId="77777777" w:rsidR="007F177A" w:rsidRPr="00847E5E" w:rsidRDefault="007F177A" w:rsidP="00847E5E">
      <w:pPr>
        <w:spacing w:line="276" w:lineRule="auto"/>
        <w:ind w:firstLine="720"/>
        <w:jc w:val="both"/>
        <w:rPr>
          <w:rFonts w:ascii="Garamond" w:eastAsia="Times New Roman" w:hAnsi="Garamond" w:cs="Times New Roman"/>
          <w:lang w:val="fr-CH"/>
        </w:rPr>
      </w:pPr>
    </w:p>
    <w:p w14:paraId="5BF18C9D"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 xml:space="preserve">Le PKK suit une trajectoire différente en Syrie où la guerre contre l’EI lui assure un soutient occidental massif. </w:t>
      </w:r>
      <w:r w:rsidRPr="00847E5E">
        <w:rPr>
          <w:rFonts w:ascii="Garamond" w:eastAsia="Times New Roman" w:hAnsi="Garamond" w:cs="Times New Roman"/>
          <w:highlight w:val="white"/>
        </w:rPr>
        <w:t xml:space="preserve">Entre 2014 et 2019, l’alliance à la coalition internationale menée par les Etats Unis permet au parti de renforcer son modèle militaire et de prendre le contrôle d’un immense territoire.  Avec plusieurs de milliers de morts, le parti s’investit massivement dans la guerre aux côtés de la Coalition. Cela lui permet d’augmenter considérablement son capital militaire et ses capacités de contrôle de la société. La création des Force démocratiques syriennes (FDS) en 2015 permet d’élargir le recrutement vers les populations arabes tandis que la </w:t>
      </w:r>
      <w:r w:rsidRPr="00847E5E">
        <w:rPr>
          <w:rFonts w:ascii="Garamond" w:eastAsia="Times New Roman" w:hAnsi="Garamond" w:cs="Times New Roman"/>
        </w:rPr>
        <w:t>mise en place d’un modèle d’académies assure la formation idéologique des combattants. En 2019, cette force militaire est dotée de 70 000 combattants, appuyés par des forces de sécurité intérieur de 60 000 hommes pour un budget annuel de plus de 350 000 euros. De plus des donations régulières de matériel par la Coalition permet un accroissement des capacités militaires du mouvement. Le PKK devient l’un des principaux acteurs militaires de la Syrie doté d’une force militaire professionnelle et bien organisée.</w:t>
      </w:r>
    </w:p>
    <w:p w14:paraId="5CAC445E"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Dans ce contexte de renforcement du contrôle du PKK sur le NES la possibilité d’autonomisation des cadres syriens de l’organisation est faible. Le contrôle des cadres du PKK reste au centre des prises de décisions et de gestion de ces forces armées financées par les pays occidentaux. La présence des cadres du PKK tend à être moins visible au profit de l’institutionnalisation de l’Administration autonome du NES. Elle se fait notamment via des positions plus discrètes de « conseillers » ou de « volontaires ». Mais rien n’indique un moindre contrôle du parti sur le NES, au contraire les ressources internationales permettent une emprise accrue sur la société tandis que le PKK se renforce en tant qu’organisation transnationale capable de mener des opérations en Turquie et en Irak.</w:t>
      </w:r>
    </w:p>
    <w:p w14:paraId="57C7A21D" w14:textId="77777777" w:rsidR="007F177A" w:rsidRPr="00847E5E" w:rsidRDefault="007F177A" w:rsidP="00847E5E">
      <w:pPr>
        <w:spacing w:line="276" w:lineRule="auto"/>
        <w:ind w:firstLine="720"/>
        <w:jc w:val="both"/>
        <w:rPr>
          <w:rFonts w:ascii="Garamond" w:hAnsi="Garamond" w:cs="Times New Roman"/>
        </w:rPr>
      </w:pPr>
    </w:p>
    <w:p w14:paraId="20A315D1" w14:textId="77777777" w:rsidR="007F177A" w:rsidRPr="00847E5E" w:rsidRDefault="007F177A" w:rsidP="00847E5E">
      <w:pPr>
        <w:pStyle w:val="Titre4"/>
        <w:spacing w:line="276" w:lineRule="auto"/>
        <w:jc w:val="both"/>
        <w:rPr>
          <w:rFonts w:ascii="Garamond" w:hAnsi="Garamond" w:cs="Times New Roman"/>
          <w:sz w:val="24"/>
          <w:szCs w:val="24"/>
        </w:rPr>
      </w:pPr>
      <w:r w:rsidRPr="00847E5E">
        <w:rPr>
          <w:rFonts w:ascii="Garamond" w:hAnsi="Garamond" w:cs="Times New Roman"/>
          <w:sz w:val="24"/>
          <w:szCs w:val="24"/>
        </w:rPr>
        <w:t>L’idéologie, entre révolution silencieuse et continuité</w:t>
      </w:r>
    </w:p>
    <w:p w14:paraId="2B88C041" w14:textId="77777777" w:rsidR="007F177A" w:rsidRPr="00847E5E" w:rsidRDefault="007F177A" w:rsidP="00847E5E">
      <w:pPr>
        <w:spacing w:line="276" w:lineRule="auto"/>
        <w:jc w:val="both"/>
        <w:rPr>
          <w:rFonts w:ascii="Garamond" w:hAnsi="Garamond" w:cs="Times New Roman"/>
          <w:color w:val="000000"/>
        </w:rPr>
      </w:pPr>
      <w:r w:rsidRPr="00847E5E">
        <w:rPr>
          <w:rFonts w:ascii="Garamond" w:hAnsi="Garamond" w:cs="Times New Roman"/>
          <w:color w:val="000000"/>
        </w:rPr>
        <w:t xml:space="preserve">La tentative d’alliance de HTS avec la Turquie a un impact sur le positionnement idéologique de l’organisation et ses pratiques religieuses. On observe une prise de distance de HTS par rapport à la matrice salafiste djihadiste initiale. Cela ne résulte pas d’une conversion à la modération des cadres du groupe, mais d’une série de choix tactiques et à des concessions sociales (intégration des élites locales, politiques et cléricales), théologique (reprise de répertoires religieux dominants) et politique (intégration de la référence révolutionnaire). </w:t>
      </w:r>
    </w:p>
    <w:p w14:paraId="38444279" w14:textId="77777777" w:rsidR="007F177A" w:rsidRPr="00847E5E" w:rsidRDefault="007F177A" w:rsidP="00847E5E">
      <w:pPr>
        <w:spacing w:line="276" w:lineRule="auto"/>
        <w:ind w:firstLine="720"/>
        <w:jc w:val="both"/>
        <w:rPr>
          <w:rFonts w:ascii="Garamond" w:hAnsi="Garamond" w:cs="Times New Roman"/>
          <w:color w:val="000000"/>
        </w:rPr>
      </w:pPr>
      <w:r w:rsidRPr="00847E5E">
        <w:rPr>
          <w:rFonts w:ascii="Garamond" w:hAnsi="Garamond" w:cs="Times New Roman"/>
          <w:color w:val="000000"/>
        </w:rPr>
        <w:t>La dimension politique est au cœur de ces concessions avec le choix stratégique de s’intégrer dans la révolution syrienne. Cette révolution que Jebha al-Nosra, dès les origines, se proposait de « soutenir »</w:t>
      </w:r>
      <w:r w:rsidRPr="00847E5E">
        <w:rPr>
          <w:rStyle w:val="Appelnotedebasdep"/>
          <w:rFonts w:ascii="Garamond" w:hAnsi="Garamond" w:cs="Times New Roman"/>
          <w:color w:val="000000"/>
        </w:rPr>
        <w:footnoteReference w:id="14"/>
      </w:r>
      <w:r w:rsidRPr="00847E5E">
        <w:rPr>
          <w:rFonts w:ascii="Garamond" w:hAnsi="Garamond" w:cs="Times New Roman"/>
          <w:color w:val="000000"/>
        </w:rPr>
        <w:t xml:space="preserve"> était en réalité vue avec suspicion par les </w:t>
      </w:r>
      <w:r w:rsidRPr="00847E5E">
        <w:rPr>
          <w:rFonts w:ascii="Garamond" w:hAnsi="Garamond" w:cs="Times New Roman"/>
          <w:i/>
          <w:iCs/>
          <w:color w:val="000000"/>
        </w:rPr>
        <w:t>shaykhs</w:t>
      </w:r>
      <w:r w:rsidRPr="00847E5E">
        <w:rPr>
          <w:rFonts w:ascii="Garamond" w:hAnsi="Garamond" w:cs="Times New Roman"/>
          <w:color w:val="000000"/>
        </w:rPr>
        <w:t xml:space="preserve"> du djihad global comme Abou Mohamed al-Maqdissi qui redoutaient que des alliances avec des acteurs révolutionnaires, perçues comme alliés aux occidentaux et à la Turquie. S’intégrer à la révolution était critiqué comme un risque de « dilution » (</w:t>
      </w:r>
      <w:r w:rsidRPr="00847E5E">
        <w:rPr>
          <w:rFonts w:ascii="Garamond" w:hAnsi="Garamond" w:cs="Times New Roman"/>
          <w:i/>
          <w:iCs/>
          <w:color w:val="000000"/>
        </w:rPr>
        <w:t>tamiya</w:t>
      </w:r>
      <w:r w:rsidRPr="00847E5E">
        <w:rPr>
          <w:rFonts w:ascii="Garamond" w:hAnsi="Garamond" w:cs="Times New Roman"/>
          <w:color w:val="000000"/>
        </w:rPr>
        <w:t xml:space="preserve">) des purs, d’une avant-garde jihadiste définie théologiquement en termes de </w:t>
      </w:r>
      <w:r w:rsidRPr="00847E5E">
        <w:rPr>
          <w:rFonts w:ascii="Garamond" w:hAnsi="Garamond" w:cs="Times New Roman"/>
          <w:i/>
          <w:iCs/>
          <w:color w:val="000000"/>
        </w:rPr>
        <w:t>firqa najiyya</w:t>
      </w:r>
      <w:r w:rsidRPr="00847E5E">
        <w:rPr>
          <w:rFonts w:ascii="Garamond" w:hAnsi="Garamond" w:cs="Times New Roman"/>
          <w:color w:val="000000"/>
        </w:rPr>
        <w:t xml:space="preserve">, de « faction rescapée », qui, à terme, conduirait à se compromettre sur les grands principes. De ce point de vue, le principe salafiste de </w:t>
      </w:r>
      <w:r w:rsidRPr="00847E5E">
        <w:rPr>
          <w:rFonts w:ascii="Garamond" w:hAnsi="Garamond" w:cs="Times New Roman"/>
          <w:i/>
          <w:iCs/>
          <w:color w:val="000000"/>
        </w:rPr>
        <w:t>al-Wala wa al-Bara</w:t>
      </w:r>
      <w:r w:rsidRPr="00847E5E">
        <w:rPr>
          <w:rStyle w:val="Appelnotedebasdep"/>
          <w:rFonts w:ascii="Garamond" w:hAnsi="Garamond" w:cs="Times New Roman"/>
          <w:color w:val="000000"/>
        </w:rPr>
        <w:footnoteReference w:id="15"/>
      </w:r>
      <w:r w:rsidRPr="00847E5E">
        <w:rPr>
          <w:rFonts w:ascii="Garamond" w:hAnsi="Garamond" w:cs="Times New Roman"/>
          <w:color w:val="000000"/>
        </w:rPr>
        <w:t xml:space="preserve"> et, plus pratiquement, la connexion organisationnelle sur al-Qaeda offrait, du point de vue d’idéologues comme Maqdissi, les garanties nécessaires contre les risques de dilution du mouvement dans la geste révolutionnaire. Or le mouvement recherche, dès 2015, des alliances avec les factions révolutionnaires</w:t>
      </w:r>
      <w:r w:rsidRPr="00847E5E">
        <w:rPr>
          <w:rStyle w:val="Appelnotedebasdep"/>
          <w:rFonts w:ascii="Garamond" w:hAnsi="Garamond" w:cs="Times New Roman"/>
          <w:color w:val="000000"/>
        </w:rPr>
        <w:footnoteReference w:id="16"/>
      </w:r>
      <w:r w:rsidRPr="00847E5E">
        <w:rPr>
          <w:rFonts w:ascii="Garamond" w:hAnsi="Garamond" w:cs="Times New Roman"/>
          <w:color w:val="000000"/>
        </w:rPr>
        <w:t xml:space="preserve">. </w:t>
      </w:r>
    </w:p>
    <w:p w14:paraId="2DB6F306" w14:textId="77777777" w:rsidR="007F177A" w:rsidRPr="00847E5E" w:rsidRDefault="007F177A" w:rsidP="00847E5E">
      <w:pPr>
        <w:spacing w:line="276" w:lineRule="auto"/>
        <w:ind w:firstLine="720"/>
        <w:jc w:val="both"/>
        <w:rPr>
          <w:rFonts w:ascii="Garamond" w:eastAsia="Times New Roman" w:hAnsi="Garamond" w:cs="Times New Roman"/>
        </w:rPr>
      </w:pPr>
      <w:r w:rsidRPr="00847E5E">
        <w:rPr>
          <w:rFonts w:ascii="Garamond" w:eastAsia="Times New Roman" w:hAnsi="Garamond" w:cs="Times New Roman"/>
        </w:rPr>
        <w:t xml:space="preserve">Ces changements brouillent l’identité politique de </w:t>
      </w:r>
      <w:r w:rsidRPr="00847E5E">
        <w:rPr>
          <w:rFonts w:ascii="Garamond" w:eastAsia="Times New Roman" w:hAnsi="Garamond" w:cs="Times New Roman"/>
          <w:color w:val="000000"/>
        </w:rPr>
        <w:t>HTS qui, en 2024, n’a pas de discours élaboré sur lui-même. On note un flottement dans l’autodéfinition par le leadership : « Etat sunnite islamiste », « organisation musulmane non salafiste », « islam militant » ou encore « Islam conservateur et révolutionnaire »</w:t>
      </w:r>
      <w:r w:rsidRPr="00847E5E">
        <w:rPr>
          <w:rStyle w:val="Appelnotedebasdep"/>
          <w:rFonts w:ascii="Garamond" w:eastAsia="Times New Roman" w:hAnsi="Garamond" w:cs="Times New Roman"/>
          <w:color w:val="000000"/>
        </w:rPr>
        <w:footnoteReference w:id="17"/>
      </w:r>
      <w:r w:rsidRPr="00847E5E">
        <w:rPr>
          <w:rFonts w:ascii="Garamond" w:eastAsia="Times New Roman" w:hAnsi="Garamond" w:cs="Times New Roman"/>
          <w:color w:val="000000"/>
        </w:rPr>
        <w:t>.</w:t>
      </w:r>
      <w:r w:rsidRPr="00847E5E">
        <w:rPr>
          <w:rFonts w:ascii="Garamond" w:eastAsia="Times New Roman" w:hAnsi="Garamond" w:cs="Times New Roman"/>
        </w:rPr>
        <w:t xml:space="preserve"> </w:t>
      </w:r>
      <w:r w:rsidRPr="00847E5E">
        <w:rPr>
          <w:rFonts w:ascii="Garamond" w:hAnsi="Garamond" w:cs="Times New Roman"/>
        </w:rPr>
        <w:t xml:space="preserve">HTS effectue une profonde transformation idéologique mais ne semble pas posséder de nouveau point d’ancrage doctrinal. D’où la réticence du mouvement de se doter d’un nouveau document fondateur et sa difficulté à se définir. Une situation hybride se dégage. HTS garde de l’islam politique la référence à un projet politique fondé sur le religieux mais renonce à la </w:t>
      </w:r>
      <w:r w:rsidRPr="00847E5E">
        <w:rPr>
          <w:rFonts w:ascii="Garamond" w:hAnsi="Garamond" w:cs="Times New Roman"/>
          <w:i/>
          <w:iCs/>
        </w:rPr>
        <w:t>shumuliyya</w:t>
      </w:r>
      <w:r w:rsidRPr="00847E5E">
        <w:rPr>
          <w:rFonts w:ascii="Garamond" w:hAnsi="Garamond" w:cs="Times New Roman"/>
        </w:rPr>
        <w:t xml:space="preserve">, à l’encadrement total et serré de la société. Son leadership se revendique du jihadisme mais n’applique pas ses règles d’engagement en matière de contraction d’alliances (il renonce au principe de </w:t>
      </w:r>
      <w:r w:rsidRPr="00847E5E">
        <w:rPr>
          <w:rFonts w:ascii="Garamond" w:hAnsi="Garamond" w:cs="Times New Roman"/>
          <w:i/>
          <w:iCs/>
        </w:rPr>
        <w:t>al-wala wa al-bara</w:t>
      </w:r>
      <w:r w:rsidRPr="00847E5E">
        <w:rPr>
          <w:rFonts w:ascii="Garamond" w:hAnsi="Garamond" w:cs="Times New Roman"/>
        </w:rPr>
        <w:t xml:space="preserve"> et crée des fronts multiples avec l’ensemble du spectre révolutionnaire). Quant à l’action armée, le jihad, elle reste un horizon d’espérance mais est pratiquement repoussée en raison de la contrainte de leur partenariat avec la Turquie autant qu’en raison du rapport de force avec le régime. Le mouvement a encore dans son enseignement des bribes de répertoires issus du salafisme mais inverse du tout au tout son rapport à la société, s’imprégnant de certains de ses concepts au lieu d’en réformer ses principes organisateurs. </w:t>
      </w:r>
      <w:r w:rsidRPr="00847E5E">
        <w:rPr>
          <w:rFonts w:ascii="Garamond" w:eastAsia="Times New Roman" w:hAnsi="Garamond" w:cs="Times New Roman"/>
          <w:color w:val="000000"/>
        </w:rPr>
        <w:t>La localisation mène ainsi à une déradicalisation sous forme de « retraditionnalisation » afin de se fondre dans la population locale.</w:t>
      </w:r>
    </w:p>
    <w:p w14:paraId="5E960991" w14:textId="77777777" w:rsidR="007F177A" w:rsidRPr="00847E5E" w:rsidRDefault="007F177A" w:rsidP="00847E5E">
      <w:pPr>
        <w:spacing w:line="276" w:lineRule="auto"/>
        <w:jc w:val="both"/>
        <w:rPr>
          <w:rFonts w:ascii="Garamond" w:eastAsia="Times New Roman" w:hAnsi="Garamond" w:cs="Times New Roman"/>
        </w:rPr>
      </w:pPr>
    </w:p>
    <w:p w14:paraId="3CF9D817" w14:textId="77777777" w:rsidR="007F177A" w:rsidRPr="00847E5E" w:rsidRDefault="007F177A" w:rsidP="00847E5E">
      <w:pPr>
        <w:spacing w:line="276" w:lineRule="auto"/>
        <w:ind w:firstLine="720"/>
        <w:jc w:val="both"/>
        <w:rPr>
          <w:rFonts w:ascii="Garamond" w:hAnsi="Garamond" w:cs="Times New Roman"/>
          <w:color w:val="000000"/>
        </w:rPr>
      </w:pPr>
      <w:r w:rsidRPr="00847E5E">
        <w:rPr>
          <w:rFonts w:ascii="Garamond" w:hAnsi="Garamond" w:cs="Times New Roman"/>
          <w:color w:val="000000"/>
        </w:rPr>
        <w:t xml:space="preserve">En ce qui concerne le </w:t>
      </w:r>
      <w:r w:rsidRPr="00847E5E">
        <w:rPr>
          <w:rFonts w:ascii="Garamond" w:hAnsi="Garamond" w:cs="Times New Roman"/>
        </w:rPr>
        <w:t xml:space="preserve">mouvement kurde syrien, ce dernier joue un double jeu avec ses partenaires occidentaux. En pratique, il </w:t>
      </w:r>
      <w:r w:rsidRPr="00847E5E">
        <w:rPr>
          <w:rFonts w:ascii="Garamond" w:hAnsi="Garamond" w:cs="Times New Roman"/>
          <w:color w:val="000000"/>
        </w:rPr>
        <w:t>maintien de manière parfaitement assumée sa filiation idéologique avec la pensée de Abdullah Öçalan tout en contestant officiellement l’existence d’un lien organique avec le PKK. Cette pensée irrigue l’ensemble des institutions et fait l’objet d’une intense politique commémorative : les récurrentes campagnes de libération du leader en prison, les manifestations célébrant sa date de naissance ou rappelant celle de son arrestation sont autant moments de mobilisation du personnel du secteur public par le parti. Il est demandé à la population de lire des communiqués partisans, de se rendre à des manifestations organisées par les cadres politiques. La filiation idéologique balise la symbolique publique, du culte des martyrs aux photos du leader. Elle fonde les bases des académies, des centres de formation idéologique auxquels sont fortement incités les employés de l’AA, y compris dans les zones à majorité arabe.</w:t>
      </w:r>
    </w:p>
    <w:p w14:paraId="2FFE4334" w14:textId="66595FD6" w:rsidR="007F177A" w:rsidRPr="00847E5E" w:rsidRDefault="00C03350" w:rsidP="00847E5E">
      <w:pPr>
        <w:spacing w:line="276" w:lineRule="auto"/>
        <w:ind w:firstLine="720"/>
        <w:jc w:val="both"/>
        <w:rPr>
          <w:rFonts w:ascii="Garamond" w:hAnsi="Garamond" w:cs="Times New Roman"/>
          <w:color w:val="000000"/>
        </w:rPr>
      </w:pPr>
      <w:r w:rsidRPr="00847E5E">
        <w:rPr>
          <w:rFonts w:ascii="Garamond" w:hAnsi="Garamond" w:cs="Times New Roman"/>
          <w:color w:val="000000"/>
        </w:rPr>
        <w:t>S</w:t>
      </w:r>
      <w:r w:rsidR="007F177A" w:rsidRPr="00847E5E">
        <w:rPr>
          <w:rFonts w:ascii="Garamond" w:hAnsi="Garamond" w:cs="Times New Roman"/>
          <w:color w:val="000000"/>
        </w:rPr>
        <w:t xml:space="preserve">i le mouvement kurde est a priori plus intransigeant que HTS dans sa volonté de garder son projet idéologique, il est poussé par la coalition occidentale dans une dynamique de localisation pour stabiliser les territoires conquis à l’EI. Cela met en tension le projet partisan initial mais aussi la société elle-même.  En effet, l’imposition du projet internationale du PKK et l’effet d’« inertie du social » rencontré en Syrie se manifestant sur le double mode de la « réinvention de traditions » et de la création de « communautés imaginées ». Cela impacte non seulement la nature de l’AA en la tribalisant, mais également le tissu social du NES avec la construction de nouvelles hiérarchies, la cristallisation de nouvelles valeurs (la codification du droit tribal), invention ou réinvention de nouvelles identités (émirats, alliances tribales). Dans ce contexte le projet politique porté par le PKK en Syrie se retrouve pris entre des contraintes internationales en termes de gouvernances et une société qui s’approprie les institutions de l’AA. Comme pour HTS, ces tensions s’observent particulièrement dans les modes de gouvernances. </w:t>
      </w:r>
    </w:p>
    <w:p w14:paraId="4864EBB2" w14:textId="77777777" w:rsidR="007F177A" w:rsidRPr="00847E5E" w:rsidRDefault="007F177A" w:rsidP="00847E5E">
      <w:pPr>
        <w:spacing w:line="276" w:lineRule="auto"/>
        <w:jc w:val="both"/>
        <w:rPr>
          <w:rFonts w:ascii="Garamond" w:hAnsi="Garamond" w:cs="Times New Roman"/>
        </w:rPr>
      </w:pPr>
    </w:p>
    <w:p w14:paraId="1DC42FC1" w14:textId="2E7E61BB" w:rsidR="00283CF8" w:rsidRPr="00847E5E" w:rsidRDefault="00353088" w:rsidP="00847E5E">
      <w:pPr>
        <w:pStyle w:val="Titre2"/>
        <w:numPr>
          <w:ilvl w:val="0"/>
          <w:numId w:val="13"/>
        </w:numPr>
        <w:spacing w:line="276" w:lineRule="auto"/>
        <w:jc w:val="both"/>
        <w:rPr>
          <w:rFonts w:ascii="Garamond" w:hAnsi="Garamond" w:cs="Times New Roman"/>
          <w:color w:val="7F7F7F" w:themeColor="text1" w:themeTint="80"/>
          <w:sz w:val="24"/>
          <w:szCs w:val="24"/>
          <w:lang w:val="en-GB"/>
        </w:rPr>
      </w:pPr>
      <w:r w:rsidRPr="00847E5E">
        <w:rPr>
          <w:rFonts w:ascii="Garamond" w:hAnsi="Garamond" w:cs="Times New Roman"/>
          <w:color w:val="000000" w:themeColor="text1"/>
          <w:sz w:val="24"/>
          <w:szCs w:val="24"/>
          <w:lang w:val="en-GB"/>
        </w:rPr>
        <w:t>La reunification de la Syrie post Bachar</w:t>
      </w:r>
    </w:p>
    <w:p w14:paraId="16028FF7" w14:textId="77777777" w:rsidR="00353088" w:rsidRPr="00847E5E" w:rsidRDefault="00353088" w:rsidP="00847E5E">
      <w:pPr>
        <w:spacing w:line="276" w:lineRule="auto"/>
        <w:jc w:val="both"/>
        <w:rPr>
          <w:rFonts w:ascii="Garamond" w:hAnsi="Garamond" w:cs="Times New Roman"/>
        </w:rPr>
      </w:pPr>
      <w:r w:rsidRPr="00847E5E">
        <w:rPr>
          <w:rFonts w:ascii="Garamond" w:hAnsi="Garamond" w:cs="Times New Roman"/>
        </w:rPr>
        <w:t>Tirant les leçons de l’Irak, les autorités intérimaires en Syrie ont adopté des positions opposées. Le président par intérim Amed al-Sharaa, qui se trouvait en Irak durant les premières années de la transition après la chute de Saddam Hussein, a refusé d’introduire des quotas religieux ou ethniques dans les nouvelles institutions. Il estime que ces quotas ont été responsables des violences qui ont marqué la transition irakienne.</w:t>
      </w:r>
    </w:p>
    <w:p w14:paraId="7B59AD0D" w14:textId="77777777" w:rsidR="00353088" w:rsidRPr="00847E5E" w:rsidRDefault="00353088" w:rsidP="00847E5E">
      <w:pPr>
        <w:spacing w:line="276" w:lineRule="auto"/>
        <w:jc w:val="both"/>
        <w:rPr>
          <w:rFonts w:ascii="Garamond" w:hAnsi="Garamond" w:cs="Times New Roman"/>
        </w:rPr>
      </w:pPr>
      <w:r w:rsidRPr="00847E5E">
        <w:rPr>
          <w:rFonts w:ascii="Garamond" w:hAnsi="Garamond" w:cs="Times New Roman"/>
        </w:rPr>
        <w:t>Dès les premiers jours de la transition, Sharaa a fait de la tâche ardue d’unifier le pays une priorité, afin d’éviter les divisions entre zones géographiques, communautés ou factions armées.</w:t>
      </w:r>
    </w:p>
    <w:p w14:paraId="3A50C003" w14:textId="77777777" w:rsidR="00353088" w:rsidRPr="00847E5E" w:rsidRDefault="00353088" w:rsidP="00847E5E">
      <w:pPr>
        <w:spacing w:line="276" w:lineRule="auto"/>
        <w:jc w:val="both"/>
        <w:rPr>
          <w:rFonts w:ascii="Garamond" w:hAnsi="Garamond" w:cs="Times New Roman"/>
        </w:rPr>
      </w:pPr>
      <w:r w:rsidRPr="00847E5E">
        <w:rPr>
          <w:rFonts w:ascii="Garamond" w:hAnsi="Garamond" w:cs="Times New Roman"/>
        </w:rPr>
        <w:t>Le premier défi consistait à réunifier les quatre zones de facto partitionnées : celle sous contrôle de Damas, la zone nord sous contrôle de groupes d’opposition pro-turcs, la province d’Idlib, et le nord-est. L’article 1 de la Déclaration constitutionnelle publiée le 13 mars 2025 souligne l’unité de l’État syrien, en tant qu’« unité géographique et politique indivisible ».</w:t>
      </w:r>
    </w:p>
    <w:p w14:paraId="46E30955" w14:textId="77777777" w:rsidR="00353088" w:rsidRPr="00847E5E" w:rsidRDefault="00353088" w:rsidP="00847E5E">
      <w:pPr>
        <w:spacing w:line="276" w:lineRule="auto"/>
        <w:jc w:val="both"/>
        <w:rPr>
          <w:rFonts w:ascii="Garamond" w:hAnsi="Garamond" w:cs="Times New Roman"/>
        </w:rPr>
      </w:pPr>
      <w:r w:rsidRPr="00847E5E">
        <w:rPr>
          <w:rFonts w:ascii="Garamond" w:hAnsi="Garamond" w:cs="Times New Roman"/>
        </w:rPr>
        <w:t xml:space="preserve">Parallèlement, les nouvelles autorités ont adopté avec soin un discours unificateur et inclusif, dénonçant l’approche sectaire de l’ancien président Bashar al-Assad et insistant sur l’unité du pays. Par exemple, lors de sa visite aux États-Unis en novembre 2025, Sharaa déclarait au </w:t>
      </w:r>
      <w:r w:rsidRPr="00847E5E">
        <w:rPr>
          <w:rFonts w:ascii="Garamond" w:hAnsi="Garamond" w:cs="Times New Roman"/>
          <w:i/>
          <w:iCs/>
        </w:rPr>
        <w:t>Washington Post</w:t>
      </w:r>
      <w:r w:rsidRPr="00847E5E">
        <w:rPr>
          <w:rFonts w:ascii="Garamond" w:hAnsi="Garamond" w:cs="Times New Roman"/>
        </w:rPr>
        <w:t xml:space="preserve"> : « Il existe des intérêts particuliers de certains groupes qui souhaitent l’indépendance ou l’autonomie. Certains de ces acteurs cherchent à justifier leurs intérêts en utilisant leur identité ou leur foi comme couverture. (…) En Syrie, nous vivons en coexistence avec différents groupes, différentes communautés religieuses, depuis 1 400 ans. Nous existons toujours, et cette diversité perdure. »</w:t>
      </w:r>
    </w:p>
    <w:p w14:paraId="0EE9DE58" w14:textId="77777777" w:rsidR="00353088" w:rsidRPr="00847E5E" w:rsidRDefault="00353088" w:rsidP="00847E5E">
      <w:pPr>
        <w:spacing w:line="276" w:lineRule="auto"/>
        <w:jc w:val="both"/>
        <w:rPr>
          <w:rFonts w:ascii="Garamond" w:hAnsi="Garamond" w:cs="Times New Roman"/>
        </w:rPr>
      </w:pPr>
      <w:r w:rsidRPr="00847E5E">
        <w:rPr>
          <w:rFonts w:ascii="Garamond" w:hAnsi="Garamond" w:cs="Times New Roman"/>
        </w:rPr>
        <w:t>Cherchant à inverser les politiques sectaires passées et à éviter les divisions, les nouvelles autorités ont eu tendance à minimiser les différences au sein de la société syrienne, considérant les revendications spécifiques de certains groupes comme une menace pour l’unité du pays. Plus largement, contrairement à l’ancien régime qui instrumentalisait le sectarisme, les nouvelles autorités n’ont pas adopté de politiques — formelles ou informelles — utilisant les identités pour structurer l’État ou la société syrienne.</w:t>
      </w:r>
    </w:p>
    <w:p w14:paraId="3D038EFD" w14:textId="77777777" w:rsidR="00353088" w:rsidRPr="00847E5E" w:rsidRDefault="00353088" w:rsidP="00847E5E">
      <w:pPr>
        <w:spacing w:line="276" w:lineRule="auto"/>
        <w:jc w:val="both"/>
        <w:rPr>
          <w:rFonts w:ascii="Garamond" w:hAnsi="Garamond" w:cs="Times New Roman"/>
        </w:rPr>
      </w:pPr>
      <w:r w:rsidRPr="00847E5E">
        <w:rPr>
          <w:rFonts w:ascii="Garamond" w:hAnsi="Garamond" w:cs="Times New Roman"/>
        </w:rPr>
        <w:t>Un État unitaire qui glisse vers la monopolisation</w:t>
      </w:r>
    </w:p>
    <w:p w14:paraId="4C916284" w14:textId="77777777" w:rsidR="00353088" w:rsidRPr="00847E5E" w:rsidRDefault="00353088" w:rsidP="00847E5E">
      <w:pPr>
        <w:spacing w:line="276" w:lineRule="auto"/>
        <w:jc w:val="both"/>
        <w:rPr>
          <w:rFonts w:ascii="Garamond" w:hAnsi="Garamond" w:cs="Times New Roman"/>
        </w:rPr>
      </w:pPr>
      <w:r w:rsidRPr="00847E5E">
        <w:rPr>
          <w:rFonts w:ascii="Garamond" w:hAnsi="Garamond" w:cs="Times New Roman"/>
        </w:rPr>
        <w:t>Au début de la transition, Sharaa s’est concentré sur la consolidation du pouvoir en attribuant les postes clés du gouvernement et des institutions aux membres de son mouvement, Hayat Tahrir al-Sham (HTS), qui occupaient déjà des fonctions administratives à Idlib. Tous les membres du gouvernement intérimaire, nommé en décembre 2024 pour une durée de trois mois, provenaient du Gouvernement de salut syrien qui administrait la province d’Idlib les années précédentes.</w:t>
      </w:r>
    </w:p>
    <w:p w14:paraId="007D3D4B" w14:textId="77777777" w:rsidR="00353088" w:rsidRPr="00847E5E" w:rsidRDefault="00353088" w:rsidP="00847E5E">
      <w:pPr>
        <w:spacing w:line="276" w:lineRule="auto"/>
        <w:jc w:val="both"/>
        <w:rPr>
          <w:rFonts w:ascii="Garamond" w:hAnsi="Garamond" w:cs="Times New Roman"/>
        </w:rPr>
      </w:pPr>
      <w:r w:rsidRPr="00847E5E">
        <w:rPr>
          <w:rFonts w:ascii="Garamond" w:hAnsi="Garamond" w:cs="Times New Roman"/>
        </w:rPr>
        <w:t>Lors de la formation du gouvernement de transition en mars 2025, Sharaa a inclus des membres extérieurs à HTS. Moins de la moitié des ministres étaient issus ou liés à HTS, les autres provenant de la société civile, incluant un chrétien, un alaouite, un kurde et un druze. Toutefois, Sharaa les a nommés en tant qu’individus et non comme représentants de leurs communautés respectives. Parallèlement, il a placé des membres de HTS à des postes clés : conseillers ministériels, directeurs de districts chargés de la sécurité, et au sein de la nouvelle Direction des affaires politiques. Cette structure de pouvoir parallèle lui a permis d’exercer un contrôle étroit sur l’État. En pratique, cela s’est traduit par une monopolisation du pouvoir par Sharaa et les affiliés de HTS.</w:t>
      </w:r>
    </w:p>
    <w:p w14:paraId="5FA529D4" w14:textId="77777777" w:rsidR="00353088" w:rsidRPr="00847E5E" w:rsidRDefault="00353088" w:rsidP="00847E5E">
      <w:pPr>
        <w:spacing w:line="276" w:lineRule="auto"/>
        <w:jc w:val="both"/>
        <w:rPr>
          <w:rFonts w:ascii="Garamond" w:hAnsi="Garamond" w:cs="Times New Roman"/>
        </w:rPr>
      </w:pPr>
      <w:r w:rsidRPr="00847E5E">
        <w:rPr>
          <w:rFonts w:ascii="Garamond" w:hAnsi="Garamond" w:cs="Times New Roman"/>
        </w:rPr>
        <w:t>De la même manière, Sharaa a assuré le contrôle des forces de sécurité, restructurant l’armée et encadrant les factions. Les autorités intérimaires ont désarmé les factions rivales et les ont intégrées au ministère de la Défense, diluant ainsi les forces concurrentes potentielles. Le même processus est appliqué aux Forces démocratiques syriennes (FDS), à dominante kurde, après l’accord d’intégration du 29 janvier 2026, avec l’intégration de combattants kurdes au ministère de la Défense.</w:t>
      </w:r>
    </w:p>
    <w:p w14:paraId="5E42A413" w14:textId="77777777" w:rsidR="00353088" w:rsidRPr="00847E5E" w:rsidRDefault="00353088" w:rsidP="00847E5E">
      <w:pPr>
        <w:spacing w:line="276" w:lineRule="auto"/>
        <w:jc w:val="both"/>
        <w:rPr>
          <w:rFonts w:ascii="Garamond" w:hAnsi="Garamond" w:cs="Times New Roman"/>
        </w:rPr>
      </w:pPr>
      <w:r w:rsidRPr="00847E5E">
        <w:rPr>
          <w:rFonts w:ascii="Garamond" w:hAnsi="Garamond" w:cs="Times New Roman"/>
        </w:rPr>
        <w:t>Dans un contexte où l’État et l’armée sont étroitement contrôlés par Sharaa et les affiliés de HTS, le pouvoir reste peu contesté, les partis politiques n’étant pas en mesure d’opérer. Une nouvelle loi sur les partis politiques doit être adoptée, en remplacement de celle de 2011. Cette loi, adoptée sous Assad, interdit les partis fondés sur des bases « religieuses, sectaires, tribales ou régionales ». La question des partis politiques est particulièrement sensible durant la phase de transition. Les autorités intérimaires craignent que les partis ne reflètent des intérêts religieux ou ethniques et structurent la vie politique autour des identités, comme cela a été le cas en Irak, avec des conséquences négatives. Les autorités syriennes souhaitent éviter la formation de partis sectaires ou sécessionnistes. Toutefois, la tâche est délicate, car reprendre un cadre juridique similaire à celui de l’ère Assad pourrait être mal perçu.</w:t>
      </w:r>
    </w:p>
    <w:p w14:paraId="3D9D4E16" w14:textId="77777777" w:rsidR="00353088" w:rsidRPr="00847E5E" w:rsidRDefault="00353088" w:rsidP="00847E5E">
      <w:pPr>
        <w:spacing w:line="276" w:lineRule="auto"/>
        <w:jc w:val="both"/>
        <w:rPr>
          <w:rFonts w:ascii="Garamond" w:hAnsi="Garamond" w:cs="Times New Roman"/>
        </w:rPr>
      </w:pPr>
      <w:r w:rsidRPr="00847E5E">
        <w:rPr>
          <w:rFonts w:ascii="Garamond" w:hAnsi="Garamond" w:cs="Times New Roman"/>
        </w:rPr>
        <w:t>Les autorités intérimaires ont donc pris le contre-pied des politiques centrées sur les communautés, privilégiant le dépassement des fragmentations héritées du passé et la promotion de l’unité — quitte à ignorer les spécificités des différentes communautés. Cependant, en cherchant à consolider leur pouvoir, elles ont monopolisé l’État et les institutions, laissant peu de place à des points de vue concurrents et à une inclusion réelle d’acteurs aux profils divers dans les processus décisionnels.</w:t>
      </w:r>
    </w:p>
    <w:p w14:paraId="4A8A298E" w14:textId="77777777" w:rsidR="00E127B3" w:rsidRPr="00847E5E" w:rsidRDefault="00E127B3" w:rsidP="00847E5E">
      <w:pPr>
        <w:spacing w:line="276" w:lineRule="auto"/>
        <w:jc w:val="both"/>
        <w:rPr>
          <w:rFonts w:ascii="Garamond" w:hAnsi="Garamond" w:cs="Times New Roman"/>
        </w:rPr>
      </w:pPr>
    </w:p>
    <w:p w14:paraId="28E3A91F" w14:textId="77777777" w:rsidR="00283CF8" w:rsidRPr="00847E5E" w:rsidRDefault="00283CF8" w:rsidP="00847E5E">
      <w:pPr>
        <w:spacing w:line="276" w:lineRule="auto"/>
        <w:jc w:val="both"/>
        <w:rPr>
          <w:rFonts w:ascii="Garamond" w:hAnsi="Garamond" w:cs="Times New Roman"/>
        </w:rPr>
      </w:pPr>
    </w:p>
    <w:p w14:paraId="40DBDBEF" w14:textId="5B46C62E" w:rsidR="00283CF8" w:rsidRPr="00847E5E" w:rsidRDefault="00353088" w:rsidP="00847E5E">
      <w:pPr>
        <w:pStyle w:val="Titre2"/>
        <w:numPr>
          <w:ilvl w:val="0"/>
          <w:numId w:val="13"/>
        </w:numPr>
        <w:spacing w:line="276" w:lineRule="auto"/>
        <w:jc w:val="both"/>
        <w:rPr>
          <w:rFonts w:ascii="Garamond" w:hAnsi="Garamond" w:cs="Times New Roman"/>
          <w:sz w:val="24"/>
          <w:szCs w:val="24"/>
        </w:rPr>
      </w:pPr>
      <w:r w:rsidRPr="00847E5E">
        <w:rPr>
          <w:rFonts w:ascii="Garamond" w:hAnsi="Garamond" w:cs="Times New Roman"/>
          <w:sz w:val="24"/>
          <w:szCs w:val="24"/>
        </w:rPr>
        <w:t>Gérer la majorité sunnite</w:t>
      </w:r>
    </w:p>
    <w:p w14:paraId="698DA09E"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Gérer la majorité sunnite : entre légitimation sociale et encadrement normatif</w:t>
      </w:r>
    </w:p>
    <w:p w14:paraId="7957B0FA"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Dans un contexte de transition politique marqué par l’absence de légitimité électorale, le nouveau pouvoir syrien apparaît fortement dépendant de sa capacité à construire et maintenir un consensus au sein de la majorité sunnite. Dans cette perspective, le droit constitue un indicateur privilégié des modalités de gouvernance adoptées.</w:t>
      </w:r>
    </w:p>
    <w:p w14:paraId="342D5005"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Loin d’une islamisation explicite du système juridique ou de l’imposition d’un référentiel religieux radical, le pouvoir semble plutôt élaborer une doctrine islamique pragmatique, co-produite dans l’interaction entre les autorités et une base sociale majoritairement sunnite et conservatrice. Cette dynamique se traduit par la mise en œuvre de réformes discrètes et de mesures symboliques visant à préserver l’adhésion de cette base.</w:t>
      </w:r>
    </w:p>
    <w:p w14:paraId="4963AA8E"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Les institutions étatiques — en particulier le ministère de la Justice, les autorités religieuses et la Direction des affaires politiques — déploient un effort soutenu de pédagogie politique et religieuse, à destination des militants, des cadres administratifs et des élites religieuses, afin de légitimer les orientations adoptées.</w:t>
      </w:r>
    </w:p>
    <w:p w14:paraId="0F92E228"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Dans ce cadre, un processus de sélection et de filtrage idéologique est engagé, en particulier au sein des institutions sécuritaires. Comme le souligne Monze Waes, ce processus se concentre prioritairement sur les ministères de la Défense et de l’Intérieur, où la charge idéologique et la capacité de nuisance sont les plus élevées. À l’inverse, les désaccords au sein d’administrations moins stratégiques sont considérés comme politiquement négligeables.</w:t>
      </w:r>
    </w:p>
    <w:p w14:paraId="10FAC079"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La relation entre le pouvoir et le courant salafiste constitue un élément structurant de cette configuration. Une large proportion des combattants engagés dans les opérations militaires récentes est issue de ce courant, ce qui conduit les autorités à lui reconnaître un rôle et un espace dans l’ordre politique émergent. Les revendications de ces acteurs — notamment en matière d’accès aux ressources religieuses — font l’objet de négociations, traduisant une gestion pragmatique des équilibres internes.</w:t>
      </w:r>
    </w:p>
    <w:p w14:paraId="7EB68E50"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Justice transitionnelle et construction d’une « paix sociale »</w:t>
      </w:r>
    </w:p>
    <w:p w14:paraId="3C7E8148"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Le traitement de la justice transitionnelle se caractérise par une temporalité volontairement ralentie. Les autorités privilégient une stratégie de désescalade des tensions sociales avant toute mise en œuvre de mécanismes judiciaires ou d’amnistie. Cette approche repose sur l’idée que l’apaisement des ressentiments constitue une condition préalable à toute stabilisation durable.</w:t>
      </w:r>
    </w:p>
    <w:p w14:paraId="5C32887D"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Dans cette optique, certaines catégories d’acteurs restent tolérées dans l’espace public, tant qu’elles respectent des limites implicites fixées par le pouvoir. Ce choix s’inscrit dans une conception de la « cohésion sociale » fondée sur des arrangements transactionnels entre l’État, la majorité sunnite et les minorités.</w:t>
      </w:r>
    </w:p>
    <w:p w14:paraId="19AAFB61"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Parallèlement, l’État entreprend un processus d’encadrement de l’islam, conçu à la fois comme référentiel religieux et comme socle culturel commun. Ce cadre normatif repose sur plusieurs principes : la reconnaissance d’un pluralisme doctrinal (</w:t>
      </w:r>
      <w:r w:rsidRPr="00847E5E">
        <w:rPr>
          <w:rFonts w:ascii="Garamond" w:hAnsi="Garamond" w:cs="Times New Roman"/>
          <w:i/>
          <w:iCs/>
        </w:rPr>
        <w:t>ta‘addudiyya fikriyya wa mazhabiyya</w:t>
      </w:r>
      <w:r w:rsidRPr="00847E5E">
        <w:rPr>
          <w:rFonts w:ascii="Garamond" w:hAnsi="Garamond" w:cs="Times New Roman"/>
        </w:rPr>
        <w:t>), la promotion de la modération (</w:t>
      </w:r>
      <w:r w:rsidRPr="00847E5E">
        <w:rPr>
          <w:rFonts w:ascii="Garamond" w:hAnsi="Garamond" w:cs="Times New Roman"/>
          <w:i/>
          <w:iCs/>
        </w:rPr>
        <w:t>i‘tidal</w:t>
      </w:r>
      <w:r w:rsidRPr="00847E5E">
        <w:rPr>
          <w:rFonts w:ascii="Garamond" w:hAnsi="Garamond" w:cs="Times New Roman"/>
        </w:rPr>
        <w:t>) et du juste milieu (</w:t>
      </w:r>
      <w:r w:rsidRPr="00847E5E">
        <w:rPr>
          <w:rFonts w:ascii="Garamond" w:hAnsi="Garamond" w:cs="Times New Roman"/>
          <w:i/>
          <w:iCs/>
        </w:rPr>
        <w:t>wasatiyya</w:t>
      </w:r>
      <w:r w:rsidRPr="00847E5E">
        <w:rPr>
          <w:rFonts w:ascii="Garamond" w:hAnsi="Garamond" w:cs="Times New Roman"/>
        </w:rPr>
        <w:t xml:space="preserve">), ainsi que la sacralisation de la vie humaine et le rejet du </w:t>
      </w:r>
      <w:r w:rsidRPr="00847E5E">
        <w:rPr>
          <w:rFonts w:ascii="Garamond" w:hAnsi="Garamond" w:cs="Times New Roman"/>
          <w:i/>
          <w:iCs/>
        </w:rPr>
        <w:t>takfir</w:t>
      </w:r>
      <w:r w:rsidRPr="00847E5E">
        <w:rPr>
          <w:rFonts w:ascii="Garamond" w:hAnsi="Garamond" w:cs="Times New Roman"/>
        </w:rPr>
        <w:t>. Le débat religieux est, quant à lui, institutionnalisé et déplacé vers des espaces académiques, afin de limiter sa politisation.</w:t>
      </w:r>
    </w:p>
    <w:p w14:paraId="4F7A7528"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Transformation idéologique et institutionnalisation de HTS</w:t>
      </w:r>
    </w:p>
    <w:p w14:paraId="27ED4CDC"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L’évolution de Hayat Tahrir al-Sham (HTS) s’inscrit dans un processus de transformation progressive, d’un groupe insurgé à une entité gouvernante, puis à un acteur étatique. Ce processus s’accompagne d’une redéfinition de ses référentiels idéologiques.</w:t>
      </w:r>
    </w:p>
    <w:p w14:paraId="55AA58C8"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Dès 2016, HTS opère un abandon du djihad global et adopte une stratégie de réancrage local. Cette évolution se manifeste notamment par le retour aux écoles juridiques chaféites et par l’introduction, en 2025, d’un droit positif encadrant l’activité judiciaire — marquant une rupture avec les positions initiales du mouvement, opposées à la codification.</w:t>
      </w:r>
    </w:p>
    <w:p w14:paraId="031CC7BA"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Sur le plan politique, HTS cherche à élargir sa base de légitimité en s’ouvrant aux minorités et à l’environnement international. Cette transformation, initialement conduite de manière graduelle et informelle afin de ménager sa base radicale, devient plus explicite à mesure que le mouvement accède au pouvoir central et doit gouverner une société plus diverse.</w:t>
      </w:r>
    </w:p>
    <w:p w14:paraId="0226E099"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Tensions avec l’aile révolutionnaire : entre continuité institutionnelle et attentes populaires</w:t>
      </w:r>
    </w:p>
    <w:p w14:paraId="2882FFA3"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La gestion de la transition se heurte à une tension structurelle entre la nécessité de préserver une continuité institutionnelle et les attentes de la « rue révolutionnaire ». Le maintien en fonction d’une large partie des anciens cadres administratifs, notamment dans le système judiciaire, cristallise ces tensions.</w:t>
      </w:r>
    </w:p>
    <w:p w14:paraId="4495E794"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Perçus comme des vestiges de l’ancien régime, ces acteurs sont contestés par une partie de la population, qui réclame des formes de justice plus radicales. Cette opposition se traduit par des mobilisations ponctuelles, voire des actions directes contre les institutions.</w:t>
      </w:r>
    </w:p>
    <w:p w14:paraId="45E1E305"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Face à ces pressions, l’État adopte une stratégie hybride, combinant maintien des structures existantes et renouvellement progressif des élites administratives. Toutefois, la gestion des anciens membres du régime (</w:t>
      </w:r>
      <w:r w:rsidRPr="00847E5E">
        <w:rPr>
          <w:rFonts w:ascii="Garamond" w:hAnsi="Garamond" w:cs="Times New Roman"/>
          <w:i/>
          <w:iCs/>
        </w:rPr>
        <w:t>fulul</w:t>
      </w:r>
      <w:r w:rsidRPr="00847E5E">
        <w:rPr>
          <w:rFonts w:ascii="Garamond" w:hAnsi="Garamond" w:cs="Times New Roman"/>
        </w:rPr>
        <w:t>) demeure un point de friction majeur, illustrant les dilemmes inhérents à toute transition post-conflit.</w:t>
      </w:r>
    </w:p>
    <w:p w14:paraId="05CF10E2"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Recomposition du champ religieux</w:t>
      </w:r>
    </w:p>
    <w:p w14:paraId="73C76E50"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En l’absence d’un cadre constitutionnel stabilisé, la relation entre l’État et le religieux se construit de manière pragmatique, à travers un ensemble de pratiques institutionnelles. La production normative s’effectue notamment via les instances de fatwa, les politiques publiques en matière religieuse et les réformes éducatives.</w:t>
      </w:r>
    </w:p>
    <w:p w14:paraId="44DFE674"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Dans la continuité de l’expérience d’Idlib, les autorités entreprennent une centralisation du champ religieux, marquée par la création de nouvelles institutions, la réintégration de fonctions religieuses supprimées sous l’ancien régime et l’intégration de cadres proches du pouvoir. Ce processus s’accompagne également d’une marginalisation des figures religieuses associées à l’ancien régime.</w:t>
      </w:r>
    </w:p>
    <w:p w14:paraId="5C98BF7D"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Maîtrise et recomposition de la radicalité</w:t>
      </w:r>
    </w:p>
    <w:p w14:paraId="6AF705F5"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La stratégie des autorités à l’égard des franges les plus radicales repose sur leur intégration et leur dilution au sein des structures étatiques, en particulier militaires. Cette approche vise à dépolitiser ces acteurs tout en réduisant leur capacité de nuisance.</w:t>
      </w:r>
    </w:p>
    <w:p w14:paraId="21AC8942"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La question des combattants étrangers illustre les enjeux de cette stratégie. Leur intégration progressive dans les structures étatiques s’accompagne d’un abandon des agendas transnationaux, sous l’effet combiné de contraintes géopolitiques et de dynamiques sociales locales.</w:t>
      </w:r>
    </w:p>
    <w:p w14:paraId="731A6930"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Parallèlement, une nouvelle forme de radicalité émerge, distincte du djihadisme organisé. Cette radicalité, issue du cœur de la société sunnite, se manifeste par des revendications diffuses, souvent liées à des frustrations sociales, économiques ou mémorielles. Elle peut prendre la forme de mobilisations collectives, de violences opportunistes ou de contestations politiques.</w:t>
      </w:r>
    </w:p>
    <w:p w14:paraId="574249D3"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Majoritarisme et risques de débordement</w:t>
      </w:r>
    </w:p>
    <w:p w14:paraId="2517195E"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La relation entre le pouvoir et cette nouvelle radicalité est ambivalente. Si elle peut être ponctuellement instrumentalisée, elle constitue également une source potentielle d’instabilité. Les épisodes de violence observés en 2025 illustrent ce double mouvement.</w:t>
      </w:r>
    </w:p>
    <w:p w14:paraId="0234EC57"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Le pouvoir se trouve ainsi confronté à un dilemme : s’aligner sur une base sociale radicalisée, au risque de compromettre sa légitimité internationale et d’accentuer les fractures internes, ou chercher à contenir cette radicalité, au risque de provoquer des tensions sociales accrues.</w:t>
      </w:r>
    </w:p>
    <w:p w14:paraId="435B7A21"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Limites institutionnelles et dynamiques émergentes</w:t>
      </w:r>
    </w:p>
    <w:p w14:paraId="27692A7F"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L’absence d’institutions représentatives, notamment d’un Parlement, fragilise l’encadrement normatif de l’action publique et favorise des initiatives ponctuelles de l’exécutif, parfois en contradiction avec les orientations officielles.</w:t>
      </w:r>
    </w:p>
    <w:p w14:paraId="089000D7" w14:textId="77777777" w:rsidR="00BE48DA" w:rsidRPr="00847E5E" w:rsidRDefault="00BE48DA" w:rsidP="00847E5E">
      <w:pPr>
        <w:spacing w:line="276" w:lineRule="auto"/>
        <w:jc w:val="both"/>
        <w:rPr>
          <w:rFonts w:ascii="Garamond" w:hAnsi="Garamond" w:cs="Times New Roman"/>
        </w:rPr>
      </w:pPr>
      <w:r w:rsidRPr="00847E5E">
        <w:rPr>
          <w:rFonts w:ascii="Garamond" w:hAnsi="Garamond" w:cs="Times New Roman"/>
        </w:rPr>
        <w:t>Malgré ces limites, certaines évolutions positives peuvent être observées, notamment un recours accru aux institutions judiciaires et une amélioration relative des conditions carcérales, bien que celles-ci restent contraintes par un manque de ressources.</w:t>
      </w:r>
    </w:p>
    <w:p w14:paraId="70B2322E" w14:textId="77777777" w:rsidR="00283CF8" w:rsidRPr="00847E5E" w:rsidRDefault="00283CF8" w:rsidP="00847E5E">
      <w:pPr>
        <w:spacing w:line="276" w:lineRule="auto"/>
        <w:jc w:val="both"/>
        <w:rPr>
          <w:rFonts w:ascii="Garamond" w:hAnsi="Garamond" w:cs="Times New Roman"/>
        </w:rPr>
      </w:pPr>
    </w:p>
    <w:p w14:paraId="3220F241" w14:textId="5705C4A9" w:rsidR="00796592" w:rsidRPr="00847E5E" w:rsidRDefault="00796592" w:rsidP="00847E5E">
      <w:pPr>
        <w:pStyle w:val="Titre2"/>
        <w:numPr>
          <w:ilvl w:val="0"/>
          <w:numId w:val="13"/>
        </w:numPr>
        <w:jc w:val="both"/>
        <w:rPr>
          <w:rFonts w:ascii="Garamond" w:hAnsi="Garamond" w:cs="Times New Roman"/>
          <w:b/>
          <w:bCs/>
          <w:sz w:val="24"/>
          <w:szCs w:val="24"/>
        </w:rPr>
      </w:pPr>
      <w:r w:rsidRPr="00847E5E">
        <w:rPr>
          <w:rFonts w:ascii="Garamond" w:hAnsi="Garamond" w:cs="Times New Roman"/>
          <w:b/>
          <w:bCs/>
          <w:sz w:val="24"/>
          <w:szCs w:val="24"/>
        </w:rPr>
        <w:t>Aliénation des minorités et logiques transactionnelles du pouvoir</w:t>
      </w:r>
    </w:p>
    <w:p w14:paraId="0D494365" w14:textId="77777777" w:rsidR="00796592" w:rsidRPr="00847E5E" w:rsidRDefault="00796592" w:rsidP="00847E5E">
      <w:pPr>
        <w:spacing w:line="276" w:lineRule="auto"/>
        <w:jc w:val="both"/>
        <w:rPr>
          <w:rFonts w:ascii="Garamond" w:hAnsi="Garamond" w:cs="Times New Roman"/>
        </w:rPr>
      </w:pPr>
      <w:r w:rsidRPr="00847E5E">
        <w:rPr>
          <w:rFonts w:ascii="Garamond" w:hAnsi="Garamond" w:cs="Times New Roman"/>
        </w:rPr>
        <w:t>Dans l’ensemble, la gestion des minorités s’inscrit dans une logique pragmatique et différenciée, reposant sur des arrangements transactionnels plutôt que sur un cadre institutionnel inclusif. Cette approche permet une stabilisation à court terme, mais comporte un risque structurel de fragmentation et d’aliénation durable de certaines composantes de la société syrienne.</w:t>
      </w:r>
    </w:p>
    <w:p w14:paraId="37722C79" w14:textId="77777777" w:rsidR="00796592" w:rsidRPr="00847E5E" w:rsidRDefault="00796592" w:rsidP="00847E5E">
      <w:pPr>
        <w:spacing w:line="276" w:lineRule="auto"/>
        <w:jc w:val="both"/>
        <w:rPr>
          <w:rFonts w:ascii="Garamond" w:hAnsi="Garamond" w:cs="Times New Roman"/>
        </w:rPr>
      </w:pPr>
    </w:p>
    <w:p w14:paraId="4B964068" w14:textId="1A6BDFB7" w:rsidR="00796592" w:rsidRPr="00847E5E" w:rsidRDefault="00796592" w:rsidP="00847E5E">
      <w:pPr>
        <w:spacing w:line="276" w:lineRule="auto"/>
        <w:jc w:val="both"/>
        <w:rPr>
          <w:rFonts w:ascii="Garamond" w:hAnsi="Garamond" w:cs="Times New Roman"/>
        </w:rPr>
      </w:pPr>
      <w:r w:rsidRPr="00847E5E">
        <w:rPr>
          <w:rFonts w:ascii="Garamond" w:hAnsi="Garamond" w:cs="Times New Roman"/>
        </w:rPr>
        <w:t>Dans le contexte actuel de transition, les minorités cherchent à négocier des espaces d’autonomie, qu’il s’agisse de garanties juridiques, de droits politiques ou de formes de gouvernance locale. Toutefois, ces revendications se heurtent à la réticence du pouvoir central, peu disposé à concéder des arrangements institutionnels différenciés.</w:t>
      </w:r>
    </w:p>
    <w:p w14:paraId="5E31A906" w14:textId="77777777" w:rsidR="00796592" w:rsidRPr="00847E5E" w:rsidRDefault="00796592" w:rsidP="00847E5E">
      <w:pPr>
        <w:spacing w:line="276" w:lineRule="auto"/>
        <w:jc w:val="both"/>
        <w:rPr>
          <w:rFonts w:ascii="Garamond" w:hAnsi="Garamond" w:cs="Times New Roman"/>
        </w:rPr>
      </w:pPr>
      <w:r w:rsidRPr="00847E5E">
        <w:rPr>
          <w:rFonts w:ascii="Garamond" w:hAnsi="Garamond" w:cs="Times New Roman"/>
        </w:rPr>
        <w:t>Cette situation conduit, de facto, à une forme d’auto-exclusion des minorités du jeu politique. L’exception notable demeure le cas kurde, où une dynamique de négociation plus pragmatique est à l’œuvre dans le cadre de l’accord du 29 janvier. Les acteurs kurdes obtiennent ainsi des positions institutionnelles (gouvernorat de Hassaké, vice-ministère de la Défense, etc.) et s’inscrivent dans une logique transactionnelle visant à normaliser leur place dans l’appareil d’État.</w:t>
      </w:r>
    </w:p>
    <w:p w14:paraId="322E43D1" w14:textId="77777777" w:rsidR="00796592" w:rsidRPr="00847E5E" w:rsidRDefault="00796592" w:rsidP="00847E5E">
      <w:pPr>
        <w:spacing w:line="276" w:lineRule="auto"/>
        <w:jc w:val="both"/>
        <w:rPr>
          <w:rFonts w:ascii="Garamond" w:hAnsi="Garamond" w:cs="Times New Roman"/>
        </w:rPr>
      </w:pPr>
      <w:r w:rsidRPr="00847E5E">
        <w:rPr>
          <w:rFonts w:ascii="Garamond" w:hAnsi="Garamond" w:cs="Times New Roman"/>
        </w:rPr>
        <w:t>À l’inverse, d’autres minorités adoptent des stratégies plus maximalistes dans la négociation de la structure du pouvoir, ce qui tend à les marginaliser davantage. Leur exclusion ne relève donc pas uniquement d’un rejet par le centre, mais également de choix stratégiques peu compatibles avec les modalités actuelles de gouvernance.</w:t>
      </w:r>
    </w:p>
    <w:p w14:paraId="33EC6D56" w14:textId="666B8A79" w:rsidR="00796592" w:rsidRPr="00847E5E" w:rsidRDefault="00796592" w:rsidP="00847E5E">
      <w:pPr>
        <w:pStyle w:val="Titre3"/>
        <w:jc w:val="both"/>
        <w:rPr>
          <w:rFonts w:ascii="Garamond" w:hAnsi="Garamond" w:cs="Times New Roman"/>
          <w:b/>
          <w:bCs/>
          <w:sz w:val="24"/>
          <w:szCs w:val="24"/>
        </w:rPr>
      </w:pPr>
      <w:r w:rsidRPr="00847E5E">
        <w:rPr>
          <w:rFonts w:ascii="Garamond" w:hAnsi="Garamond" w:cs="Times New Roman"/>
          <w:b/>
          <w:bCs/>
          <w:sz w:val="24"/>
          <w:szCs w:val="24"/>
        </w:rPr>
        <w:t>Une dynamique d’</w:t>
      </w:r>
      <w:r w:rsidR="00F2788B" w:rsidRPr="00847E5E">
        <w:rPr>
          <w:rFonts w:ascii="Garamond" w:hAnsi="Garamond" w:cs="Times New Roman"/>
          <w:b/>
          <w:bCs/>
          <w:sz w:val="24"/>
          <w:szCs w:val="24"/>
        </w:rPr>
        <w:t>ethno confessionnalisation</w:t>
      </w:r>
      <w:r w:rsidRPr="00847E5E">
        <w:rPr>
          <w:rFonts w:ascii="Garamond" w:hAnsi="Garamond" w:cs="Times New Roman"/>
          <w:b/>
          <w:bCs/>
          <w:sz w:val="24"/>
          <w:szCs w:val="24"/>
        </w:rPr>
        <w:t xml:space="preserve"> du pouvoir</w:t>
      </w:r>
    </w:p>
    <w:p w14:paraId="102B4FDE" w14:textId="77777777" w:rsidR="00796592" w:rsidRPr="00847E5E" w:rsidRDefault="00796592" w:rsidP="00847E5E">
      <w:pPr>
        <w:spacing w:line="276" w:lineRule="auto"/>
        <w:jc w:val="both"/>
        <w:rPr>
          <w:rFonts w:ascii="Garamond" w:hAnsi="Garamond" w:cs="Times New Roman"/>
        </w:rPr>
      </w:pPr>
      <w:r w:rsidRPr="00847E5E">
        <w:rPr>
          <w:rFonts w:ascii="Garamond" w:hAnsi="Garamond" w:cs="Times New Roman"/>
        </w:rPr>
        <w:t>Le pouvoir en place tend à se structurer, de manière largement organique, autour d’un socle sunnite. Plusieurs facteurs expliquent cette dynamique :</w:t>
      </w:r>
    </w:p>
    <w:p w14:paraId="68A3A008" w14:textId="77777777" w:rsidR="00796592" w:rsidRPr="00847E5E" w:rsidRDefault="00796592" w:rsidP="00847E5E">
      <w:pPr>
        <w:numPr>
          <w:ilvl w:val="0"/>
          <w:numId w:val="9"/>
        </w:numPr>
        <w:spacing w:line="276" w:lineRule="auto"/>
        <w:jc w:val="both"/>
        <w:rPr>
          <w:rFonts w:ascii="Garamond" w:hAnsi="Garamond" w:cs="Times New Roman"/>
        </w:rPr>
      </w:pPr>
      <w:r w:rsidRPr="00847E5E">
        <w:rPr>
          <w:rFonts w:ascii="Garamond" w:hAnsi="Garamond" w:cs="Times New Roman"/>
        </w:rPr>
        <w:t>la base sociale (</w:t>
      </w:r>
      <w:r w:rsidRPr="00847E5E">
        <w:rPr>
          <w:rFonts w:ascii="Garamond" w:hAnsi="Garamond" w:cs="Times New Roman"/>
          <w:i/>
          <w:iCs/>
        </w:rPr>
        <w:t>jamā‘a</w:t>
      </w:r>
      <w:r w:rsidRPr="00847E5E">
        <w:rPr>
          <w:rFonts w:ascii="Garamond" w:hAnsi="Garamond" w:cs="Times New Roman"/>
        </w:rPr>
        <w:t xml:space="preserve">) du pouvoir est majoritairement sunnite ; </w:t>
      </w:r>
    </w:p>
    <w:p w14:paraId="683F4F6F" w14:textId="77777777" w:rsidR="00796592" w:rsidRPr="00847E5E" w:rsidRDefault="00796592" w:rsidP="00847E5E">
      <w:pPr>
        <w:numPr>
          <w:ilvl w:val="0"/>
          <w:numId w:val="9"/>
        </w:numPr>
        <w:spacing w:line="276" w:lineRule="auto"/>
        <w:jc w:val="both"/>
        <w:rPr>
          <w:rFonts w:ascii="Garamond" w:hAnsi="Garamond" w:cs="Times New Roman"/>
        </w:rPr>
      </w:pPr>
      <w:r w:rsidRPr="00847E5E">
        <w:rPr>
          <w:rFonts w:ascii="Garamond" w:hAnsi="Garamond" w:cs="Times New Roman"/>
        </w:rPr>
        <w:t xml:space="preserve">les réseaux de mobilisation et de capillarité sociale s’inscrivent dans cet espace ; </w:t>
      </w:r>
    </w:p>
    <w:p w14:paraId="5FD7512E" w14:textId="77777777" w:rsidR="00796592" w:rsidRPr="00847E5E" w:rsidRDefault="00796592" w:rsidP="00847E5E">
      <w:pPr>
        <w:numPr>
          <w:ilvl w:val="0"/>
          <w:numId w:val="9"/>
        </w:numPr>
        <w:spacing w:line="276" w:lineRule="auto"/>
        <w:jc w:val="both"/>
        <w:rPr>
          <w:rFonts w:ascii="Garamond" w:hAnsi="Garamond" w:cs="Times New Roman"/>
        </w:rPr>
      </w:pPr>
      <w:r w:rsidRPr="00847E5E">
        <w:rPr>
          <w:rFonts w:ascii="Garamond" w:hAnsi="Garamond" w:cs="Times New Roman"/>
        </w:rPr>
        <w:t xml:space="preserve">les principaux acteurs engagés dans les négociations politiques — révolutionnaires, factions armées — sont également issus de ce milieu ; </w:t>
      </w:r>
    </w:p>
    <w:p w14:paraId="62523537" w14:textId="77777777" w:rsidR="00796592" w:rsidRPr="00847E5E" w:rsidRDefault="00796592" w:rsidP="00847E5E">
      <w:pPr>
        <w:numPr>
          <w:ilvl w:val="0"/>
          <w:numId w:val="9"/>
        </w:numPr>
        <w:spacing w:line="276" w:lineRule="auto"/>
        <w:jc w:val="both"/>
        <w:rPr>
          <w:rFonts w:ascii="Garamond" w:hAnsi="Garamond" w:cs="Times New Roman"/>
        </w:rPr>
      </w:pPr>
      <w:r w:rsidRPr="00847E5E">
        <w:rPr>
          <w:rFonts w:ascii="Garamond" w:hAnsi="Garamond" w:cs="Times New Roman"/>
        </w:rPr>
        <w:t xml:space="preserve">à l’exception des Kurdes, les minorités restent en marge des processus transactionnels d’accès au pouvoir. </w:t>
      </w:r>
    </w:p>
    <w:p w14:paraId="06D06137" w14:textId="77777777" w:rsidR="00796592" w:rsidRPr="00847E5E" w:rsidRDefault="00796592" w:rsidP="00847E5E">
      <w:pPr>
        <w:spacing w:line="276" w:lineRule="auto"/>
        <w:jc w:val="both"/>
        <w:rPr>
          <w:rFonts w:ascii="Garamond" w:hAnsi="Garamond" w:cs="Times New Roman"/>
        </w:rPr>
      </w:pPr>
      <w:r w:rsidRPr="00847E5E">
        <w:rPr>
          <w:rFonts w:ascii="Garamond" w:hAnsi="Garamond" w:cs="Times New Roman"/>
        </w:rPr>
        <w:t>Le sunnisme apparaît ainsi moins comme une idéologie imposée que comme le produit d’interactions entre le pouvoir et les acteurs capables de négocier leur intégration. Cette configuration a plusieurs effets :</w:t>
      </w:r>
    </w:p>
    <w:p w14:paraId="032E337B" w14:textId="77777777" w:rsidR="00796592" w:rsidRPr="00847E5E" w:rsidRDefault="00796592" w:rsidP="00847E5E">
      <w:pPr>
        <w:numPr>
          <w:ilvl w:val="0"/>
          <w:numId w:val="10"/>
        </w:numPr>
        <w:spacing w:line="276" w:lineRule="auto"/>
        <w:jc w:val="both"/>
        <w:rPr>
          <w:rFonts w:ascii="Garamond" w:hAnsi="Garamond" w:cs="Times New Roman"/>
        </w:rPr>
      </w:pPr>
      <w:r w:rsidRPr="00847E5E">
        <w:rPr>
          <w:rFonts w:ascii="Garamond" w:hAnsi="Garamond" w:cs="Times New Roman"/>
        </w:rPr>
        <w:t xml:space="preserve">elle consolide la base sociale du régime, mais au prix d’un éloignement des autres minorités ; </w:t>
      </w:r>
    </w:p>
    <w:p w14:paraId="1E79A783" w14:textId="77777777" w:rsidR="00796592" w:rsidRPr="00847E5E" w:rsidRDefault="00796592" w:rsidP="00847E5E">
      <w:pPr>
        <w:numPr>
          <w:ilvl w:val="0"/>
          <w:numId w:val="10"/>
        </w:numPr>
        <w:spacing w:line="276" w:lineRule="auto"/>
        <w:jc w:val="both"/>
        <w:rPr>
          <w:rFonts w:ascii="Garamond" w:hAnsi="Garamond" w:cs="Times New Roman"/>
        </w:rPr>
      </w:pPr>
      <w:r w:rsidRPr="00847E5E">
        <w:rPr>
          <w:rFonts w:ascii="Garamond" w:hAnsi="Garamond" w:cs="Times New Roman"/>
        </w:rPr>
        <w:t xml:space="preserve">elle tend à lisser les différences ethnoconfessionnelles dans le discours officiel, sans pour autant les intégrer réellement dans les structures de pouvoir ; </w:t>
      </w:r>
    </w:p>
    <w:p w14:paraId="3C1C1E6A" w14:textId="77777777" w:rsidR="00796592" w:rsidRPr="00847E5E" w:rsidRDefault="00796592" w:rsidP="00847E5E">
      <w:pPr>
        <w:numPr>
          <w:ilvl w:val="0"/>
          <w:numId w:val="10"/>
        </w:numPr>
        <w:spacing w:line="276" w:lineRule="auto"/>
        <w:jc w:val="both"/>
        <w:rPr>
          <w:rFonts w:ascii="Garamond" w:hAnsi="Garamond" w:cs="Times New Roman"/>
        </w:rPr>
      </w:pPr>
      <w:r w:rsidRPr="00847E5E">
        <w:rPr>
          <w:rFonts w:ascii="Garamond" w:hAnsi="Garamond" w:cs="Times New Roman"/>
        </w:rPr>
        <w:t xml:space="preserve">elle marginalise également une partie de la majorité sunnite non engagée dans les dynamiques révolutionnaires. </w:t>
      </w:r>
    </w:p>
    <w:p w14:paraId="1DC7A07A" w14:textId="77777777" w:rsidR="00796592" w:rsidRPr="00847E5E" w:rsidRDefault="00796592" w:rsidP="00847E5E">
      <w:pPr>
        <w:spacing w:line="276" w:lineRule="auto"/>
        <w:jc w:val="both"/>
        <w:rPr>
          <w:rFonts w:ascii="Garamond" w:hAnsi="Garamond" w:cs="Times New Roman"/>
        </w:rPr>
      </w:pPr>
      <w:r w:rsidRPr="00847E5E">
        <w:rPr>
          <w:rFonts w:ascii="Garamond" w:hAnsi="Garamond" w:cs="Times New Roman"/>
        </w:rPr>
        <w:t>Parallèlement, les autorités tentent d’encadrer le religieux à travers des institutions telles que les conseils de fatwa et les figures religieuses, tout en s’appuyant sur d’autres relais sociaux, notamment les structures tribales.</w:t>
      </w:r>
    </w:p>
    <w:p w14:paraId="0E64253E" w14:textId="77777777" w:rsidR="00796592" w:rsidRPr="00847E5E" w:rsidRDefault="00796592" w:rsidP="00847E5E">
      <w:pPr>
        <w:pStyle w:val="Titre3"/>
        <w:jc w:val="both"/>
        <w:rPr>
          <w:rFonts w:ascii="Garamond" w:hAnsi="Garamond" w:cs="Times New Roman"/>
          <w:b/>
          <w:bCs/>
          <w:sz w:val="24"/>
          <w:szCs w:val="24"/>
        </w:rPr>
      </w:pPr>
      <w:r w:rsidRPr="00847E5E">
        <w:rPr>
          <w:rFonts w:ascii="Garamond" w:hAnsi="Garamond" w:cs="Times New Roman"/>
          <w:b/>
          <w:bCs/>
          <w:sz w:val="24"/>
          <w:szCs w:val="24"/>
        </w:rPr>
        <w:t>Le rôle croissant des structures tribales</w:t>
      </w:r>
    </w:p>
    <w:p w14:paraId="32F5627D" w14:textId="77777777" w:rsidR="00796592" w:rsidRPr="00847E5E" w:rsidRDefault="00796592" w:rsidP="00847E5E">
      <w:pPr>
        <w:spacing w:line="276" w:lineRule="auto"/>
        <w:jc w:val="both"/>
        <w:rPr>
          <w:rFonts w:ascii="Garamond" w:hAnsi="Garamond" w:cs="Times New Roman"/>
        </w:rPr>
      </w:pPr>
      <w:r w:rsidRPr="00847E5E">
        <w:rPr>
          <w:rFonts w:ascii="Garamond" w:hAnsi="Garamond" w:cs="Times New Roman"/>
        </w:rPr>
        <w:t>Face à l’émergence de tensions communautaires, notamment à Homs et Hama au début de l’année 2025, les autorités ont mis en place en septembre 2025 un Bureau des tribus et des clans, placé sous la direction de Jihad Issa al-Sheikh.</w:t>
      </w:r>
    </w:p>
    <w:p w14:paraId="0AD01A46" w14:textId="77777777" w:rsidR="00796592" w:rsidRPr="00847E5E" w:rsidRDefault="00796592" w:rsidP="00847E5E">
      <w:pPr>
        <w:spacing w:line="276" w:lineRule="auto"/>
        <w:jc w:val="both"/>
        <w:rPr>
          <w:rFonts w:ascii="Garamond" w:hAnsi="Garamond" w:cs="Times New Roman"/>
        </w:rPr>
      </w:pPr>
      <w:r w:rsidRPr="00847E5E">
        <w:rPr>
          <w:rFonts w:ascii="Garamond" w:hAnsi="Garamond" w:cs="Times New Roman"/>
        </w:rPr>
        <w:t>Dotée d’antennes régionales, cette institution vise à :</w:t>
      </w:r>
    </w:p>
    <w:p w14:paraId="6C8CA021" w14:textId="77777777" w:rsidR="00796592" w:rsidRPr="00847E5E" w:rsidRDefault="00796592" w:rsidP="00847E5E">
      <w:pPr>
        <w:numPr>
          <w:ilvl w:val="0"/>
          <w:numId w:val="11"/>
        </w:numPr>
        <w:spacing w:line="276" w:lineRule="auto"/>
        <w:jc w:val="both"/>
        <w:rPr>
          <w:rFonts w:ascii="Garamond" w:hAnsi="Garamond" w:cs="Times New Roman"/>
        </w:rPr>
      </w:pPr>
      <w:r w:rsidRPr="00847E5E">
        <w:rPr>
          <w:rFonts w:ascii="Garamond" w:hAnsi="Garamond" w:cs="Times New Roman"/>
        </w:rPr>
        <w:t xml:space="preserve">établir des liens avec les élites tribales, </w:t>
      </w:r>
    </w:p>
    <w:p w14:paraId="69E814BC" w14:textId="77777777" w:rsidR="00796592" w:rsidRPr="00847E5E" w:rsidRDefault="00796592" w:rsidP="00847E5E">
      <w:pPr>
        <w:numPr>
          <w:ilvl w:val="0"/>
          <w:numId w:val="11"/>
        </w:numPr>
        <w:spacing w:line="276" w:lineRule="auto"/>
        <w:jc w:val="both"/>
        <w:rPr>
          <w:rFonts w:ascii="Garamond" w:hAnsi="Garamond" w:cs="Times New Roman"/>
        </w:rPr>
      </w:pPr>
      <w:r w:rsidRPr="00847E5E">
        <w:rPr>
          <w:rFonts w:ascii="Garamond" w:hAnsi="Garamond" w:cs="Times New Roman"/>
        </w:rPr>
        <w:t xml:space="preserve">les intégrer dans les mécanismes de gouvernance, </w:t>
      </w:r>
    </w:p>
    <w:p w14:paraId="07706F27" w14:textId="77777777" w:rsidR="00796592" w:rsidRPr="00847E5E" w:rsidRDefault="00796592" w:rsidP="00847E5E">
      <w:pPr>
        <w:numPr>
          <w:ilvl w:val="0"/>
          <w:numId w:val="11"/>
        </w:numPr>
        <w:spacing w:line="276" w:lineRule="auto"/>
        <w:jc w:val="both"/>
        <w:rPr>
          <w:rFonts w:ascii="Garamond" w:hAnsi="Garamond" w:cs="Times New Roman"/>
        </w:rPr>
      </w:pPr>
      <w:r w:rsidRPr="00847E5E">
        <w:rPr>
          <w:rFonts w:ascii="Garamond" w:hAnsi="Garamond" w:cs="Times New Roman"/>
        </w:rPr>
        <w:t xml:space="preserve">renforcer les capacités de médiation et de gestion des conflits locaux. </w:t>
      </w:r>
    </w:p>
    <w:p w14:paraId="7F64F27F" w14:textId="77777777" w:rsidR="00796592" w:rsidRPr="00847E5E" w:rsidRDefault="00796592" w:rsidP="00847E5E">
      <w:pPr>
        <w:spacing w:line="276" w:lineRule="auto"/>
        <w:jc w:val="both"/>
        <w:rPr>
          <w:rFonts w:ascii="Garamond" w:hAnsi="Garamond" w:cs="Times New Roman"/>
        </w:rPr>
      </w:pPr>
      <w:r w:rsidRPr="00847E5E">
        <w:rPr>
          <w:rFonts w:ascii="Garamond" w:hAnsi="Garamond" w:cs="Times New Roman"/>
        </w:rPr>
        <w:t>Ce recours aux structures tribales s’inscrit dans une logique pragmatique de stabilisation, en complément des institutions étatiques formelles.</w:t>
      </w:r>
    </w:p>
    <w:p w14:paraId="5EB7EF57" w14:textId="77777777" w:rsidR="00796592" w:rsidRPr="00847E5E" w:rsidRDefault="00796592" w:rsidP="00847E5E">
      <w:pPr>
        <w:pStyle w:val="Titre3"/>
        <w:jc w:val="both"/>
        <w:rPr>
          <w:rFonts w:ascii="Garamond" w:hAnsi="Garamond" w:cs="Times New Roman"/>
          <w:b/>
          <w:bCs/>
          <w:sz w:val="24"/>
          <w:szCs w:val="24"/>
        </w:rPr>
      </w:pPr>
      <w:r w:rsidRPr="00847E5E">
        <w:rPr>
          <w:rFonts w:ascii="Garamond" w:hAnsi="Garamond" w:cs="Times New Roman"/>
          <w:b/>
          <w:bCs/>
          <w:sz w:val="24"/>
          <w:szCs w:val="24"/>
        </w:rPr>
        <w:t>Une relation transactionnelle aux minorités</w:t>
      </w:r>
    </w:p>
    <w:p w14:paraId="5165CA86" w14:textId="77777777" w:rsidR="00796592" w:rsidRPr="00847E5E" w:rsidRDefault="00796592" w:rsidP="00847E5E">
      <w:pPr>
        <w:spacing w:line="276" w:lineRule="auto"/>
        <w:jc w:val="both"/>
        <w:rPr>
          <w:rFonts w:ascii="Garamond" w:hAnsi="Garamond" w:cs="Times New Roman"/>
        </w:rPr>
      </w:pPr>
      <w:r w:rsidRPr="00847E5E">
        <w:rPr>
          <w:rFonts w:ascii="Garamond" w:hAnsi="Garamond" w:cs="Times New Roman"/>
        </w:rPr>
        <w:t>Pour le gouvernement, les minorités revêtent une importance stratégique, tant pour des raisons de légitimité internationale que pour la construction d’une cohésion sociale interne. Cette approche se traduit par des politiques différenciées selon les groupes :</w:t>
      </w:r>
    </w:p>
    <w:p w14:paraId="79FE5A25" w14:textId="6EA2B135" w:rsidR="00796592" w:rsidRPr="00847E5E" w:rsidRDefault="00796592" w:rsidP="00847E5E">
      <w:pPr>
        <w:spacing w:line="276" w:lineRule="auto"/>
        <w:jc w:val="both"/>
        <w:rPr>
          <w:rFonts w:ascii="Garamond" w:hAnsi="Garamond" w:cs="Times New Roman"/>
          <w:b/>
          <w:bCs/>
        </w:rPr>
      </w:pPr>
      <w:r w:rsidRPr="00847E5E">
        <w:rPr>
          <w:rFonts w:ascii="Garamond" w:hAnsi="Garamond" w:cs="Times New Roman"/>
          <w:b/>
          <w:bCs/>
        </w:rPr>
        <w:t>Les Alaouites (région côtière)</w:t>
      </w:r>
    </w:p>
    <w:p w14:paraId="2DD543F0" w14:textId="77777777" w:rsidR="00796592" w:rsidRPr="00847E5E" w:rsidRDefault="00796592" w:rsidP="00847E5E">
      <w:pPr>
        <w:spacing w:line="276" w:lineRule="auto"/>
        <w:jc w:val="both"/>
        <w:rPr>
          <w:rFonts w:ascii="Garamond" w:hAnsi="Garamond" w:cs="Times New Roman"/>
        </w:rPr>
      </w:pPr>
      <w:r w:rsidRPr="00847E5E">
        <w:rPr>
          <w:rFonts w:ascii="Garamond" w:hAnsi="Garamond" w:cs="Times New Roman"/>
        </w:rPr>
        <w:t>Le pouvoir dispose de relais locaux (Direction des affaires politiques, gouverneurs) et entretient des contacts à la fois avec des acteurs insurgés et avec les réfugiés au Liban.</w:t>
      </w:r>
      <w:r w:rsidRPr="00847E5E">
        <w:rPr>
          <w:rFonts w:ascii="Garamond" w:hAnsi="Garamond" w:cs="Times New Roman"/>
        </w:rPr>
        <w:br/>
        <w:t>Le retour de populations alaouites constitue un enjeu majeur en termes d’image internationale et de stabilisation locale. Des politiques ciblées sont envisagées, notamment en matière d’accès à l’emploi et de gestion des licenciements, ainsi que sur les dynamiques de perception dans des zones sensibles comme Jablé.</w:t>
      </w:r>
    </w:p>
    <w:p w14:paraId="699C29D3" w14:textId="23CD557A" w:rsidR="00796592" w:rsidRPr="00847E5E" w:rsidRDefault="00796592" w:rsidP="00847E5E">
      <w:pPr>
        <w:spacing w:line="276" w:lineRule="auto"/>
        <w:jc w:val="both"/>
        <w:rPr>
          <w:rFonts w:ascii="Garamond" w:hAnsi="Garamond" w:cs="Times New Roman"/>
          <w:b/>
          <w:bCs/>
        </w:rPr>
      </w:pPr>
      <w:r w:rsidRPr="00847E5E">
        <w:rPr>
          <w:rFonts w:ascii="Garamond" w:hAnsi="Garamond" w:cs="Times New Roman"/>
          <w:b/>
          <w:bCs/>
        </w:rPr>
        <w:t>Les Druzes</w:t>
      </w:r>
    </w:p>
    <w:p w14:paraId="26FD631D" w14:textId="77777777" w:rsidR="00796592" w:rsidRPr="00847E5E" w:rsidRDefault="00796592" w:rsidP="00847E5E">
      <w:pPr>
        <w:spacing w:line="276" w:lineRule="auto"/>
        <w:jc w:val="both"/>
        <w:rPr>
          <w:rFonts w:ascii="Garamond" w:hAnsi="Garamond" w:cs="Times New Roman"/>
        </w:rPr>
      </w:pPr>
      <w:r w:rsidRPr="00847E5E">
        <w:rPr>
          <w:rFonts w:ascii="Garamond" w:hAnsi="Garamond" w:cs="Times New Roman"/>
        </w:rPr>
        <w:t>L’approche privilégiée consiste à éviter une focalisation exclusive sur Sweida, au profit de la consolidation de modèles locaux fonctionnels dans des zones comme Jaramana, Sahnaya ou Achrafieh.</w:t>
      </w:r>
      <w:r w:rsidRPr="00847E5E">
        <w:rPr>
          <w:rFonts w:ascii="Garamond" w:hAnsi="Garamond" w:cs="Times New Roman"/>
        </w:rPr>
        <w:br/>
        <w:t>L’objectif est de revenir à des équilibres proches des accords de mai 2024 (polices locales, arrangements sécuritaires, désescalade). Des canaux de communication informels sont envisagés afin de tester des pistes de dialogue.</w:t>
      </w:r>
    </w:p>
    <w:p w14:paraId="3C6C4F21" w14:textId="2A4A9AA2" w:rsidR="00F2788B" w:rsidRPr="00847E5E" w:rsidRDefault="00F2788B" w:rsidP="00847E5E">
      <w:pPr>
        <w:spacing w:line="276" w:lineRule="auto"/>
        <w:jc w:val="both"/>
        <w:rPr>
          <w:rFonts w:ascii="Garamond" w:hAnsi="Garamond" w:cs="Times New Roman"/>
          <w:b/>
          <w:bCs/>
        </w:rPr>
      </w:pPr>
      <w:r w:rsidRPr="00847E5E">
        <w:rPr>
          <w:rFonts w:ascii="Garamond" w:hAnsi="Garamond" w:cs="Times New Roman"/>
          <w:b/>
          <w:bCs/>
        </w:rPr>
        <w:t>Les Kurdes</w:t>
      </w:r>
    </w:p>
    <w:p w14:paraId="2224881F" w14:textId="77777777" w:rsidR="00F2788B" w:rsidRPr="00847E5E" w:rsidRDefault="00F2788B" w:rsidP="00847E5E">
      <w:pPr>
        <w:spacing w:line="276" w:lineRule="auto"/>
        <w:jc w:val="both"/>
        <w:rPr>
          <w:rFonts w:ascii="Garamond" w:hAnsi="Garamond" w:cs="Times New Roman"/>
        </w:rPr>
      </w:pPr>
      <w:r w:rsidRPr="00847E5E">
        <w:rPr>
          <w:rFonts w:ascii="Garamond" w:hAnsi="Garamond" w:cs="Times New Roman"/>
        </w:rPr>
        <w:t>L’objectif est d’approfondir le dialogue politique, notamment avec les interlocuteurs clés, afin de tester de manière informelle des modalités de coopération. Les discussions portent en particulier sur :</w:t>
      </w:r>
    </w:p>
    <w:p w14:paraId="6E86CCA6" w14:textId="77777777" w:rsidR="00F2788B" w:rsidRPr="00847E5E" w:rsidRDefault="00F2788B" w:rsidP="00847E5E">
      <w:pPr>
        <w:numPr>
          <w:ilvl w:val="0"/>
          <w:numId w:val="12"/>
        </w:numPr>
        <w:spacing w:line="276" w:lineRule="auto"/>
        <w:jc w:val="both"/>
        <w:rPr>
          <w:rFonts w:ascii="Garamond" w:hAnsi="Garamond" w:cs="Times New Roman"/>
        </w:rPr>
      </w:pPr>
      <w:r w:rsidRPr="00847E5E">
        <w:rPr>
          <w:rFonts w:ascii="Garamond" w:hAnsi="Garamond" w:cs="Times New Roman"/>
        </w:rPr>
        <w:t xml:space="preserve">l’accès de Damas au nord-est syrien (NES), </w:t>
      </w:r>
    </w:p>
    <w:p w14:paraId="4465EFC5" w14:textId="77777777" w:rsidR="00F2788B" w:rsidRPr="00847E5E" w:rsidRDefault="00F2788B" w:rsidP="00847E5E">
      <w:pPr>
        <w:numPr>
          <w:ilvl w:val="0"/>
          <w:numId w:val="12"/>
        </w:numPr>
        <w:spacing w:line="276" w:lineRule="auto"/>
        <w:jc w:val="both"/>
        <w:rPr>
          <w:rFonts w:ascii="Garamond" w:hAnsi="Garamond" w:cs="Times New Roman"/>
        </w:rPr>
      </w:pPr>
      <w:r w:rsidRPr="00847E5E">
        <w:rPr>
          <w:rFonts w:ascii="Garamond" w:hAnsi="Garamond" w:cs="Times New Roman"/>
        </w:rPr>
        <w:t xml:space="preserve">l’intégration des Kurdes dans des positions significatives au sein de l’appareil d’État, </w:t>
      </w:r>
    </w:p>
    <w:p w14:paraId="15AC2EF6" w14:textId="77777777" w:rsidR="00F2788B" w:rsidRPr="00847E5E" w:rsidRDefault="00F2788B" w:rsidP="00847E5E">
      <w:pPr>
        <w:numPr>
          <w:ilvl w:val="0"/>
          <w:numId w:val="12"/>
        </w:numPr>
        <w:spacing w:line="276" w:lineRule="auto"/>
        <w:jc w:val="both"/>
        <w:rPr>
          <w:rFonts w:ascii="Garamond" w:hAnsi="Garamond" w:cs="Times New Roman"/>
        </w:rPr>
      </w:pPr>
      <w:r w:rsidRPr="00847E5E">
        <w:rPr>
          <w:rFonts w:ascii="Garamond" w:hAnsi="Garamond" w:cs="Times New Roman"/>
        </w:rPr>
        <w:t xml:space="preserve">l’articulation des relations avec la Turquie. </w:t>
      </w:r>
    </w:p>
    <w:p w14:paraId="09925768" w14:textId="77777777" w:rsidR="00F2788B" w:rsidRPr="00847E5E" w:rsidRDefault="00F2788B" w:rsidP="00847E5E">
      <w:pPr>
        <w:spacing w:line="276" w:lineRule="auto"/>
        <w:jc w:val="both"/>
        <w:rPr>
          <w:rFonts w:ascii="Garamond" w:hAnsi="Garamond" w:cs="Times New Roman"/>
        </w:rPr>
      </w:pPr>
      <w:r w:rsidRPr="00847E5E">
        <w:rPr>
          <w:rFonts w:ascii="Garamond" w:hAnsi="Garamond" w:cs="Times New Roman"/>
        </w:rPr>
        <w:t>Cette dynamique devrait se poursuivre à travers de nouvelles rencontres de haut niveau.</w:t>
      </w:r>
    </w:p>
    <w:p w14:paraId="460BBA0D" w14:textId="77777777" w:rsidR="00796592" w:rsidRPr="00847E5E" w:rsidRDefault="00796592" w:rsidP="00847E5E">
      <w:pPr>
        <w:spacing w:line="276" w:lineRule="auto"/>
        <w:jc w:val="both"/>
        <w:rPr>
          <w:rFonts w:ascii="Garamond" w:hAnsi="Garamond" w:cs="Times New Roman"/>
        </w:rPr>
      </w:pPr>
    </w:p>
    <w:p w14:paraId="64AC6204" w14:textId="4B50A8A6" w:rsidR="00AF1D98" w:rsidRPr="00847E5E" w:rsidRDefault="00AF1D98" w:rsidP="00847E5E">
      <w:pPr>
        <w:pStyle w:val="Titre2"/>
        <w:spacing w:line="276" w:lineRule="auto"/>
        <w:rPr>
          <w:rFonts w:ascii="Garamond" w:eastAsia="Times New Roman" w:hAnsi="Garamond" w:cs="Times New Roman"/>
          <w:sz w:val="24"/>
          <w:szCs w:val="24"/>
        </w:rPr>
      </w:pPr>
      <w:r w:rsidRPr="00847E5E">
        <w:rPr>
          <w:rFonts w:ascii="Garamond" w:eastAsia="Times New Roman" w:hAnsi="Garamond" w:cs="Times New Roman"/>
          <w:sz w:val="24"/>
          <w:szCs w:val="24"/>
        </w:rPr>
        <w:t>Annexe : De la rébellion à la raison d’État : la trajectoire de normalisation du régime d’Ahmed al-Charaa</w:t>
      </w:r>
    </w:p>
    <w:p w14:paraId="57EE3756"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rPr>
      </w:pPr>
    </w:p>
    <w:p w14:paraId="68CDC498" w14:textId="77777777" w:rsidR="00AF1D98" w:rsidRPr="00847E5E" w:rsidRDefault="00AF1D98" w:rsidP="00847E5E">
      <w:pPr>
        <w:numPr>
          <w:ilvl w:val="0"/>
          <w:numId w:val="14"/>
        </w:numPr>
        <w:pBdr>
          <w:top w:val="nil"/>
          <w:left w:val="nil"/>
          <w:bottom w:val="nil"/>
          <w:right w:val="nil"/>
          <w:between w:val="nil"/>
        </w:pBdr>
        <w:spacing w:after="140" w:line="276" w:lineRule="auto"/>
        <w:ind w:left="0" w:firstLine="0"/>
        <w:jc w:val="both"/>
        <w:rPr>
          <w:rFonts w:ascii="Garamond" w:eastAsia="Arial" w:hAnsi="Garamond" w:cs="Arial"/>
          <w:b/>
          <w:bCs/>
          <w:color w:val="000000"/>
        </w:rPr>
      </w:pPr>
      <w:r w:rsidRPr="00847E5E">
        <w:rPr>
          <w:rFonts w:ascii="Garamond" w:eastAsia="Arial" w:hAnsi="Garamond" w:cs="Arial"/>
          <w:b/>
          <w:bCs/>
        </w:rPr>
        <w:t xml:space="preserve"> </w:t>
      </w:r>
      <w:r w:rsidRPr="00847E5E">
        <w:rPr>
          <w:rFonts w:ascii="Garamond" w:eastAsia="Arial" w:hAnsi="Garamond" w:cs="Arial"/>
          <w:b/>
          <w:bCs/>
          <w:color w:val="000000"/>
        </w:rPr>
        <w:t>Gouverner après la guerre : la sécurisation territoriale comme matrice du nouvel État syrien.</w:t>
      </w:r>
    </w:p>
    <w:p w14:paraId="38FBD9B4" w14:textId="77777777" w:rsidR="00AF1D98" w:rsidRPr="00847E5E" w:rsidRDefault="00AF1D98" w:rsidP="00847E5E">
      <w:pPr>
        <w:pBdr>
          <w:top w:val="nil"/>
          <w:left w:val="nil"/>
          <w:bottom w:val="nil"/>
          <w:right w:val="nil"/>
          <w:between w:val="nil"/>
        </w:pBdr>
        <w:spacing w:after="140" w:line="276" w:lineRule="auto"/>
        <w:jc w:val="both"/>
        <w:rPr>
          <w:rFonts w:ascii="Garamond" w:hAnsi="Garamond"/>
          <w:color w:val="000000"/>
        </w:rPr>
      </w:pPr>
      <w:r w:rsidRPr="00847E5E">
        <w:rPr>
          <w:rFonts w:ascii="Garamond" w:eastAsia="Times New Roman" w:hAnsi="Garamond" w:cs="Times New Roman"/>
          <w:b/>
          <w:bCs/>
          <w:color w:val="000000"/>
        </w:rPr>
        <w:tab/>
        <w:t>A – De la captation du pouvoir par HTS à l’ouverture à d’autres organisations : densification du maillage d’intermédiaires territoriaux.</w:t>
      </w:r>
    </w:p>
    <w:p w14:paraId="30DBAA1B"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ab/>
        <w:t>Avant l</w:t>
      </w:r>
      <w:r w:rsidRPr="00847E5E">
        <w:rPr>
          <w:rFonts w:ascii="Garamond" w:eastAsia="Times New Roman" w:hAnsi="Garamond" w:cs="Times New Roman"/>
        </w:rPr>
        <w:t xml:space="preserve">’offensive éclair sur Damas dans la nuit du 7 au 8 décembre 2024, le groupe HTS contrôlait depuis 2017 la partie nord-ouest du territoire syrien, comprenant notamment la moitié du gouvernorat d’Idlib, ainsi qu’une partie du gouvernorat d’Alep et de Hama. Mais avec la chute du régime Assad et la prise de pouvoir, </w:t>
      </w:r>
      <w:r w:rsidRPr="00847E5E">
        <w:rPr>
          <w:rFonts w:ascii="Garamond" w:eastAsia="Times New Roman" w:hAnsi="Garamond" w:cs="Times New Roman"/>
          <w:color w:val="000000"/>
        </w:rPr>
        <w:t xml:space="preserve">se pose la question de la conservation du leadership sur un territoire soudainement devenu beaucoup plus grand. Le pari de départ pour HTS consiste donc à nommer ses propres membres </w:t>
      </w:r>
      <w:r w:rsidRPr="00847E5E">
        <w:rPr>
          <w:rFonts w:ascii="Garamond" w:eastAsia="Times New Roman" w:hAnsi="Garamond" w:cs="Times New Roman"/>
        </w:rPr>
        <w:t xml:space="preserve">à la quasi-totalité des postes du premier gouvernement </w:t>
      </w:r>
      <w:r w:rsidRPr="00847E5E">
        <w:rPr>
          <w:rFonts w:ascii="Garamond" w:eastAsia="Times New Roman" w:hAnsi="Garamond" w:cs="Times New Roman"/>
          <w:color w:val="000000"/>
        </w:rPr>
        <w:t>: face à l’incertitude des jours et semaines à venir, il s’agit de se resserrer sur sa base et de travailler avec des proches. Ce climat d’incertitude est nourri par l’attente des réactions des pays voisins à cette prise de pouvoir éclair, mais aussi par le risque d’une contre-insurrection de la part des proches de l’ancien régime. Dans ce contexte, l’idée est donc de remplir le vide institutionnel rapidement, en s’appuyant sur des membres de HTS, dont la fiabilité et la loyauté ne sont pas à prouver.</w:t>
      </w:r>
    </w:p>
    <w:p w14:paraId="76198DDF"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ab/>
        <w:t>La deuxième étape de la prise de contrôle du territoire est l’implantation du nouveau pouvoir à l’échelle locale, par le déploiement de cadres de HTS qui bénéficient de nouveaux titres institutionnalisés (cheikhs, émirs, etc.). Ce renforcement passe également par la consolidation des relations avec les élites tribales et locales. Dans la ville d’Alep, une collaboration étroite entre autorités nationales et leaders tribaux locaux s’institutionnalise, permettant aux premières de maintenir l’ordre grâce à la légitimité sociale apportée par les secondes (Tlass, 2025)</w:t>
      </w:r>
      <w:r w:rsidRPr="00847E5E">
        <w:rPr>
          <w:rFonts w:ascii="Garamond" w:eastAsia="Times New Roman" w:hAnsi="Garamond" w:cs="Times New Roman"/>
          <w:color w:val="000000"/>
          <w:vertAlign w:val="superscript"/>
        </w:rPr>
        <w:footnoteReference w:id="18"/>
      </w:r>
      <w:r w:rsidRPr="00847E5E">
        <w:rPr>
          <w:rFonts w:ascii="Garamond" w:eastAsia="Times New Roman" w:hAnsi="Garamond" w:cs="Times New Roman"/>
          <w:color w:val="000000"/>
        </w:rPr>
        <w:t xml:space="preserve">. </w:t>
      </w:r>
      <w:r w:rsidRPr="00847E5E">
        <w:rPr>
          <w:rFonts w:ascii="Garamond" w:eastAsia="Times New Roman" w:hAnsi="Garamond" w:cs="Times New Roman"/>
        </w:rPr>
        <w:t>U</w:t>
      </w:r>
      <w:r w:rsidRPr="00847E5E">
        <w:rPr>
          <w:rFonts w:ascii="Garamond" w:eastAsia="Times New Roman" w:hAnsi="Garamond" w:cs="Times New Roman"/>
          <w:color w:val="000000"/>
        </w:rPr>
        <w:t xml:space="preserve">n bureau des relations publiques de la sécurité générale est créé </w:t>
      </w:r>
      <w:r w:rsidRPr="00847E5E">
        <w:rPr>
          <w:rFonts w:ascii="Garamond" w:eastAsia="Times New Roman" w:hAnsi="Garamond" w:cs="Times New Roman"/>
        </w:rPr>
        <w:t xml:space="preserve">début 2025 à Damas </w:t>
      </w:r>
      <w:r w:rsidRPr="00847E5E">
        <w:rPr>
          <w:rFonts w:ascii="Garamond" w:eastAsia="Times New Roman" w:hAnsi="Garamond" w:cs="Times New Roman"/>
          <w:color w:val="000000"/>
        </w:rPr>
        <w:t>et a pour objectif de contacter les élites tribales et urbaines afin de les regrouper dans un conseil, visant à garantir l’ordre public. L’émergence de conflits communautaires, par exemple à Homs et Hama,</w:t>
      </w:r>
      <w:r w:rsidRPr="00847E5E">
        <w:rPr>
          <w:rFonts w:ascii="Garamond" w:eastAsia="Times New Roman" w:hAnsi="Garamond" w:cs="Times New Roman"/>
        </w:rPr>
        <w:t xml:space="preserve"> au début de l’année 2025,</w:t>
      </w:r>
      <w:r w:rsidRPr="00847E5E">
        <w:rPr>
          <w:rFonts w:ascii="Garamond" w:eastAsia="Times New Roman" w:hAnsi="Garamond" w:cs="Times New Roman"/>
          <w:color w:val="000000"/>
        </w:rPr>
        <w:t xml:space="preserve"> a accéléré la création en se</w:t>
      </w:r>
      <w:r w:rsidRPr="00847E5E">
        <w:rPr>
          <w:rFonts w:ascii="Garamond" w:eastAsia="Times New Roman" w:hAnsi="Garamond" w:cs="Times New Roman"/>
        </w:rPr>
        <w:t xml:space="preserve">ptembre 2025 </w:t>
      </w:r>
      <w:r w:rsidRPr="00847E5E">
        <w:rPr>
          <w:rFonts w:ascii="Garamond" w:eastAsia="Times New Roman" w:hAnsi="Garamond" w:cs="Times New Roman"/>
          <w:color w:val="000000"/>
        </w:rPr>
        <w:t>d</w:t>
      </w:r>
      <w:r w:rsidRPr="00847E5E">
        <w:rPr>
          <w:rFonts w:ascii="Garamond" w:eastAsia="Times New Roman" w:hAnsi="Garamond" w:cs="Times New Roman"/>
        </w:rPr>
        <w:t xml:space="preserve">’un Bureau des tribus et des clans, présidé par Jihad Issa al-Sheikh </w:t>
      </w:r>
      <w:r w:rsidRPr="00847E5E">
        <w:rPr>
          <w:rFonts w:ascii="Garamond" w:eastAsia="Times New Roman" w:hAnsi="Garamond" w:cs="Times New Roman"/>
          <w:color w:val="000000"/>
        </w:rPr>
        <w:t>. Disposant de plusieurs antennes r</w:t>
      </w:r>
      <w:r w:rsidRPr="00847E5E">
        <w:rPr>
          <w:rFonts w:ascii="Garamond" w:eastAsia="Times New Roman" w:hAnsi="Garamond" w:cs="Times New Roman"/>
        </w:rPr>
        <w:t xml:space="preserve">égionales, y compris à Hama, cette nouvelle institution permet </w:t>
      </w:r>
      <w:r w:rsidRPr="00847E5E">
        <w:rPr>
          <w:rFonts w:ascii="Garamond" w:eastAsia="Times New Roman" w:hAnsi="Garamond" w:cs="Times New Roman"/>
          <w:color w:val="000000"/>
        </w:rPr>
        <w:t>aux autorités d’établir des liens avec les élites tribales, de les inté</w:t>
      </w:r>
      <w:r w:rsidRPr="00847E5E">
        <w:rPr>
          <w:rFonts w:ascii="Garamond" w:eastAsia="Times New Roman" w:hAnsi="Garamond" w:cs="Times New Roman"/>
        </w:rPr>
        <w:t>grer à la nouvelle gouvernance</w:t>
      </w:r>
      <w:r w:rsidRPr="00847E5E">
        <w:rPr>
          <w:rFonts w:ascii="Garamond" w:eastAsia="Times New Roman" w:hAnsi="Garamond" w:cs="Times New Roman"/>
          <w:color w:val="000000"/>
        </w:rPr>
        <w:t xml:space="preserve"> et ainsi de devenir plus efficace dans la gestion des tensions.</w:t>
      </w:r>
    </w:p>
    <w:p w14:paraId="4D648977"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rPr>
      </w:pPr>
    </w:p>
    <w:p w14:paraId="24FA71F9" w14:textId="77777777" w:rsidR="00AF1D98" w:rsidRPr="00847E5E" w:rsidRDefault="00AF1D98" w:rsidP="00847E5E">
      <w:pPr>
        <w:pBdr>
          <w:top w:val="nil"/>
          <w:left w:val="nil"/>
          <w:bottom w:val="nil"/>
          <w:right w:val="nil"/>
          <w:between w:val="nil"/>
        </w:pBdr>
        <w:spacing w:after="140" w:line="276" w:lineRule="auto"/>
        <w:ind w:firstLine="720"/>
        <w:jc w:val="both"/>
        <w:rPr>
          <w:rFonts w:ascii="Garamond" w:eastAsia="Times New Roman" w:hAnsi="Garamond" w:cs="Times New Roman"/>
          <w:b/>
          <w:bCs/>
        </w:rPr>
      </w:pPr>
      <w:r w:rsidRPr="00847E5E">
        <w:rPr>
          <w:rFonts w:ascii="Garamond" w:eastAsia="Times New Roman" w:hAnsi="Garamond" w:cs="Times New Roman"/>
          <w:b/>
          <w:bCs/>
        </w:rPr>
        <w:t xml:space="preserve">B – Renforcement du pouvoir par de “nouveaux appareils idéologiques d’Etat” et par de nouvelles institutions investies par d’anciens combattants. </w:t>
      </w:r>
    </w:p>
    <w:p w14:paraId="36F32BD5" w14:textId="77777777" w:rsidR="00AF1D98" w:rsidRPr="00847E5E" w:rsidRDefault="00AF1D98" w:rsidP="00847E5E">
      <w:pPr>
        <w:spacing w:after="140" w:line="276" w:lineRule="auto"/>
        <w:jc w:val="both"/>
        <w:rPr>
          <w:rFonts w:ascii="Garamond" w:eastAsia="Times New Roman" w:hAnsi="Garamond" w:cs="Times New Roman"/>
        </w:rPr>
      </w:pPr>
      <w:r w:rsidRPr="00847E5E">
        <w:rPr>
          <w:rFonts w:ascii="Garamond" w:eastAsia="Times New Roman" w:hAnsi="Garamond" w:cs="Times New Roman"/>
        </w:rPr>
        <w:t xml:space="preserve"> </w:t>
      </w:r>
      <w:r w:rsidRPr="00847E5E">
        <w:rPr>
          <w:rFonts w:ascii="Garamond" w:eastAsia="Times New Roman" w:hAnsi="Garamond" w:cs="Times New Roman"/>
        </w:rPr>
        <w:tab/>
        <w:t xml:space="preserve">Avec la création de nouvelles institutions, vient la nécessité de réintégrer les anciens combattants. Les factions concurrentes sont également désarmées en vue de leur intégration dans le corps de l’appareil militaire. On assiste ainsi dans la Syrie post-Assad à une DDR (désarmement, démobilisation, réintégration) inversée, où le désarmement a lieu par l’intégration d’anciens combattants dans de nouvelles institutions.  </w:t>
      </w:r>
    </w:p>
    <w:p w14:paraId="29E56412" w14:textId="77777777" w:rsidR="00AF1D98" w:rsidRPr="00847E5E" w:rsidRDefault="00AF1D98" w:rsidP="00847E5E">
      <w:pPr>
        <w:spacing w:after="140" w:line="276" w:lineRule="auto"/>
        <w:ind w:firstLine="720"/>
        <w:jc w:val="both"/>
        <w:rPr>
          <w:rFonts w:ascii="Garamond" w:eastAsia="Times New Roman" w:hAnsi="Garamond" w:cs="Times New Roman"/>
        </w:rPr>
      </w:pPr>
      <w:r w:rsidRPr="00847E5E">
        <w:rPr>
          <w:rFonts w:ascii="Garamond" w:eastAsia="Times New Roman" w:hAnsi="Garamond" w:cs="Times New Roman"/>
        </w:rPr>
        <w:t>Par ailleurs, des directeurs d’action publique désignent d’autres représentants au niveau infra, pour les districts et municipalités. Un département des affaires politiques est constitué pour renforcer la coopération en multipliant les prises de contact avec le reste de la société. Amn al-Amm, l’institution sécuritaire en charge de la sécurité générale, est modifiée : le recrutement et la formation des membres sont renforcés et plusieurs services de renseignements sont créés pour permettre cette montée en compétence globale. La gestion de nouvelles crises, comme celles dans la ville de Homs ou sur la côte début 2025, est l’occasion de démontrer ses capacités de déploiement et son efficacité.</w:t>
      </w:r>
    </w:p>
    <w:p w14:paraId="603CCA46" w14:textId="77777777" w:rsidR="00AF1D98" w:rsidRPr="00847E5E" w:rsidRDefault="00AF1D98" w:rsidP="00847E5E">
      <w:pPr>
        <w:spacing w:after="140" w:line="276" w:lineRule="auto"/>
        <w:jc w:val="both"/>
        <w:rPr>
          <w:rFonts w:ascii="Garamond" w:eastAsia="Times New Roman" w:hAnsi="Garamond" w:cs="Times New Roman"/>
        </w:rPr>
      </w:pPr>
      <w:r w:rsidRPr="00847E5E">
        <w:rPr>
          <w:rFonts w:ascii="Garamond" w:eastAsia="Times New Roman" w:hAnsi="Garamond" w:cs="Times New Roman"/>
        </w:rPr>
        <w:tab/>
        <w:t>De nouveaux « appareils idéologiques d’État » - pour reprendre ici une formule d’Althusser - sont également mis en place pour diffuser et institutionnaliser l’idéologie du nouveau pouvoir. Les écoles d’officiers et de sous-officiers sont rouvertes avec pour objectif de restructurer l’armée, grâce à la formation de 900 officiers par an. Cette restructuration s’articule à la volonté de créer un brassage dans le commandement pour casser la cohésion des différents groupes révolutionnaires capables de contester le leadership de HTS. Par ailleurs, alors que les facultés décidaient autrefois de leur programme, un curriculum unifié leur a été imposé par les nouvelles autorités pour aligner l’enseignement sur leur nouvelle base idéologique. Les formations dans les Ministères de la Défense et de l’Intérieur sont également en cours de mise en place, et si les manuels ne sont pas encore parus, il semble qu’une grande partie du discours aura pour objectif de justifier les positions politiques adoptées par le pouvoir. Au total, 1500 formateurs idéologiques seront en charge d’une armée de 150 000 hommes, ce qui montre bien que les autorités actuelles considèrent l’institution militaire comme le risque principal de contestation du leadership.</w:t>
      </w:r>
    </w:p>
    <w:p w14:paraId="1728C110"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p>
    <w:p w14:paraId="1183504B"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b/>
          <w:bCs/>
          <w:color w:val="000000"/>
        </w:rPr>
      </w:pPr>
      <w:r w:rsidRPr="00847E5E">
        <w:rPr>
          <w:rFonts w:ascii="Garamond" w:eastAsia="Times New Roman" w:hAnsi="Garamond" w:cs="Times New Roman"/>
          <w:b/>
          <w:bCs/>
          <w:color w:val="000000"/>
        </w:rPr>
        <w:tab/>
        <w:t>C – Services publics, les oubliés de la politique sécuritaire de l’État.</w:t>
      </w:r>
    </w:p>
    <w:p w14:paraId="75ABF9AD"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ab/>
        <w:t xml:space="preserve">Alors que la priorité des nouvelles autorités est le maintien de la sécurité et du contrôle sur le territoire, la redistribution des services </w:t>
      </w:r>
      <w:r w:rsidRPr="00847E5E">
        <w:rPr>
          <w:rFonts w:ascii="Garamond" w:eastAsia="Times New Roman" w:hAnsi="Garamond" w:cs="Times New Roman"/>
        </w:rPr>
        <w:t>semble négligée,</w:t>
      </w:r>
      <w:r w:rsidRPr="00847E5E">
        <w:rPr>
          <w:rFonts w:ascii="Garamond" w:eastAsia="Times New Roman" w:hAnsi="Garamond" w:cs="Times New Roman"/>
          <w:color w:val="000000"/>
        </w:rPr>
        <w:t xml:space="preserve"> tant les budgets alloués aux autorités locales sont faibles. </w:t>
      </w:r>
      <w:r w:rsidRPr="00847E5E">
        <w:rPr>
          <w:rFonts w:ascii="Garamond" w:eastAsia="Times New Roman" w:hAnsi="Garamond" w:cs="Times New Roman"/>
        </w:rPr>
        <w:t xml:space="preserve">Plutôt qu’une politique de services publics, l’État privilégie un modèle philanthropique, qui sollicite la diaspora via les envois de fonds, et dans lequel les hommes d’affaires locaux occupent une place de premier choix.  </w:t>
      </w:r>
      <w:r w:rsidRPr="00847E5E">
        <w:rPr>
          <w:rFonts w:ascii="Garamond" w:eastAsia="Times New Roman" w:hAnsi="Garamond" w:cs="Times New Roman"/>
          <w:color w:val="000000"/>
        </w:rPr>
        <w:t xml:space="preserve"> Par ailleurs, alors que l’État dispose de peu de ressources, il est soumis à la tentation de s’appuyer sur des acteurs paraétatiques et d’encourager massivement le développement du secteur privé, à travers des investissements et la privatisation de certaines entreprises, tout en diminuant la masse salariale publique. Cette dépendance aux investissements étrangers explique pour partie les choix stratégiques opérés par les nouvelles autorités. Il s</w:t>
      </w:r>
      <w:r w:rsidRPr="00847E5E">
        <w:rPr>
          <w:rFonts w:ascii="Garamond" w:eastAsia="Times New Roman" w:hAnsi="Garamond" w:cs="Times New Roman"/>
        </w:rPr>
        <w:t xml:space="preserve">’agit dans un premier temps d’afficher des signes rassurants pour permettre la levée des sanctions internationales en mai 2025, puis de réformer l’administration publique et de libéraliser les échanges pour mettre en place un climat favorable aux investisseurs. </w:t>
      </w:r>
    </w:p>
    <w:p w14:paraId="61965709"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ab/>
        <w:t xml:space="preserve">L’explication derrière ces carences en matière de services publics repose en partie sur le fait que HTS, au temps de l’expérience à Idlib, s’est servi du </w:t>
      </w:r>
      <w:r w:rsidRPr="00847E5E">
        <w:rPr>
          <w:rFonts w:ascii="Garamond" w:eastAsia="Times New Roman" w:hAnsi="Garamond" w:cs="Times New Roman"/>
        </w:rPr>
        <w:t>G</w:t>
      </w:r>
      <w:r w:rsidRPr="00847E5E">
        <w:rPr>
          <w:rFonts w:ascii="Garamond" w:eastAsia="Times New Roman" w:hAnsi="Garamond" w:cs="Times New Roman"/>
          <w:color w:val="000000"/>
        </w:rPr>
        <w:t>ouvernement du salut - l</w:t>
      </w:r>
      <w:r w:rsidRPr="00847E5E">
        <w:rPr>
          <w:rFonts w:ascii="Garamond" w:eastAsia="Times New Roman" w:hAnsi="Garamond" w:cs="Times New Roman"/>
        </w:rPr>
        <w:t xml:space="preserve">’organisation en charge d’administrer </w:t>
      </w:r>
      <w:r w:rsidRPr="00847E5E">
        <w:rPr>
          <w:rFonts w:ascii="Garamond" w:eastAsia="Arial" w:hAnsi="Garamond" w:cs="Arial"/>
          <w:color w:val="202122"/>
          <w:highlight w:val="white"/>
        </w:rPr>
        <w:t xml:space="preserve"> </w:t>
      </w:r>
      <w:r w:rsidRPr="00847E5E">
        <w:rPr>
          <w:rFonts w:ascii="Garamond" w:eastAsia="Times New Roman" w:hAnsi="Garamond" w:cs="Times New Roman"/>
        </w:rPr>
        <w:t xml:space="preserve">la moitié du </w:t>
      </w:r>
      <w:hyperlink r:id="rId7">
        <w:r w:rsidRPr="00847E5E">
          <w:rPr>
            <w:rFonts w:ascii="Garamond" w:eastAsia="Times New Roman" w:hAnsi="Garamond" w:cs="Times New Roman"/>
          </w:rPr>
          <w:t>gouvernorat d'Idleb</w:t>
        </w:r>
      </w:hyperlink>
      <w:r w:rsidRPr="00847E5E">
        <w:rPr>
          <w:rFonts w:ascii="Garamond" w:eastAsia="Times New Roman" w:hAnsi="Garamond" w:cs="Times New Roman"/>
        </w:rPr>
        <w:t xml:space="preserve">, une partie du </w:t>
      </w:r>
      <w:hyperlink r:id="rId8">
        <w:r w:rsidRPr="00847E5E">
          <w:rPr>
            <w:rFonts w:ascii="Garamond" w:eastAsia="Times New Roman" w:hAnsi="Garamond" w:cs="Times New Roman"/>
          </w:rPr>
          <w:t>gouvernorat d'Alep</w:t>
        </w:r>
      </w:hyperlink>
      <w:r w:rsidRPr="00847E5E">
        <w:rPr>
          <w:rFonts w:ascii="Garamond" w:eastAsia="Times New Roman" w:hAnsi="Garamond" w:cs="Times New Roman"/>
        </w:rPr>
        <w:t xml:space="preserve"> et quelques parties du </w:t>
      </w:r>
      <w:hyperlink r:id="rId9">
        <w:r w:rsidRPr="00847E5E">
          <w:rPr>
            <w:rFonts w:ascii="Garamond" w:eastAsia="Times New Roman" w:hAnsi="Garamond" w:cs="Times New Roman"/>
          </w:rPr>
          <w:t>gouvernorat de Hama</w:t>
        </w:r>
      </w:hyperlink>
      <w:r w:rsidRPr="00847E5E">
        <w:rPr>
          <w:rFonts w:ascii="Garamond" w:eastAsia="Times New Roman" w:hAnsi="Garamond" w:cs="Times New Roman"/>
        </w:rPr>
        <w:t xml:space="preserve"> et de celui de </w:t>
      </w:r>
      <w:hyperlink r:id="rId10">
        <w:r w:rsidRPr="00847E5E">
          <w:rPr>
            <w:rFonts w:ascii="Garamond" w:eastAsia="Times New Roman" w:hAnsi="Garamond" w:cs="Times New Roman"/>
          </w:rPr>
          <w:t>Lattaquié</w:t>
        </w:r>
      </w:hyperlink>
      <w:r w:rsidRPr="00847E5E">
        <w:rPr>
          <w:rFonts w:ascii="Garamond" w:eastAsia="Times New Roman" w:hAnsi="Garamond" w:cs="Times New Roman"/>
        </w:rPr>
        <w:t>,</w:t>
      </w:r>
      <w:r w:rsidRPr="00847E5E">
        <w:rPr>
          <w:rFonts w:ascii="Garamond" w:eastAsia="Times New Roman" w:hAnsi="Garamond" w:cs="Times New Roman"/>
          <w:color w:val="000000"/>
        </w:rPr>
        <w:t xml:space="preserve"> pour assurer le contrôle du territoire et non pour mettre en œuvre un projet politique précis. Dès lors, la même logique s’applique aujourd’hui à l’échelle de la Syrie toute entière, où les autorités fournissent un minimum de services, parce que la guerre </w:t>
      </w:r>
      <w:r w:rsidRPr="00847E5E">
        <w:rPr>
          <w:rFonts w:ascii="Garamond" w:eastAsia="Times New Roman" w:hAnsi="Garamond" w:cs="Times New Roman"/>
        </w:rPr>
        <w:t>capte</w:t>
      </w:r>
      <w:r w:rsidRPr="00847E5E">
        <w:rPr>
          <w:rFonts w:ascii="Garamond" w:eastAsia="Times New Roman" w:hAnsi="Garamond" w:cs="Times New Roman"/>
          <w:color w:val="000000"/>
        </w:rPr>
        <w:t xml:space="preserve"> l’essentiel des ressources. De plus, la faiblesse des institutions, peu équipées pour faire face à un afflux massif d’argent étranger, fait craindre le développement de réseaux de corruption qui ne permettraient pas la redistribution vers les services publics.</w:t>
      </w:r>
    </w:p>
    <w:p w14:paraId="5F95D167"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b/>
          <w:bCs/>
          <w:color w:val="000000"/>
        </w:rPr>
      </w:pPr>
      <w:r w:rsidRPr="00847E5E">
        <w:rPr>
          <w:rFonts w:ascii="Garamond" w:eastAsia="Times New Roman" w:hAnsi="Garamond" w:cs="Times New Roman"/>
          <w:b/>
          <w:bCs/>
          <w:color w:val="000000"/>
        </w:rPr>
        <w:tab/>
      </w:r>
    </w:p>
    <w:p w14:paraId="118F5428" w14:textId="77777777" w:rsidR="00AF1D98" w:rsidRPr="00847E5E" w:rsidRDefault="00AF1D98" w:rsidP="00847E5E">
      <w:pPr>
        <w:pBdr>
          <w:top w:val="nil"/>
          <w:left w:val="nil"/>
          <w:bottom w:val="nil"/>
          <w:right w:val="nil"/>
          <w:between w:val="nil"/>
        </w:pBdr>
        <w:spacing w:after="140" w:line="276" w:lineRule="auto"/>
        <w:jc w:val="both"/>
        <w:rPr>
          <w:rFonts w:ascii="Garamond" w:eastAsia="Arial" w:hAnsi="Garamond" w:cs="Arial"/>
          <w:color w:val="000000"/>
        </w:rPr>
      </w:pPr>
      <w:r w:rsidRPr="00847E5E">
        <w:rPr>
          <w:rFonts w:ascii="Garamond" w:eastAsia="Arial" w:hAnsi="Garamond" w:cs="Arial"/>
          <w:b/>
          <w:bCs/>
          <w:color w:val="000000"/>
        </w:rPr>
        <w:t>II – Évoluer pour mieux régner : quelles transformations ont été mises en place par HTS depuis la prise de pouvoir à Damas ?</w:t>
      </w:r>
    </w:p>
    <w:p w14:paraId="429C400C"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ab/>
      </w:r>
    </w:p>
    <w:p w14:paraId="7F51EB11"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b/>
          <w:bCs/>
          <w:color w:val="000000"/>
        </w:rPr>
        <w:t>A - Evolution du positionnement idéologique de HTS face à une révolution idéologique silencieuse devenue intenable.</w:t>
      </w:r>
    </w:p>
    <w:p w14:paraId="04B3DBCC"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ab/>
        <w:t>Les changements de positionnement idéologique de HTS s’effectuent alors que le mouvement évolue, d’un groupe de rebelles islamistes à la tête d’un gouvernorat, puis d</w:t>
      </w:r>
      <w:r w:rsidRPr="00847E5E">
        <w:rPr>
          <w:rFonts w:ascii="Garamond" w:eastAsia="Times New Roman" w:hAnsi="Garamond" w:cs="Times New Roman"/>
        </w:rPr>
        <w:t>’</w:t>
      </w:r>
      <w:r w:rsidRPr="00847E5E">
        <w:rPr>
          <w:rFonts w:ascii="Garamond" w:eastAsia="Times New Roman" w:hAnsi="Garamond" w:cs="Times New Roman"/>
          <w:color w:val="000000"/>
        </w:rPr>
        <w:t>un gouvernement en charge de l’État syrien. Dès 2016, le groupe renonce au djihad global. Il choisit également un réancrage local en adoptant de nouveau les écoles de jurisprudence chaféite, majoritaires à Idlib. L’adoption, en mars 2025, d’une loi positive pour encadrer les chefs des tribunaux dans un système juridique marque une profonde rupture avec la posture initiale des djihadistes, opposés à une codification de la charia. Du point de vue politique et géopolitique, le groupe s’ouvre à la fois sur les minorités et sur l’international avec pour objectif visé par Ahmed al-Sharaa de se doter d’une stature nationale.</w:t>
      </w:r>
    </w:p>
    <w:p w14:paraId="0303D4E4"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ab/>
      </w:r>
      <w:r w:rsidRPr="00847E5E">
        <w:rPr>
          <w:rFonts w:ascii="Garamond" w:eastAsia="Times New Roman" w:hAnsi="Garamond" w:cs="Times New Roman"/>
        </w:rPr>
        <w:t xml:space="preserve">La nécessité de justifier ces évolutions idéologiques s’affirme quand HTS s’empare de l’ensemble du territoire syrien. </w:t>
      </w:r>
      <w:r w:rsidRPr="00847E5E">
        <w:rPr>
          <w:rFonts w:ascii="Garamond" w:eastAsia="Times New Roman" w:hAnsi="Garamond" w:cs="Times New Roman"/>
          <w:color w:val="000000"/>
        </w:rPr>
        <w:t xml:space="preserve"> Lorsque le groupe est u</w:t>
      </w:r>
      <w:r w:rsidRPr="00847E5E">
        <w:rPr>
          <w:rFonts w:ascii="Garamond" w:eastAsia="Times New Roman" w:hAnsi="Garamond" w:cs="Times New Roman"/>
        </w:rPr>
        <w:t xml:space="preserve">niquement à la tête du </w:t>
      </w:r>
      <w:r w:rsidRPr="00847E5E">
        <w:rPr>
          <w:rFonts w:ascii="Garamond" w:eastAsia="Times New Roman" w:hAnsi="Garamond" w:cs="Times New Roman"/>
          <w:color w:val="000000"/>
        </w:rPr>
        <w:t xml:space="preserve">gouvernorat d’Idlib, </w:t>
      </w:r>
      <w:r w:rsidRPr="00847E5E">
        <w:rPr>
          <w:rFonts w:ascii="Garamond" w:eastAsia="Times New Roman" w:hAnsi="Garamond" w:cs="Times New Roman"/>
        </w:rPr>
        <w:t>il</w:t>
      </w:r>
      <w:r w:rsidRPr="00847E5E">
        <w:rPr>
          <w:rFonts w:ascii="Garamond" w:eastAsia="Times New Roman" w:hAnsi="Garamond" w:cs="Times New Roman"/>
          <w:color w:val="000000"/>
        </w:rPr>
        <w:t xml:space="preserve"> ne pratique pas de clarification idéologique officielle, à la fois parce qu’elle ne lui apporterait pas de soutien à l’international, mais aussi parce qu’elle serait en réalité coûteuse pour sa base radicale. La révolution idéologique se fait donc en silence et avec lenteur pour permettre un temps d’adaptation à la population. Mais avec la prise de Damas, se pose un nouvel impératif d’explicitation. La population à gouverner est désormais beaucoup plus nombreuse et variée, avec des citoyens non sunnites, potentiellement moins conservateurs. En parallèle, l’Occident et les pays arabes voisins font peser de nouvelles contraintes internationales, les </w:t>
      </w:r>
      <w:r w:rsidRPr="00847E5E">
        <w:rPr>
          <w:rFonts w:ascii="Garamond" w:eastAsia="Times New Roman" w:hAnsi="Garamond" w:cs="Times New Roman"/>
        </w:rPr>
        <w:t>premiers sur la question des minorités, les seconds invoquant la nécessité d’ouvrir le pays pour garantir la stabilité régionale</w:t>
      </w:r>
      <w:r w:rsidRPr="00847E5E">
        <w:rPr>
          <w:rFonts w:ascii="Garamond" w:eastAsia="Times New Roman" w:hAnsi="Garamond" w:cs="Times New Roman"/>
          <w:color w:val="000000"/>
        </w:rPr>
        <w:t>, tandis que le positionnement géostratégique de HTS évolue, mettant à l’épreuve la sensibilité de sa propre base politique. C’est dans ce contexte que les concessions au niveau du dogme initial s’accélèrent. D’une part, la place des femmes se transforme sensiblement, permettant par exemple</w:t>
      </w:r>
      <w:r w:rsidRPr="00847E5E">
        <w:rPr>
          <w:rFonts w:ascii="Garamond" w:eastAsia="Times New Roman" w:hAnsi="Garamond" w:cs="Times New Roman"/>
        </w:rPr>
        <w:t xml:space="preserve"> </w:t>
      </w:r>
      <w:r w:rsidRPr="00847E5E">
        <w:rPr>
          <w:rFonts w:ascii="Garamond" w:eastAsia="Times New Roman" w:hAnsi="Garamond" w:cs="Times New Roman"/>
          <w:color w:val="000000"/>
        </w:rPr>
        <w:t>à Hind Kabawat de devenir ministre des Affaires sociales et du Travail, bien que plusieurs observateurs nuancent cette avanc</w:t>
      </w:r>
      <w:r w:rsidRPr="00847E5E">
        <w:rPr>
          <w:rFonts w:ascii="Garamond" w:eastAsia="Times New Roman" w:hAnsi="Garamond" w:cs="Times New Roman"/>
        </w:rPr>
        <w:t>ée, évoquant une simple concession peu coûteuse pour satisfaire une des attentes de la communauté internationale et lui envoyer un signal positif</w:t>
      </w:r>
      <w:r w:rsidRPr="00847E5E">
        <w:rPr>
          <w:rFonts w:ascii="Garamond" w:eastAsia="Times New Roman" w:hAnsi="Garamond" w:cs="Times New Roman"/>
          <w:color w:val="000000"/>
        </w:rPr>
        <w:t>. Par ailleurs, les nouvelles autorités rejoignent une coalition internationale en lutte contre l’État islamique, et engagent un processus de désescalade avec Israël, tout en consolidant une relation amicale avec Washington.</w:t>
      </w:r>
    </w:p>
    <w:p w14:paraId="450ACFA6"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b/>
          <w:bCs/>
          <w:color w:val="000000"/>
        </w:rPr>
      </w:pPr>
    </w:p>
    <w:p w14:paraId="4ACCDC36"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b/>
          <w:bCs/>
          <w:color w:val="000000"/>
        </w:rPr>
      </w:pPr>
      <w:r w:rsidRPr="00847E5E">
        <w:rPr>
          <w:rFonts w:ascii="Garamond" w:eastAsia="Times New Roman" w:hAnsi="Garamond" w:cs="Times New Roman"/>
          <w:b/>
          <w:bCs/>
          <w:color w:val="000000"/>
        </w:rPr>
        <w:tab/>
        <w:t>B – Le rapport entre religion et politique, toujours une question indéterminée.</w:t>
      </w:r>
    </w:p>
    <w:p w14:paraId="3028EA58"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ab/>
        <w:t xml:space="preserve">Alors que la Constitution n’a encore pas été rendue publique, la nature du rapport de l’État à la religion reste largement indéterminée. Il est probable qu’une définition de cette relation passe d’abord par des pratiques de management quotidiennes avant d’être éventuellement mise en forme et institutionnalisée par un texte officiel. Des normes sont d’ores et déjà produites à travers d’autres supports, tels que les avis du conseil de la Fatwa, les politiques du ministère des affaires religieuses ou le choix d’unifier les curriculums des trois facultés de charia. Cette création en pratique d’une doctrine autour du rapport politique-religieux relève moins d’une stratégie planifiée et active que d’un assemblage </w:t>
      </w:r>
      <w:r w:rsidRPr="00847E5E">
        <w:rPr>
          <w:rFonts w:ascii="Garamond" w:eastAsia="Times New Roman" w:hAnsi="Garamond" w:cs="Times New Roman"/>
          <w:i/>
          <w:iCs/>
          <w:color w:val="000000"/>
        </w:rPr>
        <w:t>ad hoc</w:t>
      </w:r>
      <w:r w:rsidRPr="00847E5E">
        <w:rPr>
          <w:rFonts w:ascii="Garamond" w:eastAsia="Times New Roman" w:hAnsi="Garamond" w:cs="Times New Roman"/>
          <w:color w:val="000000"/>
        </w:rPr>
        <w:t>.</w:t>
      </w:r>
    </w:p>
    <w:p w14:paraId="2CB30CEF" w14:textId="77777777" w:rsidR="00AF1D98" w:rsidRPr="00847E5E" w:rsidRDefault="00AF1D98" w:rsidP="00847E5E">
      <w:pPr>
        <w:spacing w:after="240" w:line="276" w:lineRule="auto"/>
        <w:ind w:firstLine="720"/>
        <w:jc w:val="both"/>
        <w:rPr>
          <w:rFonts w:ascii="Garamond" w:eastAsia="Times New Roman" w:hAnsi="Garamond" w:cs="Times New Roman"/>
        </w:rPr>
      </w:pPr>
      <w:r w:rsidRPr="00847E5E">
        <w:rPr>
          <w:rFonts w:ascii="Garamond" w:eastAsia="Times New Roman" w:hAnsi="Garamond" w:cs="Times New Roman"/>
        </w:rPr>
        <w:t>Déjà au moment de l’expérience de gouvernance à Idlib, HTS avait mis en place ses propres structures, comme le Haut Conseil des fatwas en 2019, permettant de justifier les décisions politiques, y compris la rupture avec al-Qaïda. Avec la prise de Damas, c’est toute une réorganisation de l’islam sunnite qui se joue, à travers sa revalorisation dans l’espace public syrien, ou encore des restructurations institutionnelles, comme le montre Zakaria Taha (2025)</w:t>
      </w:r>
      <w:r w:rsidRPr="00847E5E">
        <w:rPr>
          <w:rFonts w:ascii="Garamond" w:eastAsia="Times New Roman" w:hAnsi="Garamond" w:cs="Times New Roman"/>
          <w:vertAlign w:val="superscript"/>
        </w:rPr>
        <w:footnoteReference w:id="19"/>
      </w:r>
      <w:r w:rsidRPr="00847E5E">
        <w:rPr>
          <w:rFonts w:ascii="Garamond" w:eastAsia="Times New Roman" w:hAnsi="Garamond" w:cs="Times New Roman"/>
        </w:rPr>
        <w:t>. Ainsi, dès mars 2025, le Conseil supérieur de la fatwa est créé, tandis que la fonction de grand mufti, supprimée sous Assad, est rétablie. Dans une volonté de centralisation de l’autorité religieuse, le pouvoir dissout en juin 2025 le Conseil islamique syrien (CIS) fondé à Istanbul en 2014 dans le contexte de l’exil. En parallèle et suivant la même logique d’intégration que pour l’appareil militaire, les cadres religieux proches du pouvoir sont intégrés aux institutions religieuses, à l’image d’Ibrahim Chacho, ancien ministre de la Justice à Idlib, devenu mufti et doyen de la faculté de charia d’Alep. Des purges sont également organisées à l’encontre de prédicateurs liés au régime Assad, qui sont démis de leur fonction, voire arrêtés entre février et mars 2025.</w:t>
      </w:r>
    </w:p>
    <w:p w14:paraId="6C03F3EE"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rPr>
      </w:pPr>
    </w:p>
    <w:p w14:paraId="6EB1D9C2"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b/>
          <w:bCs/>
          <w:color w:val="000000"/>
        </w:rPr>
      </w:pPr>
    </w:p>
    <w:p w14:paraId="37FBE1AF"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b/>
          <w:bCs/>
        </w:rPr>
      </w:pPr>
      <w:r w:rsidRPr="00847E5E">
        <w:rPr>
          <w:rFonts w:ascii="Garamond" w:eastAsia="Times New Roman" w:hAnsi="Garamond" w:cs="Times New Roman"/>
          <w:b/>
          <w:bCs/>
          <w:color w:val="000000"/>
        </w:rPr>
        <w:tab/>
        <w:t xml:space="preserve">C – </w:t>
      </w:r>
      <w:r w:rsidRPr="00847E5E">
        <w:rPr>
          <w:rFonts w:ascii="Garamond" w:eastAsia="Times New Roman" w:hAnsi="Garamond" w:cs="Times New Roman"/>
          <w:b/>
          <w:bCs/>
        </w:rPr>
        <w:t>Maîtriser la concurrence politique : stratégie d’intégration des factions concurrentes.</w:t>
      </w:r>
    </w:p>
    <w:p w14:paraId="550DDA4E" w14:textId="77777777" w:rsidR="00AF1D98" w:rsidRPr="00847E5E" w:rsidRDefault="00AF1D98" w:rsidP="00847E5E">
      <w:pPr>
        <w:spacing w:after="140" w:line="276" w:lineRule="auto"/>
        <w:jc w:val="both"/>
        <w:rPr>
          <w:rFonts w:ascii="Garamond" w:eastAsia="Times New Roman" w:hAnsi="Garamond" w:cs="Times New Roman"/>
        </w:rPr>
      </w:pPr>
      <w:r w:rsidRPr="00847E5E">
        <w:rPr>
          <w:rFonts w:ascii="Garamond" w:eastAsia="Times New Roman" w:hAnsi="Garamond" w:cs="Times New Roman"/>
        </w:rPr>
        <w:tab/>
        <w:t>La crainte globale des nouvelles autorités est celle de faire face à une concurrence de leur leadership avec le risque de relancer la guerre civile. Elles mettent donc en place un processus de démilitarisation pour désarmer les factions concurrentes, en les intégrant au sein du ministère de la Défense. Celles-ci sont alors diluées pour favoriser le brassage et la coopération entre groupes rivaux, et sont intégrées dans un cadre militaire conventionnel et institutionnalisé, tout en rendant un commandement autonome impossible. Ahmed al-Charaa accentue ainsi la pression sur les Forces démocratiques syriennes, en majorité kurdes, forcées au retrait en dehors des provinces occupées et historiquement hostiles à l’intégration de l’armée nationale syrienne. L’État les pousse aujourd’hui à choisir entre être annihilées ou se fondre au sein de ses propres troupes. En parallèle, l’objectif est de techniciser les négociations en les réduisant à de simples questions de nombres, d’espaces et de positions. Il est par ailleurs important de noter la position cruciale du ministre de la Défense, Mourhaf Abou Qasra, qui sert d’interface entre les cadres de HTS et le reste des commandants.</w:t>
      </w:r>
    </w:p>
    <w:p w14:paraId="0F7CB31D" w14:textId="77777777" w:rsidR="00AF1D98" w:rsidRPr="00847E5E" w:rsidRDefault="00AF1D98" w:rsidP="00847E5E">
      <w:pPr>
        <w:spacing w:after="140" w:line="276" w:lineRule="auto"/>
        <w:jc w:val="both"/>
        <w:rPr>
          <w:rFonts w:ascii="Garamond" w:eastAsia="Times New Roman" w:hAnsi="Garamond" w:cs="Times New Roman"/>
        </w:rPr>
      </w:pPr>
      <w:r w:rsidRPr="00847E5E">
        <w:rPr>
          <w:rFonts w:ascii="Garamond" w:eastAsia="Times New Roman" w:hAnsi="Garamond" w:cs="Times New Roman"/>
        </w:rPr>
        <w:tab/>
        <w:t>Cependant, il existe une tension entre une dynamique de décentralisation – avec la redistribution du pouvoir par des nominations et l’organisation d’institutions locales, et une certaine hypercentralisation autoritaire du pouvoir, qui se traduit, moins par le recours à la violence, que par la mise en place d’une stratégie de réduction de la possibilité de voir émerger des forces politiques concurrentes. En effet, l’absence de retour des partis politiques relève de cette stratégie, tout comme la technicisation du débat, qui permet également de contourner d’éventuelles explicitations idéologiques. Des espaces de débat et de négociation politique sont mis en place, mais ils sont dépolitisés et le département des affaires politiques y a largement accès, moins pour contrôler ce qui est dit que pour éviter les débordements.</w:t>
      </w:r>
    </w:p>
    <w:p w14:paraId="3DF00BAB"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b/>
          <w:bCs/>
          <w:color w:val="000000"/>
        </w:rPr>
      </w:pPr>
    </w:p>
    <w:p w14:paraId="3CFC7870" w14:textId="77777777" w:rsidR="00AF1D98" w:rsidRPr="00847E5E" w:rsidRDefault="00AF1D98" w:rsidP="00847E5E">
      <w:pPr>
        <w:pBdr>
          <w:top w:val="nil"/>
          <w:left w:val="nil"/>
          <w:bottom w:val="nil"/>
          <w:right w:val="nil"/>
          <w:between w:val="nil"/>
        </w:pBdr>
        <w:spacing w:after="140" w:line="276" w:lineRule="auto"/>
        <w:jc w:val="both"/>
        <w:rPr>
          <w:rFonts w:ascii="Garamond" w:eastAsia="Arial" w:hAnsi="Garamond" w:cs="Arial"/>
          <w:b/>
          <w:bCs/>
          <w:color w:val="000000"/>
        </w:rPr>
      </w:pPr>
      <w:r w:rsidRPr="00847E5E">
        <w:rPr>
          <w:rFonts w:ascii="Garamond" w:eastAsia="Arial" w:hAnsi="Garamond" w:cs="Arial"/>
          <w:b/>
          <w:bCs/>
          <w:color w:val="000000"/>
        </w:rPr>
        <w:t>III – De la vieille radicalité djihadiste à la nouvelle radicalité du centre : déplacement du lieu sociologique de production de la violence.</w:t>
      </w:r>
    </w:p>
    <w:p w14:paraId="3CA527F2"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b/>
          <w:bCs/>
          <w:color w:val="000000"/>
        </w:rPr>
      </w:pPr>
      <w:r w:rsidRPr="00847E5E">
        <w:rPr>
          <w:rFonts w:ascii="Garamond" w:eastAsia="Times New Roman" w:hAnsi="Garamond" w:cs="Times New Roman"/>
          <w:b/>
          <w:bCs/>
          <w:color w:val="000000"/>
        </w:rPr>
        <w:tab/>
        <w:t>A – Neutraliser le vieux djihadisme.</w:t>
      </w:r>
    </w:p>
    <w:p w14:paraId="26FA3ECA"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ab/>
        <w:t xml:space="preserve">Pendant plusieurs années, il semble que la stratégie de HTS ait été guidée par le souci de maîtriser son aile la plus radicale, en les contenant, en les intégrant et en les diluant. C’est sur ces principes que repose le processus de dépolitisation de la frange radicale en l’intégrant aux structures militaires transformées. Se pose également la question des </w:t>
      </w:r>
      <w:r w:rsidRPr="00847E5E">
        <w:rPr>
          <w:rFonts w:ascii="Garamond" w:eastAsia="Times New Roman" w:hAnsi="Garamond" w:cs="Times New Roman"/>
          <w:i/>
          <w:iCs/>
          <w:color w:val="000000"/>
        </w:rPr>
        <w:t>muhajirun</w:t>
      </w:r>
      <w:r w:rsidRPr="00847E5E">
        <w:rPr>
          <w:rFonts w:ascii="Garamond" w:eastAsia="Times New Roman" w:hAnsi="Garamond" w:cs="Times New Roman"/>
          <w:color w:val="000000"/>
        </w:rPr>
        <w:t xml:space="preserve"> venus de l’étranger. </w:t>
      </w:r>
      <w:r w:rsidRPr="00847E5E">
        <w:rPr>
          <w:rFonts w:ascii="Garamond" w:eastAsia="Times New Roman" w:hAnsi="Garamond" w:cs="Times New Roman"/>
        </w:rPr>
        <w:t xml:space="preserve">Les Etats Unis ont récemment donné leur bénédiction au plan d’intégration d’environ 3500 soldats étrangers à l’armée nationale syrienne. </w:t>
      </w:r>
      <w:r w:rsidRPr="00847E5E">
        <w:rPr>
          <w:rFonts w:ascii="Garamond" w:eastAsia="Times New Roman" w:hAnsi="Garamond" w:cs="Times New Roman"/>
          <w:color w:val="000000"/>
        </w:rPr>
        <w:t xml:space="preserve">50 % des combattants étrangers de HTS sont Ouïghours. Leur intégration dans ce groupe armé s’est faite en abandonnant progressivement la perspective de faire avancer leur cause nationale, à la fois parce qu’il n’est pas dans l’agenda politique de l’État syrien, dans la mesure où </w:t>
      </w:r>
      <w:r w:rsidRPr="00847E5E">
        <w:rPr>
          <w:rFonts w:ascii="Garamond" w:eastAsia="Times New Roman" w:hAnsi="Garamond" w:cs="Times New Roman"/>
        </w:rPr>
        <w:t>celui-ci</w:t>
      </w:r>
      <w:r w:rsidRPr="00847E5E">
        <w:rPr>
          <w:rFonts w:ascii="Garamond" w:eastAsia="Times New Roman" w:hAnsi="Garamond" w:cs="Times New Roman"/>
          <w:color w:val="000000"/>
        </w:rPr>
        <w:t xml:space="preserve"> souhaite normaliser ses relations avec la Chine, mais aussi parce que cette migration de combattants devient avec le temps une migration de population, lorsque les familles des combattants ouïghours les rejoignent en Syrie. La question de la poursuite du djihad se pose pour l’ensemble des combattants, d’où la proposition de l’État de les intégrer dans la fonction publique du ministère de la Défense.</w:t>
      </w:r>
    </w:p>
    <w:p w14:paraId="694796FC"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b/>
          <w:bCs/>
          <w:color w:val="000000"/>
        </w:rPr>
      </w:pPr>
      <w:r w:rsidRPr="00847E5E">
        <w:rPr>
          <w:rFonts w:ascii="Garamond" w:eastAsia="Times New Roman" w:hAnsi="Garamond" w:cs="Times New Roman"/>
          <w:b/>
          <w:bCs/>
          <w:color w:val="000000"/>
        </w:rPr>
        <w:tab/>
      </w:r>
    </w:p>
    <w:p w14:paraId="7A7825F3"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b/>
          <w:bCs/>
          <w:color w:val="000000"/>
        </w:rPr>
      </w:pPr>
      <w:r w:rsidRPr="00847E5E">
        <w:rPr>
          <w:rFonts w:ascii="Garamond" w:eastAsia="Times New Roman" w:hAnsi="Garamond" w:cs="Times New Roman"/>
          <w:b/>
          <w:bCs/>
          <w:color w:val="000000"/>
        </w:rPr>
        <w:tab/>
        <w:t>B – Une transformation de la radicalité.</w:t>
      </w:r>
    </w:p>
    <w:p w14:paraId="6E54C466"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ab/>
        <w:t xml:space="preserve">Alors que l’ancienne radicalité, liée au djihadisme, est progressivement désamorcée, une nouvelle radicalité émerge, se définissant moins par l’appartenance à une organisation (djihadiste, salafiste, etc.) qu’en termes idéologiques. Cette radicalisation émane du centre de la base sociale, en majorité sunnite, et devient le nouveau lieu sociologique de production de violence. </w:t>
      </w:r>
    </w:p>
    <w:p w14:paraId="44FF7743" w14:textId="77777777" w:rsidR="00AF1D98" w:rsidRPr="00847E5E" w:rsidRDefault="00AF1D98" w:rsidP="00847E5E">
      <w:pPr>
        <w:pBdr>
          <w:top w:val="nil"/>
          <w:left w:val="nil"/>
          <w:bottom w:val="nil"/>
          <w:right w:val="nil"/>
          <w:between w:val="nil"/>
        </w:pBdr>
        <w:spacing w:after="140" w:line="276" w:lineRule="auto"/>
        <w:jc w:val="both"/>
        <w:rPr>
          <w:rFonts w:ascii="Garamond" w:hAnsi="Garamond"/>
          <w:color w:val="000000"/>
        </w:rPr>
      </w:pPr>
      <w:r w:rsidRPr="00847E5E">
        <w:rPr>
          <w:rFonts w:ascii="Garamond" w:eastAsia="Times New Roman" w:hAnsi="Garamond" w:cs="Times New Roman"/>
          <w:color w:val="000000"/>
        </w:rPr>
        <w:tab/>
        <w:t xml:space="preserve">Diverse du point de vue des revendications, cette radicalité peut être reliée en partie à un revanchardisme hérité de la guerre civile et se manifeste par la volonté de se faire justice soi-même quand on croise son ancien bourreau, ou </w:t>
      </w:r>
      <w:r w:rsidRPr="00847E5E">
        <w:rPr>
          <w:rFonts w:ascii="Garamond" w:eastAsia="Times New Roman" w:hAnsi="Garamond" w:cs="Times New Roman"/>
        </w:rPr>
        <w:t>devant les</w:t>
      </w:r>
      <w:r w:rsidRPr="00847E5E">
        <w:rPr>
          <w:rFonts w:ascii="Garamond" w:eastAsia="Times New Roman" w:hAnsi="Garamond" w:cs="Times New Roman"/>
          <w:color w:val="000000"/>
        </w:rPr>
        <w:t xml:space="preserve"> impasses des institutions inaptes à régler les multiples conflits qui émergent autour du foncier. </w:t>
      </w:r>
      <w:r w:rsidRPr="00847E5E">
        <w:rPr>
          <w:rFonts w:ascii="Garamond" w:eastAsia="Times New Roman" w:hAnsi="Garamond" w:cs="Times New Roman"/>
        </w:rPr>
        <w:t>Cette</w:t>
      </w:r>
      <w:r w:rsidRPr="00847E5E">
        <w:rPr>
          <w:rFonts w:ascii="Garamond" w:eastAsia="Times New Roman" w:hAnsi="Garamond" w:cs="Times New Roman"/>
          <w:color w:val="000000"/>
        </w:rPr>
        <w:t xml:space="preserve"> radicalité est capable de s’incarner dans des mouvements de protestation massifs</w:t>
      </w:r>
      <w:r w:rsidRPr="00847E5E">
        <w:rPr>
          <w:rFonts w:ascii="Garamond" w:eastAsia="Times New Roman" w:hAnsi="Garamond" w:cs="Times New Roman"/>
        </w:rPr>
        <w:t xml:space="preserve"> -</w:t>
      </w:r>
      <w:r w:rsidRPr="00847E5E">
        <w:rPr>
          <w:rFonts w:ascii="Garamond" w:eastAsia="Times New Roman" w:hAnsi="Garamond" w:cs="Times New Roman"/>
          <w:color w:val="000000"/>
        </w:rPr>
        <w:t xml:space="preserve"> ce que l’État redoute. Depuis la révolution, la population fait preuve d’une hyperpolitisation, exige plus de transparence et souhaite prendre une part active dans l'élaboration idéologique et politique du nouvel État. Dans un contexte social et économique tendu, le risque de voir ces mouvements prendre de l'ampleur est réel pour les nouvelles autorités, d'autant plus à l'heure de la réduction de la masse salariale publique et du développement du secteur privé, au détriment de la redistribution vers les services publics. Une forme de mécontentement agite la société syrienne. La moitié des 3690 répondants à l'enquête d’opinion produite par l’</w:t>
      </w:r>
      <w:r w:rsidRPr="00847E5E">
        <w:rPr>
          <w:rFonts w:ascii="Garamond" w:eastAsia="Times New Roman" w:hAnsi="Garamond" w:cs="Times New Roman"/>
          <w:i/>
          <w:iCs/>
          <w:color w:val="000000"/>
        </w:rPr>
        <w:t>Arab Center for Research and Policy Studies</w:t>
      </w:r>
      <w:r w:rsidRPr="00847E5E">
        <w:rPr>
          <w:rFonts w:ascii="Garamond" w:eastAsia="Times New Roman" w:hAnsi="Garamond" w:cs="Times New Roman"/>
          <w:color w:val="000000"/>
        </w:rPr>
        <w:t xml:space="preserve"> de Doha (2025)</w:t>
      </w:r>
      <w:r w:rsidRPr="00847E5E">
        <w:rPr>
          <w:rFonts w:ascii="Garamond" w:eastAsia="Times New Roman" w:hAnsi="Garamond" w:cs="Times New Roman"/>
          <w:color w:val="000000"/>
          <w:vertAlign w:val="superscript"/>
        </w:rPr>
        <w:footnoteReference w:id="20"/>
      </w:r>
      <w:r w:rsidRPr="00847E5E">
        <w:rPr>
          <w:rFonts w:ascii="Garamond" w:eastAsia="Times New Roman" w:hAnsi="Garamond" w:cs="Times New Roman"/>
          <w:color w:val="000000"/>
        </w:rPr>
        <w:t xml:space="preserve">, estime que le gouvernement n'est pas parvenu « à faire reculer le chômage […], à récupérer les territoires syriens occupés par Israël depuis la chute du régime Assad, […] </w:t>
      </w:r>
      <w:r w:rsidRPr="00847E5E">
        <w:rPr>
          <w:rFonts w:ascii="Garamond" w:eastAsia="Times New Roman" w:hAnsi="Garamond" w:cs="Times New Roman"/>
        </w:rPr>
        <w:t>ni</w:t>
      </w:r>
      <w:r w:rsidRPr="00847E5E">
        <w:rPr>
          <w:rFonts w:ascii="Garamond" w:eastAsia="Times New Roman" w:hAnsi="Garamond" w:cs="Times New Roman"/>
          <w:color w:val="000000"/>
        </w:rPr>
        <w:t xml:space="preserve">à maîtriser les prix. » Cette nouvelle radicalité s'exprime aussi sous d'autres formes, comme une violence non idéologisée, mobilisée pour </w:t>
      </w:r>
      <w:r w:rsidRPr="00847E5E">
        <w:rPr>
          <w:rFonts w:ascii="Garamond" w:eastAsia="Times New Roman" w:hAnsi="Garamond" w:cs="Times New Roman"/>
        </w:rPr>
        <w:t>se faire reconnaître ou respecter</w:t>
      </w:r>
      <w:r w:rsidRPr="00847E5E">
        <w:rPr>
          <w:rFonts w:ascii="Garamond" w:eastAsia="Times New Roman" w:hAnsi="Garamond" w:cs="Times New Roman"/>
          <w:color w:val="000000"/>
        </w:rPr>
        <w:t xml:space="preserve"> des nouvelles autorités. Enfin, sur le plan sécuritaire, l’État redoute également une possible attaque contre Israël par cette frange radicale, exposant la Syrie à un risque de riposte très forte - voire létale - pour l'administration en place. </w:t>
      </w:r>
    </w:p>
    <w:p w14:paraId="178F2912"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p>
    <w:p w14:paraId="6A27684F"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b/>
          <w:bCs/>
          <w:color w:val="000000"/>
        </w:rPr>
      </w:pPr>
      <w:r w:rsidRPr="00847E5E">
        <w:rPr>
          <w:rFonts w:ascii="Garamond" w:eastAsia="Times New Roman" w:hAnsi="Garamond" w:cs="Times New Roman"/>
          <w:b/>
          <w:bCs/>
          <w:color w:val="000000"/>
        </w:rPr>
        <w:tab/>
        <w:t xml:space="preserve">C – </w:t>
      </w:r>
      <w:r w:rsidRPr="00847E5E">
        <w:rPr>
          <w:rFonts w:ascii="Garamond" w:eastAsia="Times New Roman" w:hAnsi="Garamond" w:cs="Times New Roman"/>
          <w:b/>
          <w:bCs/>
        </w:rPr>
        <w:t>Éclosion d’une nouvelle</w:t>
      </w:r>
      <w:r w:rsidRPr="00847E5E">
        <w:rPr>
          <w:rFonts w:ascii="Garamond" w:eastAsia="Times New Roman" w:hAnsi="Garamond" w:cs="Times New Roman"/>
          <w:b/>
          <w:bCs/>
          <w:color w:val="000000"/>
        </w:rPr>
        <w:t xml:space="preserve"> radicalité </w:t>
      </w:r>
      <w:r w:rsidRPr="00847E5E">
        <w:rPr>
          <w:rFonts w:ascii="Garamond" w:eastAsia="Times New Roman" w:hAnsi="Garamond" w:cs="Times New Roman"/>
          <w:b/>
          <w:bCs/>
        </w:rPr>
        <w:t xml:space="preserve">“revancharde” </w:t>
      </w:r>
      <w:r w:rsidRPr="00847E5E">
        <w:rPr>
          <w:rFonts w:ascii="Garamond" w:eastAsia="Times New Roman" w:hAnsi="Garamond" w:cs="Times New Roman"/>
          <w:b/>
          <w:bCs/>
          <w:color w:val="000000"/>
        </w:rPr>
        <w:t>qui pose de nouveaux défis aux autorités.</w:t>
      </w:r>
    </w:p>
    <w:p w14:paraId="04D99790"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ab/>
        <w:t>Alors que le pouvoir a déjà instrumentalisé cette nouvelle frange radicale, leur relation est ambiguë. Il existe en effet un réel risque de débordement, en cas d'attaque sur Israël, de soulèvements sociaux ou de violences communautaires. La maîtrise en termes sécuritaires de cette nouvelle radicalité pour l’État est complexe, car il ne s'agit plus d'une simple périphérie marginalisée, mais d'une radicalité massive émanant du centre.</w:t>
      </w:r>
    </w:p>
    <w:p w14:paraId="2A982244" w14:textId="77777777" w:rsidR="00AF1D98" w:rsidRPr="00847E5E" w:rsidRDefault="00AF1D98" w:rsidP="00847E5E">
      <w:pPr>
        <w:pBdr>
          <w:top w:val="nil"/>
          <w:left w:val="nil"/>
          <w:bottom w:val="nil"/>
          <w:right w:val="nil"/>
          <w:between w:val="nil"/>
        </w:pBdr>
        <w:spacing w:after="140" w:line="276" w:lineRule="auto"/>
        <w:ind w:firstLine="720"/>
        <w:jc w:val="both"/>
        <w:rPr>
          <w:rFonts w:ascii="Garamond" w:eastAsia="Times New Roman" w:hAnsi="Garamond" w:cs="Times New Roman"/>
          <w:color w:val="000000"/>
        </w:rPr>
      </w:pPr>
      <w:r w:rsidRPr="00847E5E">
        <w:rPr>
          <w:rFonts w:ascii="Garamond" w:eastAsia="Times New Roman" w:hAnsi="Garamond" w:cs="Times New Roman"/>
        </w:rPr>
        <w:t>C’est une des clés de lecture des violences ayant émergé sur la côte en mars ou à Soueida en juillet 2025. Alors que le nouvel Etat a instrumentalisé ces affrontements, comme à Soueida où des officiers ont encouragé les forces tribales à s’engager, il fait également face à un risque de submersion par cette radicalité provenant de la majorité et tente d’en reprendre le contrôle. Certains modes de lutte s’avèrent néanmoins contre-productifs. Ainsi, à Homs, pour combattre les attaques à moto, les autorités ont mis en place des blocs anti-intrusion à l’entrée de certaines rues, avec pour conséquences, l’isolement et la marginalisation des quartiers attenants. Par ailleurs, le pouvoir fait face à un dilemme dans ses choix de gouvernance. L’autorité de HTS s’étant construite à Idlib grâce aux concessions faites à la majorité, ayant abouti à une certaine déradicalisation, l’alignement sur le centre est aujourd’hui plus complexe. En effet, la majorité radicale est en proie à une « surchauffe identitariste »</w:t>
      </w:r>
      <w:r w:rsidRPr="00847E5E">
        <w:rPr>
          <w:rFonts w:ascii="Garamond" w:eastAsia="Times New Roman" w:hAnsi="Garamond" w:cs="Times New Roman"/>
          <w:vertAlign w:val="superscript"/>
        </w:rPr>
        <w:footnoteReference w:id="21"/>
      </w:r>
      <w:r w:rsidRPr="00847E5E">
        <w:rPr>
          <w:rFonts w:ascii="Garamond" w:eastAsia="Times New Roman" w:hAnsi="Garamond" w:cs="Times New Roman"/>
        </w:rPr>
        <w:t xml:space="preserve"> : s’aligner à celle-ci serait coûteux pour le pouvoir qui verrait sa légitimité remise en cause par la communauté internationale. De plus, sur le plan interne, cela provoquerait une stigmatisation des minorités avec le risque qu’elles se réfugient derrière des milices ou forces étrangères, à l’image des druzes sous protection israélienne.</w:t>
      </w:r>
    </w:p>
    <w:p w14:paraId="296751F6"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p>
    <w:p w14:paraId="7BC01A3D"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b/>
          <w:bCs/>
          <w:color w:val="000000"/>
        </w:rPr>
      </w:pPr>
    </w:p>
    <w:p w14:paraId="13BB8821"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b/>
          <w:bCs/>
          <w:color w:val="000000"/>
        </w:rPr>
      </w:pPr>
      <w:r w:rsidRPr="00847E5E">
        <w:rPr>
          <w:rFonts w:ascii="Garamond" w:eastAsia="Times New Roman" w:hAnsi="Garamond" w:cs="Times New Roman"/>
          <w:b/>
          <w:bCs/>
        </w:rPr>
        <w:t>CONCLUSION</w:t>
      </w:r>
    </w:p>
    <w:p w14:paraId="1C62181B"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b/>
          <w:bCs/>
          <w:color w:val="000000"/>
        </w:rPr>
      </w:pPr>
    </w:p>
    <w:p w14:paraId="7A438D89"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ab/>
        <w:t>Un an après la chute du régime Assad, la Syrie connaît un processus de prise de pouvoir et de consolidation étatique, au cours duquel HTS priorise la maîtrise du territoire en dépolitisant la concurrence militaire et en produisant de nouvelles institutions et normes. L’évolution idéologique du mouvement relève davantage d’un pragmatisme gouvernemental que d’une refondation doctrinale claire, le rapport entre religion et politique étant toujours indéterminé. Si l’ancienne radicalité djihadiste est contenue, une nouvelle radicalité émerge du centre de la société, alimentée par les frustrations économiques, par un certain esprit revanchard d’après-guerre civile et par les tensions avec Israël. La stabilité du nouvel État repose ainsi sur une stratégie autoritaire pour prévenir les remises en cause de son leadership, mais doit également répondre aux attentes sociales et trouver sa place dans le jeu géopolitique régional et international.</w:t>
      </w:r>
    </w:p>
    <w:p w14:paraId="0C99B6C9" w14:textId="77777777" w:rsidR="00AF1D98" w:rsidRPr="00847E5E" w:rsidRDefault="00AF1D98" w:rsidP="00847E5E">
      <w:pPr>
        <w:spacing w:after="240" w:line="276" w:lineRule="auto"/>
        <w:ind w:firstLine="720"/>
        <w:jc w:val="both"/>
        <w:rPr>
          <w:rFonts w:ascii="Garamond" w:eastAsia="Times New Roman" w:hAnsi="Garamond" w:cs="Times New Roman"/>
        </w:rPr>
      </w:pPr>
      <w:r w:rsidRPr="00847E5E">
        <w:rPr>
          <w:rFonts w:ascii="Garamond" w:eastAsia="Times New Roman" w:hAnsi="Garamond" w:cs="Times New Roman"/>
        </w:rPr>
        <w:t>Par ailleurs, les dynamiques observées demeurent en évolution et appellent à une poursuite de l’analyse dans les mois à venir, afin d’étudier la capacité du pouvoir à convertir une logique de contrôle sécuritaire en un processus de gouvernance plus durable. L’étude des politiques publiques mises en œuvre dans des secteurs-clés – économie, industrie, éducation, par exemple, permettrait de comprendre dans quelle mesure la consolidation étatique s’accompagne véritablement d’une amélioration tangible des conditions de vie et d’une redistribution effective des ressources. En outre, au vue de ce contexte, il apparaît crucial d’approfondir la question kurde qui constitue l’un des enjeux les plus sensibles et les plus actuels de la recomposition du pouvoir en Syrie. Les rapports de force entre les nouvelles autorités, les acteurs kurdes et les puissances régionales et internationales engagées dans le nord-est du pays représentent un facteur essentiel de stabilité ou de fragmentation du nouvel État syrien.</w:t>
      </w:r>
    </w:p>
    <w:p w14:paraId="0005F3CC"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p>
    <w:p w14:paraId="7F66841D"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p>
    <w:p w14:paraId="1AE756C8"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b/>
          <w:bCs/>
          <w:color w:val="000000"/>
        </w:rPr>
      </w:pPr>
      <w:r w:rsidRPr="00847E5E">
        <w:rPr>
          <w:rFonts w:ascii="Garamond" w:eastAsia="Times New Roman" w:hAnsi="Garamond" w:cs="Times New Roman"/>
          <w:b/>
          <w:bCs/>
          <w:color w:val="000000"/>
        </w:rPr>
        <w:t>Bibliographie :</w:t>
      </w:r>
    </w:p>
    <w:p w14:paraId="37F8FCDD"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Baczko A., Dorronsoro G. et Quesnay A., Syrie : Anatomie d’une Guerre Civile. Paris, CNRS/ Biblis, 2016.</w:t>
      </w:r>
    </w:p>
    <w:p w14:paraId="66098BB1" w14:textId="77777777" w:rsidR="00AF1D98" w:rsidRPr="00847E5E" w:rsidRDefault="00AF1D98" w:rsidP="00847E5E">
      <w:pPr>
        <w:pBdr>
          <w:top w:val="nil"/>
          <w:left w:val="nil"/>
          <w:bottom w:val="nil"/>
          <w:right w:val="nil"/>
          <w:between w:val="nil"/>
        </w:pBdr>
        <w:spacing w:after="140" w:line="276" w:lineRule="auto"/>
        <w:jc w:val="both"/>
        <w:rPr>
          <w:rFonts w:ascii="Garamond" w:hAnsi="Garamond"/>
          <w:color w:val="000000"/>
        </w:rPr>
      </w:pPr>
      <w:r w:rsidRPr="00847E5E">
        <w:rPr>
          <w:rFonts w:ascii="Garamond" w:eastAsia="Times New Roman" w:hAnsi="Garamond" w:cs="Times New Roman"/>
          <w:color w:val="000000"/>
        </w:rPr>
        <w:t xml:space="preserve">Carep. (2025). Le Centre arabe publie une vaste enquête d’opinion inédite sur la Syrie. CAREP Paris. </w:t>
      </w:r>
      <w:hyperlink r:id="rId11">
        <w:r w:rsidRPr="00847E5E">
          <w:rPr>
            <w:rFonts w:ascii="Garamond" w:eastAsia="Times New Roman" w:hAnsi="Garamond" w:cs="Times New Roman"/>
            <w:color w:val="000080"/>
            <w:u w:val="single"/>
          </w:rPr>
          <w:t>https://carep-paris.org/recherche/varia/le-centre-arabe-publie-une-vaste-enquete-dopinion-inedite-sur-la-syrie/</w:t>
        </w:r>
      </w:hyperlink>
    </w:p>
    <w:p w14:paraId="1740E43D"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Coquio C., Hubrecht J., Mansour N. et Mardam-Bey F., Syrie, le pays brulé. Le livre noir des Assad (1970 – 2021). Paris, Seuil, 2022.</w:t>
      </w:r>
    </w:p>
    <w:p w14:paraId="2F80B0F5"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 xml:space="preserve">Haenni, P. et Devron J., Transformed by the People. </w:t>
      </w:r>
      <w:r w:rsidRPr="00847E5E">
        <w:rPr>
          <w:rFonts w:ascii="Garamond" w:eastAsia="Times New Roman" w:hAnsi="Garamond" w:cs="Times New Roman"/>
          <w:color w:val="000000"/>
          <w:lang w:val="en-US"/>
        </w:rPr>
        <w:t xml:space="preserve">HTS’ Road to Power in Syria. </w:t>
      </w:r>
      <w:r w:rsidRPr="00847E5E">
        <w:rPr>
          <w:rFonts w:ascii="Garamond" w:eastAsia="Times New Roman" w:hAnsi="Garamond" w:cs="Times New Roman"/>
          <w:color w:val="000000"/>
        </w:rPr>
        <w:t>London, Hurst, 2025.</w:t>
      </w:r>
    </w:p>
    <w:p w14:paraId="771174B4" w14:textId="77777777" w:rsidR="00AF1D98" w:rsidRPr="00847E5E" w:rsidRDefault="00AF1D98" w:rsidP="00847E5E">
      <w:pPr>
        <w:rPr>
          <w:rFonts w:ascii="Garamond" w:eastAsia="Times New Roman" w:hAnsi="Garamond" w:cs="Times New Roman"/>
          <w:i/>
          <w:iCs/>
        </w:rPr>
      </w:pPr>
      <w:r w:rsidRPr="00847E5E">
        <w:rPr>
          <w:rFonts w:ascii="Garamond" w:eastAsia="Times New Roman" w:hAnsi="Garamond" w:cs="Times New Roman"/>
        </w:rPr>
        <w:t xml:space="preserve">Haenni P. et Drevon J., “Du djihadisme au “suprémacisme sunnite” : comment la prise de l’Etat redéfinit la radicalité en Syrie.”, Revue </w:t>
      </w:r>
      <w:r w:rsidRPr="00847E5E">
        <w:rPr>
          <w:rFonts w:ascii="Garamond" w:eastAsia="Times New Roman" w:hAnsi="Garamond" w:cs="Times New Roman"/>
          <w:i/>
          <w:iCs/>
        </w:rPr>
        <w:t>Moyen-Orient</w:t>
      </w:r>
      <w:r w:rsidRPr="00847E5E">
        <w:rPr>
          <w:rFonts w:ascii="Garamond" w:eastAsia="Times New Roman" w:hAnsi="Garamond" w:cs="Times New Roman"/>
        </w:rPr>
        <w:t xml:space="preserve">, n°68 « Syrie : année zéro », 2025. </w:t>
      </w:r>
      <w:r w:rsidRPr="00847E5E">
        <w:rPr>
          <w:rFonts w:ascii="Garamond" w:eastAsia="Times New Roman" w:hAnsi="Garamond" w:cs="Times New Roman"/>
          <w:i/>
          <w:iCs/>
        </w:rPr>
        <w:t>IISMM</w:t>
      </w:r>
    </w:p>
    <w:p w14:paraId="73B70517" w14:textId="77777777" w:rsidR="00AF1D98" w:rsidRPr="00847E5E" w:rsidRDefault="00AF1D98" w:rsidP="00847E5E">
      <w:pPr>
        <w:rPr>
          <w:rFonts w:ascii="Garamond" w:eastAsia="Times New Roman" w:hAnsi="Garamond" w:cs="Times New Roman"/>
          <w:i/>
          <w:iCs/>
        </w:rPr>
      </w:pPr>
    </w:p>
    <w:p w14:paraId="4F4B2C2E" w14:textId="77777777" w:rsidR="00AF1D98" w:rsidRPr="00847E5E" w:rsidRDefault="00AF1D98" w:rsidP="00847E5E">
      <w:pPr>
        <w:pBdr>
          <w:top w:val="nil"/>
          <w:left w:val="nil"/>
          <w:bottom w:val="nil"/>
          <w:right w:val="nil"/>
          <w:between w:val="nil"/>
        </w:pBdr>
        <w:spacing w:after="140" w:line="276" w:lineRule="auto"/>
        <w:jc w:val="both"/>
        <w:rPr>
          <w:rFonts w:ascii="Garamond" w:hAnsi="Garamond"/>
          <w:color w:val="000000"/>
        </w:rPr>
      </w:pPr>
      <w:r w:rsidRPr="00847E5E">
        <w:rPr>
          <w:rFonts w:ascii="Garamond" w:eastAsia="Times New Roman" w:hAnsi="Garamond" w:cs="Times New Roman"/>
          <w:color w:val="000000"/>
        </w:rPr>
        <w:t xml:space="preserve">Kawakibi, S. (2025). Repenser l’État en Syrie : pluralisme, justice et reconstruction politique. CAREP Paris. </w:t>
      </w:r>
      <w:hyperlink r:id="rId12">
        <w:r w:rsidRPr="00847E5E">
          <w:rPr>
            <w:rFonts w:ascii="Garamond" w:eastAsia="Times New Roman" w:hAnsi="Garamond" w:cs="Times New Roman"/>
            <w:color w:val="000080"/>
            <w:u w:val="single"/>
          </w:rPr>
          <w:t>https://carep-paris.org/recherche/etat-societe-religion/repenser-letat-en-syrie-pluralisme-justice-et-reconstruction-politique/</w:t>
        </w:r>
      </w:hyperlink>
    </w:p>
    <w:p w14:paraId="11EABF0C"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Pierret T., Baas et Islam en Syrie. La dynastie Assad face aux oulémas. Paris, PUF/ Coll. Proche Orient, 2011.</w:t>
      </w:r>
    </w:p>
    <w:p w14:paraId="75AFFD22"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Quesnay A., « La guerre d’usure, nouvelle étape du conflit syrien. Entre fragmentations internes et pressions extérieures », Ramses, 2023, pp. 378 à 384</w:t>
      </w:r>
    </w:p>
    <w:p w14:paraId="7B8EF004"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Revue Moyen-Orient, n°68 « Syrie : année zéro », 2025</w:t>
      </w:r>
    </w:p>
    <w:p w14:paraId="359AD499"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t>Seurat, M., Syrie. L’État de barbarie. Paris, PUF, 2012.</w:t>
      </w:r>
    </w:p>
    <w:p w14:paraId="0FDAB0E6" w14:textId="77777777" w:rsidR="00AF1D98" w:rsidRPr="00847E5E" w:rsidRDefault="00AF1D98" w:rsidP="00847E5E">
      <w:pPr>
        <w:rPr>
          <w:rFonts w:ascii="Garamond" w:eastAsia="Times New Roman" w:hAnsi="Garamond" w:cs="Times New Roman"/>
        </w:rPr>
      </w:pPr>
      <w:r w:rsidRPr="00847E5E">
        <w:rPr>
          <w:rFonts w:ascii="Garamond" w:eastAsia="Times New Roman" w:hAnsi="Garamond" w:cs="Times New Roman"/>
        </w:rPr>
        <w:t xml:space="preserve">Taha Z., “L’islam sunnite dans la Syrie post-al-Assad : vers une nouvelle recomposition ?”, Revue </w:t>
      </w:r>
      <w:r w:rsidRPr="00847E5E">
        <w:rPr>
          <w:rFonts w:ascii="Garamond" w:eastAsia="Times New Roman" w:hAnsi="Garamond" w:cs="Times New Roman"/>
          <w:i/>
          <w:iCs/>
        </w:rPr>
        <w:t>Moyen-Orient</w:t>
      </w:r>
      <w:r w:rsidRPr="00847E5E">
        <w:rPr>
          <w:rFonts w:ascii="Garamond" w:eastAsia="Times New Roman" w:hAnsi="Garamond" w:cs="Times New Roman"/>
        </w:rPr>
        <w:t xml:space="preserve">, n°68 « Syrie : année zéro », 2025. </w:t>
      </w:r>
      <w:r w:rsidRPr="00847E5E">
        <w:rPr>
          <w:rFonts w:ascii="Garamond" w:eastAsia="Times New Roman" w:hAnsi="Garamond" w:cs="Times New Roman"/>
          <w:i/>
          <w:iCs/>
        </w:rPr>
        <w:t>IISMM</w:t>
      </w:r>
    </w:p>
    <w:p w14:paraId="53C12DB0"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p>
    <w:p w14:paraId="35029360"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p>
    <w:p w14:paraId="3EDCACEE"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p>
    <w:p w14:paraId="32E3053F"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p>
    <w:p w14:paraId="4A4D131C"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p>
    <w:p w14:paraId="09E2EF1E" w14:textId="77777777" w:rsidR="00AF1D98" w:rsidRPr="00847E5E" w:rsidRDefault="00AF1D98" w:rsidP="00847E5E">
      <w:pPr>
        <w:pBdr>
          <w:top w:val="nil"/>
          <w:left w:val="nil"/>
          <w:bottom w:val="nil"/>
          <w:right w:val="nil"/>
          <w:between w:val="nil"/>
        </w:pBdr>
        <w:spacing w:after="140" w:line="276" w:lineRule="auto"/>
        <w:jc w:val="both"/>
        <w:rPr>
          <w:rFonts w:ascii="Garamond" w:eastAsia="Times New Roman" w:hAnsi="Garamond" w:cs="Times New Roman"/>
          <w:color w:val="000000"/>
        </w:rPr>
      </w:pPr>
      <w:r w:rsidRPr="00847E5E">
        <w:rPr>
          <w:rFonts w:ascii="Garamond" w:eastAsia="Times New Roman" w:hAnsi="Garamond" w:cs="Times New Roman"/>
          <w:color w:val="000000"/>
        </w:rPr>
        <w:br/>
      </w:r>
    </w:p>
    <w:p w14:paraId="61FC127C" w14:textId="77777777" w:rsidR="00AF1D98" w:rsidRPr="00847E5E" w:rsidRDefault="00AF1D98" w:rsidP="00847E5E">
      <w:pPr>
        <w:spacing w:line="276" w:lineRule="auto"/>
        <w:jc w:val="both"/>
        <w:rPr>
          <w:rFonts w:ascii="Garamond" w:eastAsia="Times New Roman" w:hAnsi="Garamond" w:cs="Times New Roman"/>
        </w:rPr>
      </w:pPr>
    </w:p>
    <w:p w14:paraId="1E5E0EEB" w14:textId="77777777" w:rsidR="00AF1D98" w:rsidRPr="00847E5E" w:rsidRDefault="00AF1D98" w:rsidP="00847E5E">
      <w:pPr>
        <w:spacing w:line="276" w:lineRule="auto"/>
        <w:jc w:val="both"/>
        <w:rPr>
          <w:rFonts w:ascii="Garamond" w:eastAsia="Times New Roman" w:hAnsi="Garamond" w:cs="Times New Roman"/>
        </w:rPr>
      </w:pPr>
    </w:p>
    <w:p w14:paraId="196F081E" w14:textId="77777777" w:rsidR="00AF1D98" w:rsidRPr="00847E5E" w:rsidRDefault="00AF1D98" w:rsidP="00847E5E">
      <w:pPr>
        <w:spacing w:line="276" w:lineRule="auto"/>
        <w:jc w:val="both"/>
        <w:rPr>
          <w:rFonts w:ascii="Garamond" w:eastAsia="Times New Roman" w:hAnsi="Garamond" w:cs="Times New Roman"/>
        </w:rPr>
      </w:pPr>
    </w:p>
    <w:p w14:paraId="4048C6CB" w14:textId="77777777" w:rsidR="00283CF8" w:rsidRPr="00847E5E" w:rsidRDefault="00283CF8" w:rsidP="00847E5E">
      <w:pPr>
        <w:spacing w:line="276" w:lineRule="auto"/>
        <w:jc w:val="both"/>
        <w:rPr>
          <w:rFonts w:ascii="Garamond" w:hAnsi="Garamond" w:cs="Times New Roman"/>
        </w:rPr>
      </w:pPr>
    </w:p>
    <w:sectPr w:rsidR="00283CF8" w:rsidRPr="00847E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88F72" w14:textId="77777777" w:rsidR="005064B8" w:rsidRDefault="005064B8" w:rsidP="007F177A">
      <w:r>
        <w:separator/>
      </w:r>
    </w:p>
  </w:endnote>
  <w:endnote w:type="continuationSeparator" w:id="0">
    <w:p w14:paraId="7DCA63E8" w14:textId="77777777" w:rsidR="005064B8" w:rsidRDefault="005064B8" w:rsidP="007F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E5B9" w14:textId="77777777" w:rsidR="005064B8" w:rsidRDefault="005064B8" w:rsidP="007F177A">
      <w:r>
        <w:separator/>
      </w:r>
    </w:p>
  </w:footnote>
  <w:footnote w:type="continuationSeparator" w:id="0">
    <w:p w14:paraId="54412812" w14:textId="77777777" w:rsidR="005064B8" w:rsidRDefault="005064B8" w:rsidP="007F177A">
      <w:r>
        <w:continuationSeparator/>
      </w:r>
    </w:p>
  </w:footnote>
  <w:footnote w:id="1">
    <w:p w14:paraId="21A3A9A4" w14:textId="77777777" w:rsidR="007F177A" w:rsidRPr="00B519FB" w:rsidRDefault="007F177A" w:rsidP="007F177A">
      <w:pPr>
        <w:jc w:val="both"/>
        <w:rPr>
          <w:rFonts w:ascii="Times New Roman" w:eastAsia="Times New Roman" w:hAnsi="Times New Roman" w:cs="Times New Roman"/>
        </w:rPr>
      </w:pPr>
      <w:r w:rsidRPr="00B519FB">
        <w:rPr>
          <w:rFonts w:ascii="Times New Roman" w:hAnsi="Times New Roman" w:cs="Times New Roman"/>
          <w:vertAlign w:val="superscript"/>
        </w:rPr>
        <w:footnoteRef/>
      </w:r>
      <w:r w:rsidRPr="00B519FB">
        <w:rPr>
          <w:rFonts w:ascii="Times New Roman" w:eastAsia="Times New Roman" w:hAnsi="Times New Roman" w:cs="Times New Roman"/>
        </w:rPr>
        <w:t xml:space="preserve"> Vlassenroot 2002 ; Banégas 2006 ; Dorronsoro et Grojean 2014</w:t>
      </w:r>
    </w:p>
  </w:footnote>
  <w:footnote w:id="2">
    <w:p w14:paraId="1EAFB173" w14:textId="77777777" w:rsidR="007F177A" w:rsidRPr="00B519FB" w:rsidRDefault="007F177A" w:rsidP="007F177A">
      <w:pPr>
        <w:jc w:val="both"/>
        <w:rPr>
          <w:rFonts w:ascii="Times New Roman" w:eastAsia="Times New Roman" w:hAnsi="Times New Roman" w:cs="Times New Roman"/>
        </w:rPr>
      </w:pPr>
      <w:r w:rsidRPr="00B519FB">
        <w:rPr>
          <w:rFonts w:ascii="Times New Roman" w:hAnsi="Times New Roman" w:cs="Times New Roman"/>
          <w:vertAlign w:val="superscript"/>
        </w:rPr>
        <w:footnoteRef/>
      </w:r>
      <w:r w:rsidRPr="00B519FB">
        <w:rPr>
          <w:rFonts w:ascii="Times New Roman" w:eastAsia="Times New Roman" w:hAnsi="Times New Roman" w:cs="Times New Roman"/>
        </w:rPr>
        <w:t xml:space="preserve"> Hagmann et Péclard 2011 ; Hoffmann, Vlassenroot et Marchais 2016)</w:t>
      </w:r>
    </w:p>
  </w:footnote>
  <w:footnote w:id="3">
    <w:p w14:paraId="55375D72" w14:textId="77777777" w:rsidR="007F177A" w:rsidRPr="00B519FB" w:rsidRDefault="007F177A" w:rsidP="007F177A">
      <w:pPr>
        <w:jc w:val="both"/>
        <w:rPr>
          <w:rFonts w:ascii="Times New Roman" w:eastAsia="Times New Roman" w:hAnsi="Times New Roman" w:cs="Times New Roman"/>
        </w:rPr>
      </w:pPr>
      <w:r w:rsidRPr="00B519FB">
        <w:rPr>
          <w:rFonts w:ascii="Times New Roman" w:hAnsi="Times New Roman" w:cs="Times New Roman"/>
          <w:vertAlign w:val="superscript"/>
        </w:rPr>
        <w:footnoteRef/>
      </w:r>
      <w:r w:rsidRPr="00B519FB">
        <w:rPr>
          <w:rFonts w:ascii="Times New Roman" w:eastAsia="Times New Roman" w:hAnsi="Times New Roman" w:cs="Times New Roman"/>
        </w:rPr>
        <w:t xml:space="preserve"> (Marks 2014 ; Wimpelmann 2017)</w:t>
      </w:r>
    </w:p>
  </w:footnote>
  <w:footnote w:id="4">
    <w:p w14:paraId="4808C1FE" w14:textId="77777777" w:rsidR="007F177A" w:rsidRPr="00B519FB" w:rsidRDefault="007F177A" w:rsidP="007F177A">
      <w:pPr>
        <w:jc w:val="both"/>
        <w:rPr>
          <w:rFonts w:ascii="Times New Roman" w:eastAsia="Times New Roman" w:hAnsi="Times New Roman" w:cs="Times New Roman"/>
        </w:rPr>
      </w:pPr>
      <w:r w:rsidRPr="00B519FB">
        <w:rPr>
          <w:rFonts w:ascii="Times New Roman" w:hAnsi="Times New Roman" w:cs="Times New Roman"/>
          <w:vertAlign w:val="superscript"/>
        </w:rPr>
        <w:footnoteRef/>
      </w:r>
      <w:r w:rsidRPr="00B519FB">
        <w:rPr>
          <w:rFonts w:ascii="Times New Roman" w:eastAsia="Times New Roman" w:hAnsi="Times New Roman" w:cs="Times New Roman"/>
        </w:rPr>
        <w:t xml:space="preserve"> Pour la notion de régime milicien, Adam Baczko et Gilles Dorronsoro, « Le régime milicien en Afghanistan : Anthropologie imaginaire, économie transnationale de la violence et fragmentation de l’État », </w:t>
      </w:r>
      <w:r w:rsidRPr="00B519FB">
        <w:rPr>
          <w:rFonts w:ascii="Times New Roman" w:eastAsia="Times New Roman" w:hAnsi="Times New Roman" w:cs="Times New Roman"/>
          <w:i/>
        </w:rPr>
        <w:t xml:space="preserve">Cultures &amp; Conflits </w:t>
      </w:r>
      <w:r w:rsidRPr="00B519FB">
        <w:rPr>
          <w:rFonts w:ascii="Times New Roman" w:eastAsia="Times New Roman" w:hAnsi="Times New Roman" w:cs="Times New Roman"/>
        </w:rPr>
        <w:t>125, 2022, p. 51‑69.</w:t>
      </w:r>
    </w:p>
  </w:footnote>
  <w:footnote w:id="5">
    <w:p w14:paraId="1307167A" w14:textId="77777777" w:rsidR="007F177A" w:rsidRPr="00B519FB" w:rsidRDefault="007F177A" w:rsidP="007F177A">
      <w:pPr>
        <w:jc w:val="both"/>
        <w:rPr>
          <w:rFonts w:ascii="Times New Roman" w:eastAsia="Times New Roman" w:hAnsi="Times New Roman" w:cs="Times New Roman"/>
          <w:color w:val="222222"/>
        </w:rPr>
      </w:pPr>
      <w:r w:rsidRPr="00B519FB">
        <w:rPr>
          <w:rFonts w:ascii="Times New Roman" w:hAnsi="Times New Roman" w:cs="Times New Roman"/>
          <w:vertAlign w:val="superscript"/>
        </w:rPr>
        <w:footnoteRef/>
      </w:r>
      <w:r w:rsidRPr="00B519FB">
        <w:rPr>
          <w:rFonts w:ascii="Times New Roman" w:eastAsia="Times New Roman" w:hAnsi="Times New Roman" w:cs="Times New Roman"/>
        </w:rPr>
        <w:t xml:space="preserve"> </w:t>
      </w:r>
      <w:r w:rsidRPr="00B519FB">
        <w:rPr>
          <w:rFonts w:ascii="Times New Roman" w:eastAsia="Times New Roman" w:hAnsi="Times New Roman" w:cs="Times New Roman"/>
          <w:color w:val="222222"/>
        </w:rPr>
        <w:t xml:space="preserve">Yohanan Benhaim, Arthur Quesnay, « L’espace politique kurde dans le conflit syrien : intégration régionale et polarisation partisane », </w:t>
      </w:r>
      <w:r w:rsidRPr="00B519FB">
        <w:rPr>
          <w:rFonts w:ascii="Times New Roman" w:eastAsia="Times New Roman" w:hAnsi="Times New Roman" w:cs="Times New Roman"/>
          <w:i/>
          <w:color w:val="222222"/>
        </w:rPr>
        <w:t>Confluences Méditerranée</w:t>
      </w:r>
      <w:r w:rsidRPr="00B519FB">
        <w:rPr>
          <w:rFonts w:ascii="Times New Roman" w:eastAsia="Times New Roman" w:hAnsi="Times New Roman" w:cs="Times New Roman"/>
          <w:color w:val="222222"/>
        </w:rPr>
        <w:t>, 2016/3 (N° 98).</w:t>
      </w:r>
    </w:p>
  </w:footnote>
  <w:footnote w:id="6">
    <w:p w14:paraId="11F5FAB3" w14:textId="77777777" w:rsidR="007F177A" w:rsidRPr="00B519FB" w:rsidRDefault="007F177A" w:rsidP="007F177A">
      <w:pPr>
        <w:jc w:val="both"/>
        <w:rPr>
          <w:rFonts w:ascii="Times New Roman" w:eastAsia="Times New Roman" w:hAnsi="Times New Roman" w:cs="Times New Roman"/>
          <w:color w:val="000000"/>
          <w:lang w:val="en-GB"/>
        </w:rPr>
      </w:pPr>
      <w:r w:rsidRPr="00B519FB">
        <w:rPr>
          <w:rFonts w:ascii="Times New Roman" w:hAnsi="Times New Roman" w:cs="Times New Roman"/>
          <w:vertAlign w:val="superscript"/>
        </w:rPr>
        <w:footnoteRef/>
      </w:r>
      <w:r w:rsidRPr="00B519FB">
        <w:rPr>
          <w:rFonts w:ascii="Times New Roman" w:eastAsia="Times New Roman" w:hAnsi="Times New Roman" w:cs="Times New Roman"/>
          <w:color w:val="000000"/>
        </w:rPr>
        <w:t xml:space="preserve"> </w:t>
      </w:r>
      <w:r w:rsidRPr="00B519FB">
        <w:rPr>
          <w:rFonts w:ascii="Times New Roman" w:eastAsia="Times New Roman" w:hAnsi="Times New Roman" w:cs="Times New Roman"/>
        </w:rPr>
        <w:t>De nombreux travaux montrent ces logiques transnationales à travers des approches anthropologiques ou des trajectoires nationales des groupes politiques kurdes</w:t>
      </w:r>
      <w:r w:rsidRPr="00B519FB">
        <w:rPr>
          <w:rFonts w:ascii="Times New Roman" w:eastAsia="Times New Roman" w:hAnsi="Times New Roman" w:cs="Times New Roman"/>
          <w:color w:val="000000"/>
        </w:rPr>
        <w:t xml:space="preserve">. Hamit Bozarslan, </w:t>
      </w:r>
      <w:r w:rsidRPr="00B519FB">
        <w:rPr>
          <w:rFonts w:ascii="Times New Roman" w:eastAsia="Times New Roman" w:hAnsi="Times New Roman" w:cs="Times New Roman"/>
          <w:i/>
          <w:color w:val="000000"/>
        </w:rPr>
        <w:t>Conflit kurde : Le brasier oublié du Moyen-Orient</w:t>
      </w:r>
      <w:r w:rsidRPr="00B519FB">
        <w:rPr>
          <w:rFonts w:ascii="Times New Roman" w:eastAsia="Times New Roman" w:hAnsi="Times New Roman" w:cs="Times New Roman"/>
          <w:color w:val="000000"/>
        </w:rPr>
        <w:t xml:space="preserve">, Paris : Éditions Autrement, 2009 ; Martin Van Bruinessen, </w:t>
      </w:r>
      <w:r w:rsidRPr="00B519FB">
        <w:rPr>
          <w:rFonts w:ascii="Times New Roman" w:eastAsia="Times New Roman" w:hAnsi="Times New Roman" w:cs="Times New Roman"/>
          <w:i/>
          <w:color w:val="000000"/>
        </w:rPr>
        <w:t xml:space="preserve">Agha, Shaikh and State. </w:t>
      </w:r>
      <w:r w:rsidRPr="00B519FB">
        <w:rPr>
          <w:rFonts w:ascii="Times New Roman" w:eastAsia="Times New Roman" w:hAnsi="Times New Roman" w:cs="Times New Roman"/>
          <w:i/>
          <w:color w:val="000000"/>
          <w:lang w:val="en-GB"/>
        </w:rPr>
        <w:t>The Social and Political Structures of Kurdistan</w:t>
      </w:r>
      <w:r w:rsidRPr="00B519FB">
        <w:rPr>
          <w:rFonts w:ascii="Times New Roman" w:eastAsia="Times New Roman" w:hAnsi="Times New Roman" w:cs="Times New Roman"/>
          <w:color w:val="000000"/>
          <w:lang w:val="en-GB"/>
        </w:rPr>
        <w:t xml:space="preserve">, Zed Books, London, 1992, Jordi Tejel, </w:t>
      </w:r>
      <w:r w:rsidRPr="00B519FB">
        <w:rPr>
          <w:rFonts w:ascii="Times New Roman" w:eastAsia="Times New Roman" w:hAnsi="Times New Roman" w:cs="Times New Roman"/>
          <w:i/>
          <w:color w:val="000000"/>
          <w:lang w:val="en-GB"/>
        </w:rPr>
        <w:t xml:space="preserve">Syria’s kurd : History, Politics and Society, </w:t>
      </w:r>
      <w:r w:rsidRPr="00B519FB">
        <w:rPr>
          <w:rFonts w:ascii="Times New Roman" w:eastAsia="Times New Roman" w:hAnsi="Times New Roman" w:cs="Times New Roman"/>
          <w:color w:val="000000"/>
          <w:lang w:val="en-GB"/>
        </w:rPr>
        <w:t>New York, Routledge, 2008.</w:t>
      </w:r>
    </w:p>
  </w:footnote>
  <w:footnote w:id="7">
    <w:p w14:paraId="249F573B" w14:textId="77777777" w:rsidR="007F177A" w:rsidRPr="00B519FB" w:rsidRDefault="007F177A" w:rsidP="007F177A">
      <w:pPr>
        <w:jc w:val="both"/>
        <w:rPr>
          <w:rFonts w:ascii="Times New Roman" w:eastAsia="Times New Roman" w:hAnsi="Times New Roman" w:cs="Times New Roman"/>
          <w:i/>
        </w:rPr>
      </w:pPr>
      <w:r w:rsidRPr="00B519FB">
        <w:rPr>
          <w:rFonts w:ascii="Times New Roman" w:hAnsi="Times New Roman" w:cs="Times New Roman"/>
          <w:vertAlign w:val="superscript"/>
        </w:rPr>
        <w:footnoteRef/>
      </w:r>
      <w:r w:rsidRPr="00B519FB">
        <w:rPr>
          <w:rFonts w:ascii="Times New Roman" w:eastAsia="Times New Roman" w:hAnsi="Times New Roman" w:cs="Times New Roman"/>
        </w:rPr>
        <w:t xml:space="preserve"> Hamit Bozarslan, </w:t>
      </w:r>
      <w:r w:rsidRPr="00B519FB">
        <w:rPr>
          <w:rFonts w:ascii="Times New Roman" w:eastAsia="Times New Roman" w:hAnsi="Times New Roman" w:cs="Times New Roman"/>
          <w:i/>
        </w:rPr>
        <w:t>Révolution et état de violence</w:t>
      </w:r>
      <w:r w:rsidRPr="00B519FB">
        <w:rPr>
          <w:rFonts w:ascii="Times New Roman" w:eastAsia="Times New Roman" w:hAnsi="Times New Roman" w:cs="Times New Roman"/>
        </w:rPr>
        <w:t xml:space="preserve">, </w:t>
      </w:r>
      <w:r w:rsidRPr="00B519FB">
        <w:rPr>
          <w:rFonts w:ascii="Times New Roman" w:eastAsia="Times New Roman" w:hAnsi="Times New Roman" w:cs="Times New Roman"/>
          <w:i/>
        </w:rPr>
        <w:t>Moyen Orient 2011-2015</w:t>
      </w:r>
      <w:r w:rsidRPr="00B519FB">
        <w:rPr>
          <w:rFonts w:ascii="Times New Roman" w:eastAsia="Times New Roman" w:hAnsi="Times New Roman" w:cs="Times New Roman"/>
        </w:rPr>
        <w:t xml:space="preserve">, Paris, CNRS Editions, 2015 et </w:t>
      </w:r>
      <w:r w:rsidRPr="00B519FB">
        <w:rPr>
          <w:rFonts w:ascii="Times New Roman" w:eastAsia="Times New Roman" w:hAnsi="Times New Roman" w:cs="Times New Roman"/>
          <w:i/>
        </w:rPr>
        <w:t>La question kurde. États et minorités au Moyen-Orient</w:t>
      </w:r>
      <w:r w:rsidRPr="00B519FB">
        <w:rPr>
          <w:rFonts w:ascii="Times New Roman" w:eastAsia="Times New Roman" w:hAnsi="Times New Roman" w:cs="Times New Roman"/>
        </w:rPr>
        <w:t>, Paris, Presses de Sciences Po, 1997.</w:t>
      </w:r>
    </w:p>
  </w:footnote>
  <w:footnote w:id="8">
    <w:p w14:paraId="0FE240BD" w14:textId="77777777" w:rsidR="007F177A" w:rsidRPr="00B519FB" w:rsidRDefault="007F177A" w:rsidP="007F177A">
      <w:pPr>
        <w:pStyle w:val="Notedebasdepage"/>
        <w:jc w:val="both"/>
        <w:rPr>
          <w:rFonts w:ascii="Times New Roman" w:hAnsi="Times New Roman" w:cs="Times New Roman"/>
          <w:sz w:val="22"/>
          <w:szCs w:val="22"/>
        </w:rPr>
      </w:pPr>
      <w:r w:rsidRPr="00B519FB">
        <w:rPr>
          <w:rStyle w:val="Appelnotedebasdep"/>
          <w:rFonts w:ascii="Times New Roman" w:hAnsi="Times New Roman" w:cs="Times New Roman"/>
          <w:sz w:val="22"/>
          <w:szCs w:val="22"/>
        </w:rPr>
        <w:footnoteRef/>
      </w:r>
      <w:r w:rsidRPr="00B519FB">
        <w:rPr>
          <w:rFonts w:ascii="Times New Roman" w:hAnsi="Times New Roman" w:cs="Times New Roman"/>
          <w:sz w:val="22"/>
          <w:szCs w:val="22"/>
        </w:rPr>
        <w:t xml:space="preserve"> </w:t>
      </w:r>
      <w:r w:rsidRPr="00B519FB">
        <w:rPr>
          <w:rFonts w:ascii="Times New Roman" w:eastAsia="Times New Roman" w:hAnsi="Times New Roman" w:cs="Times New Roman"/>
          <w:sz w:val="22"/>
          <w:szCs w:val="22"/>
        </w:rPr>
        <w:t>Juan Ibrahim disparait en 2016, il est accusé par la direction du PKK de suivre un agenda pro-syrien au détriment des ordres du parti.</w:t>
      </w:r>
    </w:p>
  </w:footnote>
  <w:footnote w:id="9">
    <w:p w14:paraId="63C60EE4" w14:textId="77777777" w:rsidR="007F177A" w:rsidRPr="00B519FB" w:rsidRDefault="007F177A" w:rsidP="007F177A">
      <w:pPr>
        <w:pStyle w:val="Notedebasdepage"/>
        <w:jc w:val="both"/>
        <w:rPr>
          <w:rFonts w:ascii="Times New Roman" w:hAnsi="Times New Roman" w:cs="Times New Roman"/>
          <w:sz w:val="22"/>
          <w:szCs w:val="22"/>
        </w:rPr>
      </w:pPr>
      <w:r w:rsidRPr="00B519FB">
        <w:rPr>
          <w:rStyle w:val="Appelnotedebasdep"/>
          <w:rFonts w:ascii="Times New Roman" w:hAnsi="Times New Roman" w:cs="Times New Roman"/>
          <w:sz w:val="22"/>
          <w:szCs w:val="22"/>
        </w:rPr>
        <w:footnoteRef/>
      </w:r>
      <w:r w:rsidRPr="00B519FB">
        <w:rPr>
          <w:rFonts w:ascii="Times New Roman" w:hAnsi="Times New Roman" w:cs="Times New Roman"/>
          <w:sz w:val="22"/>
          <w:szCs w:val="22"/>
        </w:rPr>
        <w:t xml:space="preserve"> </w:t>
      </w:r>
      <w:r w:rsidRPr="00B519FB">
        <w:rPr>
          <w:rFonts w:ascii="Times New Roman" w:hAnsi="Times New Roman" w:cs="Times New Roman"/>
          <w:color w:val="000000"/>
          <w:sz w:val="22"/>
          <w:szCs w:val="22"/>
        </w:rPr>
        <w:t xml:space="preserve">Face à la concurrence de l’Etat islamique, et pour contenir l’hémorragie des militants, le mouvement cherche les références au jihad global porteuses et plaide allégeance à al-Qaeda en 2013 avant de s’en séparer </w:t>
      </w:r>
      <w:r>
        <w:rPr>
          <w:rFonts w:ascii="Times New Roman" w:hAnsi="Times New Roman" w:cs="Times New Roman"/>
          <w:color w:val="000000"/>
          <w:sz w:val="22"/>
          <w:szCs w:val="22"/>
        </w:rPr>
        <w:t>trois</w:t>
      </w:r>
      <w:r w:rsidRPr="00B519FB">
        <w:rPr>
          <w:rFonts w:ascii="Times New Roman" w:hAnsi="Times New Roman" w:cs="Times New Roman"/>
          <w:color w:val="000000"/>
          <w:sz w:val="22"/>
          <w:szCs w:val="22"/>
        </w:rPr>
        <w:t xml:space="preserve"> ans plus tard car la filiation avec l’organisation de feu Ossama Ben Laden rendait problématique la volonté du mouvement de se fondre dans – et de contrôler – la dynamique révolutionnaire. </w:t>
      </w:r>
      <w:r w:rsidRPr="00B519FB">
        <w:rPr>
          <w:rFonts w:ascii="Times New Roman" w:hAnsi="Times New Roman" w:cs="Times New Roman"/>
          <w:iCs/>
          <w:sz w:val="22"/>
          <w:szCs w:val="22"/>
        </w:rPr>
        <w:t>Cet alignement sur AQ est tactique et les liens avec l’organisation de Ben Laden relativement superficiels : aucun soutien financier, une direction laissée au leadership en Syrien et, pour finir, très peu d’échanges avec l’organisation.</w:t>
      </w:r>
    </w:p>
  </w:footnote>
  <w:footnote w:id="10">
    <w:p w14:paraId="4036241C" w14:textId="77777777" w:rsidR="007F177A" w:rsidRPr="00B519FB" w:rsidRDefault="007F177A" w:rsidP="007F177A">
      <w:pPr>
        <w:pStyle w:val="Notedebasdepage"/>
        <w:jc w:val="both"/>
        <w:rPr>
          <w:rFonts w:ascii="Times New Roman" w:hAnsi="Times New Roman" w:cs="Times New Roman"/>
          <w:sz w:val="22"/>
          <w:szCs w:val="22"/>
        </w:rPr>
      </w:pPr>
      <w:r w:rsidRPr="00B519FB">
        <w:rPr>
          <w:rStyle w:val="Appelnotedebasdep"/>
          <w:rFonts w:ascii="Times New Roman" w:hAnsi="Times New Roman" w:cs="Times New Roman"/>
          <w:sz w:val="22"/>
          <w:szCs w:val="22"/>
        </w:rPr>
        <w:footnoteRef/>
      </w:r>
      <w:r w:rsidRPr="00B519FB">
        <w:rPr>
          <w:rFonts w:ascii="Times New Roman" w:hAnsi="Times New Roman" w:cs="Times New Roman"/>
          <w:sz w:val="22"/>
          <w:szCs w:val="22"/>
        </w:rPr>
        <w:t xml:space="preserve"> En décembre 2022 la Russie lance </w:t>
      </w:r>
      <w:r>
        <w:rPr>
          <w:rFonts w:ascii="Times New Roman" w:hAnsi="Times New Roman" w:cs="Times New Roman"/>
          <w:sz w:val="22"/>
          <w:szCs w:val="22"/>
        </w:rPr>
        <w:t>un canal</w:t>
      </w:r>
      <w:r w:rsidRPr="00B519FB">
        <w:rPr>
          <w:rFonts w:ascii="Times New Roman" w:hAnsi="Times New Roman" w:cs="Times New Roman"/>
          <w:sz w:val="22"/>
          <w:szCs w:val="22"/>
        </w:rPr>
        <w:t xml:space="preserve"> de discussions entre Ankara et Damas. Quelques rencontres au niveau des services de renseignement, puis des affaires étrangères ne donnent rien (entretiens avec officiels et experts russes, turcs et syriens à Damas, Ankara, Genève, 2024). </w:t>
      </w:r>
    </w:p>
  </w:footnote>
  <w:footnote w:id="11">
    <w:p w14:paraId="7814137F" w14:textId="77777777" w:rsidR="007F177A" w:rsidRPr="00B519FB" w:rsidRDefault="007F177A" w:rsidP="007F177A">
      <w:pPr>
        <w:pStyle w:val="Notedebasdepage"/>
        <w:jc w:val="both"/>
        <w:rPr>
          <w:rFonts w:ascii="Times New Roman" w:hAnsi="Times New Roman" w:cs="Times New Roman"/>
          <w:sz w:val="22"/>
          <w:szCs w:val="22"/>
        </w:rPr>
      </w:pPr>
      <w:r w:rsidRPr="00B519FB">
        <w:rPr>
          <w:rStyle w:val="Appelnotedebasdep"/>
          <w:rFonts w:ascii="Times New Roman" w:hAnsi="Times New Roman" w:cs="Times New Roman"/>
          <w:sz w:val="22"/>
          <w:szCs w:val="22"/>
        </w:rPr>
        <w:footnoteRef/>
      </w:r>
      <w:r w:rsidRPr="00B519FB">
        <w:rPr>
          <w:rFonts w:ascii="Times New Roman" w:hAnsi="Times New Roman" w:cs="Times New Roman"/>
          <w:sz w:val="22"/>
          <w:szCs w:val="22"/>
        </w:rPr>
        <w:t xml:space="preserve"> </w:t>
      </w:r>
      <w:r w:rsidRPr="00B519FB">
        <w:rPr>
          <w:rFonts w:ascii="Times New Roman" w:eastAsia="Times New Roman" w:hAnsi="Times New Roman" w:cs="Times New Roman"/>
          <w:sz w:val="22"/>
          <w:szCs w:val="22"/>
        </w:rPr>
        <w:t>En plus de l’aide pratiquée à travers la frontière turque via le poste de douane de Bab al-Hawa sous contrôle du mouvement</w:t>
      </w:r>
    </w:p>
  </w:footnote>
  <w:footnote w:id="12">
    <w:p w14:paraId="353CDA5C" w14:textId="77777777" w:rsidR="007F177A" w:rsidRPr="00B519FB" w:rsidRDefault="007F177A" w:rsidP="007F177A">
      <w:pPr>
        <w:pBdr>
          <w:top w:val="nil"/>
          <w:left w:val="nil"/>
          <w:bottom w:val="nil"/>
          <w:right w:val="nil"/>
          <w:between w:val="nil"/>
        </w:pBdr>
        <w:jc w:val="both"/>
        <w:rPr>
          <w:rFonts w:ascii="Times New Roman" w:eastAsia="Times New Roman" w:hAnsi="Times New Roman" w:cs="Times New Roman"/>
          <w:color w:val="000000"/>
        </w:rPr>
      </w:pPr>
      <w:r w:rsidRPr="00B519FB">
        <w:rPr>
          <w:rFonts w:ascii="Times New Roman" w:hAnsi="Times New Roman" w:cs="Times New Roman"/>
          <w:vertAlign w:val="superscript"/>
        </w:rPr>
        <w:footnoteRef/>
      </w:r>
      <w:r w:rsidRPr="00B519FB">
        <w:rPr>
          <w:rFonts w:ascii="Times New Roman" w:eastAsia="Times New Roman" w:hAnsi="Times New Roman" w:cs="Times New Roman"/>
          <w:color w:val="000000"/>
        </w:rPr>
        <w:t xml:space="preserve"> La détérioration de la situation alimentaire en est un exemple : https://newlinesinstitute.org/syria/kneel-and-starve-under-the-watchful-eye-of-the-secret-police-syrians-go-hungry/</w:t>
      </w:r>
    </w:p>
  </w:footnote>
  <w:footnote w:id="13">
    <w:p w14:paraId="7A91D28F" w14:textId="77777777" w:rsidR="007F177A" w:rsidRPr="00B519FB" w:rsidRDefault="007F177A" w:rsidP="007F177A">
      <w:pPr>
        <w:pStyle w:val="Notedebasdepage"/>
        <w:jc w:val="both"/>
        <w:rPr>
          <w:rFonts w:ascii="Times New Roman" w:hAnsi="Times New Roman" w:cs="Times New Roman"/>
          <w:sz w:val="22"/>
          <w:szCs w:val="22"/>
        </w:rPr>
      </w:pPr>
      <w:r w:rsidRPr="00B519FB">
        <w:rPr>
          <w:rStyle w:val="Appelnotedebasdep"/>
          <w:rFonts w:ascii="Times New Roman" w:hAnsi="Times New Roman" w:cs="Times New Roman"/>
          <w:sz w:val="22"/>
          <w:szCs w:val="22"/>
        </w:rPr>
        <w:footnoteRef/>
      </w:r>
      <w:r w:rsidRPr="00B519FB">
        <w:rPr>
          <w:rFonts w:ascii="Times New Roman" w:hAnsi="Times New Roman" w:cs="Times New Roman"/>
          <w:sz w:val="22"/>
          <w:szCs w:val="22"/>
        </w:rPr>
        <w:t xml:space="preserve"> </w:t>
      </w:r>
      <w:r w:rsidRPr="00B519FB">
        <w:rPr>
          <w:rFonts w:ascii="Times New Roman" w:hAnsi="Times New Roman" w:cs="Times New Roman"/>
          <w:color w:val="000000"/>
          <w:sz w:val="22"/>
          <w:szCs w:val="22"/>
          <w:lang w:val="fr-CH"/>
        </w:rPr>
        <w:t>Une part significative du mouvement refuse la rupture des liens avec Al-Qaïda. Des membres de Jabhat al-Nusra quittent le HTS et forment en février 2018 Hurras al-Din, la nouvelle franchise locale d'Al-Qaïda.</w:t>
      </w:r>
    </w:p>
  </w:footnote>
  <w:footnote w:id="14">
    <w:p w14:paraId="4747C1AB" w14:textId="77777777" w:rsidR="007F177A" w:rsidRPr="00B519FB" w:rsidRDefault="007F177A" w:rsidP="007F177A">
      <w:pPr>
        <w:pStyle w:val="Notedebasdepage"/>
        <w:jc w:val="both"/>
        <w:rPr>
          <w:rFonts w:ascii="Times New Roman" w:hAnsi="Times New Roman" w:cs="Times New Roman"/>
          <w:sz w:val="22"/>
          <w:szCs w:val="22"/>
        </w:rPr>
      </w:pPr>
      <w:r w:rsidRPr="00B519FB">
        <w:rPr>
          <w:rStyle w:val="Appelnotedebasdep"/>
          <w:rFonts w:ascii="Times New Roman" w:hAnsi="Times New Roman" w:cs="Times New Roman"/>
          <w:sz w:val="22"/>
          <w:szCs w:val="22"/>
        </w:rPr>
        <w:footnoteRef/>
      </w:r>
      <w:r w:rsidRPr="00B519FB">
        <w:rPr>
          <w:rFonts w:ascii="Times New Roman" w:hAnsi="Times New Roman" w:cs="Times New Roman"/>
          <w:sz w:val="22"/>
          <w:szCs w:val="22"/>
        </w:rPr>
        <w:t xml:space="preserve"> </w:t>
      </w:r>
      <w:r w:rsidRPr="00B519FB">
        <w:rPr>
          <w:rFonts w:ascii="Times New Roman" w:hAnsi="Times New Roman" w:cs="Times New Roman"/>
          <w:color w:val="000000"/>
          <w:sz w:val="22"/>
          <w:szCs w:val="22"/>
        </w:rPr>
        <w:t>(le nom du groupe, Jebha al-Nosra signifiant « le front du soutient »)</w:t>
      </w:r>
    </w:p>
  </w:footnote>
  <w:footnote w:id="15">
    <w:p w14:paraId="26DD9191" w14:textId="77777777" w:rsidR="007F177A" w:rsidRPr="00B519FB" w:rsidRDefault="007F177A" w:rsidP="007F177A">
      <w:pPr>
        <w:jc w:val="both"/>
        <w:rPr>
          <w:rFonts w:ascii="Times New Roman" w:eastAsia="Times New Roman" w:hAnsi="Times New Roman" w:cs="Times New Roman"/>
          <w:lang w:val="en-US"/>
        </w:rPr>
      </w:pPr>
      <w:r w:rsidRPr="00B519FB">
        <w:rPr>
          <w:rStyle w:val="Appelnotedebasdep"/>
          <w:rFonts w:ascii="Times New Roman" w:hAnsi="Times New Roman" w:cs="Times New Roman"/>
        </w:rPr>
        <w:footnoteRef/>
      </w:r>
      <w:r w:rsidRPr="00B519FB">
        <w:rPr>
          <w:rFonts w:ascii="Times New Roman" w:hAnsi="Times New Roman" w:cs="Times New Roman"/>
          <w:lang w:val="en-US"/>
        </w:rPr>
        <w:t xml:space="preserve"> </w:t>
      </w:r>
      <w:r w:rsidRPr="00B519FB">
        <w:rPr>
          <w:rFonts w:ascii="Times New Roman" w:eastAsia="Times New Roman" w:hAnsi="Times New Roman" w:cs="Times New Roman"/>
          <w:color w:val="000000"/>
          <w:lang w:val="en-US"/>
        </w:rPr>
        <w:t>Selon Joe Wagemakers, “</w:t>
      </w:r>
      <w:r w:rsidRPr="00B519FB">
        <w:rPr>
          <w:rFonts w:ascii="Times New Roman" w:eastAsia="Times New Roman" w:hAnsi="Times New Roman" w:cs="Times New Roman"/>
          <w:i/>
          <w:iCs/>
          <w:color w:val="000000"/>
          <w:lang w:val="en-US"/>
        </w:rPr>
        <w:t>the strictness of the Salafi ' aqida can probably be the concept of al-wala' wa-l-bara' (loyalty and disavow) This term refers to the undivided loyalty ( wala’) Muslims should show to God, Islam and co-religionists over all other things on the one hand and the disavowal (bara’) the must show to anything deemed un-islamic on the other</w:t>
      </w:r>
      <w:r w:rsidRPr="00B519FB">
        <w:rPr>
          <w:rFonts w:ascii="Times New Roman" w:eastAsia="Times New Roman" w:hAnsi="Times New Roman" w:cs="Times New Roman"/>
          <w:color w:val="000000"/>
          <w:lang w:val="en-US"/>
        </w:rPr>
        <w:t xml:space="preserve">” (Joas Wagemakers, Framing the “threat to Islam”: al-Wala’ wa al-Bara’ in Salafi discourse, </w:t>
      </w:r>
      <w:r w:rsidRPr="00B519FB">
        <w:rPr>
          <w:rFonts w:ascii="Times New Roman" w:eastAsia="Times New Roman" w:hAnsi="Times New Roman" w:cs="Times New Roman"/>
          <w:i/>
          <w:iCs/>
          <w:color w:val="000000"/>
          <w:lang w:val="en-US"/>
        </w:rPr>
        <w:t>Arab Studies Quarterly</w:t>
      </w:r>
      <w:r w:rsidRPr="00B519FB">
        <w:rPr>
          <w:rFonts w:ascii="Times New Roman" w:eastAsia="Times New Roman" w:hAnsi="Times New Roman" w:cs="Times New Roman"/>
          <w:color w:val="000000"/>
          <w:lang w:val="en-US"/>
        </w:rPr>
        <w:t xml:space="preserve"> , Fall 2008, Vol. 30, No. 4 (Fall 2008), p.3.</w:t>
      </w:r>
    </w:p>
  </w:footnote>
  <w:footnote w:id="16">
    <w:p w14:paraId="1D26365A" w14:textId="77777777" w:rsidR="007F177A" w:rsidRPr="00B519FB" w:rsidRDefault="007F177A" w:rsidP="007F177A">
      <w:pPr>
        <w:pStyle w:val="Notedebasdepage"/>
        <w:jc w:val="both"/>
        <w:rPr>
          <w:rFonts w:ascii="Times New Roman" w:hAnsi="Times New Roman" w:cs="Times New Roman"/>
          <w:sz w:val="22"/>
          <w:szCs w:val="22"/>
        </w:rPr>
      </w:pPr>
      <w:r w:rsidRPr="00B519FB">
        <w:rPr>
          <w:rStyle w:val="Appelnotedebasdep"/>
          <w:rFonts w:ascii="Times New Roman" w:hAnsi="Times New Roman" w:cs="Times New Roman"/>
          <w:sz w:val="22"/>
          <w:szCs w:val="22"/>
        </w:rPr>
        <w:footnoteRef/>
      </w:r>
      <w:r w:rsidRPr="00B519FB">
        <w:rPr>
          <w:rFonts w:ascii="Times New Roman" w:hAnsi="Times New Roman" w:cs="Times New Roman"/>
          <w:sz w:val="22"/>
          <w:szCs w:val="22"/>
        </w:rPr>
        <w:t xml:space="preserve"> </w:t>
      </w:r>
      <w:r w:rsidRPr="00B519FB">
        <w:rPr>
          <w:rFonts w:ascii="Times New Roman" w:hAnsi="Times New Roman" w:cs="Times New Roman"/>
          <w:color w:val="000000"/>
          <w:sz w:val="22"/>
          <w:szCs w:val="22"/>
        </w:rPr>
        <w:t>Il cherche d’abord les ententes avec les groupes affinitaires, islamistes et / ou salafistes (Ahrar al-Sham, Faylaq al-Sham). Mais dès 2017 ces ententes s’ouvrent à des groupes armés bien moins idéologisés comme Noureddine al-Zinki par exemple.</w:t>
      </w:r>
    </w:p>
  </w:footnote>
  <w:footnote w:id="17">
    <w:p w14:paraId="5DFFE9E5" w14:textId="77777777" w:rsidR="007F177A" w:rsidRPr="00B519FB" w:rsidRDefault="007F177A" w:rsidP="007F177A">
      <w:pPr>
        <w:pStyle w:val="Notedebasdepage"/>
        <w:jc w:val="both"/>
        <w:rPr>
          <w:rFonts w:ascii="Times New Roman" w:hAnsi="Times New Roman" w:cs="Times New Roman"/>
          <w:sz w:val="22"/>
          <w:szCs w:val="22"/>
        </w:rPr>
      </w:pPr>
      <w:r w:rsidRPr="00B519FB">
        <w:rPr>
          <w:rStyle w:val="Appelnotedebasdep"/>
          <w:rFonts w:ascii="Times New Roman" w:hAnsi="Times New Roman" w:cs="Times New Roman"/>
          <w:sz w:val="22"/>
          <w:szCs w:val="22"/>
        </w:rPr>
        <w:footnoteRef/>
      </w:r>
      <w:r w:rsidRPr="00B519FB">
        <w:rPr>
          <w:rFonts w:ascii="Times New Roman" w:hAnsi="Times New Roman" w:cs="Times New Roman"/>
          <w:sz w:val="22"/>
          <w:szCs w:val="22"/>
        </w:rPr>
        <w:t xml:space="preserve"> </w:t>
      </w:r>
      <w:r w:rsidRPr="00B519FB">
        <w:rPr>
          <w:rFonts w:ascii="Times New Roman" w:eastAsia="Times New Roman" w:hAnsi="Times New Roman" w:cs="Times New Roman"/>
          <w:sz w:val="22"/>
          <w:szCs w:val="22"/>
        </w:rPr>
        <w:t xml:space="preserve">Le mithaq </w:t>
      </w:r>
      <w:r w:rsidRPr="00B519FB">
        <w:rPr>
          <w:rFonts w:ascii="Times New Roman" w:eastAsia="Times New Roman" w:hAnsi="Times New Roman" w:cs="Times New Roman"/>
          <w:color w:val="000000"/>
          <w:sz w:val="22"/>
          <w:szCs w:val="22"/>
        </w:rPr>
        <w:t xml:space="preserve">confirme cette dimension "islam cadre" : il fixe des limites (entre </w:t>
      </w:r>
      <w:r w:rsidRPr="00B519FB">
        <w:rPr>
          <w:rFonts w:ascii="Times New Roman" w:eastAsia="Times New Roman" w:hAnsi="Times New Roman" w:cs="Times New Roman"/>
          <w:i/>
          <w:iCs/>
          <w:color w:val="000000"/>
          <w:sz w:val="22"/>
          <w:szCs w:val="22"/>
        </w:rPr>
        <w:t>turuqiyya</w:t>
      </w:r>
      <w:r w:rsidRPr="00B519FB">
        <w:rPr>
          <w:rFonts w:ascii="Times New Roman" w:eastAsia="Times New Roman" w:hAnsi="Times New Roman" w:cs="Times New Roman"/>
          <w:color w:val="000000"/>
          <w:sz w:val="22"/>
          <w:szCs w:val="22"/>
        </w:rPr>
        <w:t xml:space="preserve"> et </w:t>
      </w:r>
      <w:r w:rsidRPr="00B519FB">
        <w:rPr>
          <w:rFonts w:ascii="Times New Roman" w:eastAsia="Times New Roman" w:hAnsi="Times New Roman" w:cs="Times New Roman"/>
          <w:i/>
          <w:iCs/>
          <w:color w:val="000000"/>
          <w:sz w:val="22"/>
          <w:szCs w:val="22"/>
        </w:rPr>
        <w:t>khawarij</w:t>
      </w:r>
      <w:r w:rsidRPr="00B519FB">
        <w:rPr>
          <w:rFonts w:ascii="Times New Roman" w:eastAsia="Times New Roman" w:hAnsi="Times New Roman" w:cs="Times New Roman"/>
          <w:color w:val="000000"/>
          <w:sz w:val="22"/>
          <w:szCs w:val="22"/>
        </w:rPr>
        <w:t xml:space="preserve"> tout est permis) sans vraiment donner de direction : le </w:t>
      </w:r>
      <w:r w:rsidRPr="00B519FB">
        <w:rPr>
          <w:rFonts w:ascii="Times New Roman" w:eastAsia="Times New Roman" w:hAnsi="Times New Roman" w:cs="Times New Roman"/>
          <w:i/>
          <w:iCs/>
          <w:color w:val="000000"/>
          <w:sz w:val="22"/>
          <w:szCs w:val="22"/>
        </w:rPr>
        <w:t>mithaq</w:t>
      </w:r>
      <w:r w:rsidRPr="00B519FB">
        <w:rPr>
          <w:rFonts w:ascii="Times New Roman" w:eastAsia="Times New Roman" w:hAnsi="Times New Roman" w:cs="Times New Roman"/>
          <w:color w:val="000000"/>
          <w:sz w:val="22"/>
          <w:szCs w:val="22"/>
        </w:rPr>
        <w:t xml:space="preserve"> est généraliste, les propositions de khutbas du ministère des Affaires religieuses sont non contraignantes et consensuelles, alors que la codification de la sharia c’est en réalité de la </w:t>
      </w:r>
      <w:r w:rsidRPr="00B519FB">
        <w:rPr>
          <w:rFonts w:ascii="Times New Roman" w:eastAsia="Times New Roman" w:hAnsi="Times New Roman" w:cs="Times New Roman"/>
          <w:i/>
          <w:iCs/>
          <w:color w:val="000000"/>
          <w:sz w:val="22"/>
          <w:szCs w:val="22"/>
        </w:rPr>
        <w:t>sharia compliance</w:t>
      </w:r>
      <w:r w:rsidRPr="00B519FB">
        <w:rPr>
          <w:rFonts w:ascii="Times New Roman" w:eastAsia="Times New Roman" w:hAnsi="Times New Roman" w:cs="Times New Roman"/>
          <w:color w:val="000000"/>
          <w:sz w:val="22"/>
          <w:szCs w:val="22"/>
        </w:rPr>
        <w:t xml:space="preserve"> (</w:t>
      </w:r>
      <w:r w:rsidRPr="00B519FB">
        <w:rPr>
          <w:rFonts w:ascii="Times New Roman" w:eastAsia="Times New Roman" w:hAnsi="Times New Roman" w:cs="Times New Roman"/>
          <w:i/>
          <w:iCs/>
          <w:color w:val="000000"/>
          <w:sz w:val="22"/>
          <w:szCs w:val="22"/>
        </w:rPr>
        <w:t>siasa sharaiyya</w:t>
      </w:r>
      <w:r w:rsidRPr="00B519FB">
        <w:rPr>
          <w:rFonts w:ascii="Times New Roman" w:eastAsia="Times New Roman" w:hAnsi="Times New Roman" w:cs="Times New Roman"/>
          <w:color w:val="000000"/>
          <w:sz w:val="22"/>
          <w:szCs w:val="22"/>
        </w:rPr>
        <w:t>) de type conservatisme musulman et non un nouveau droit islamique. Pour résumer, le leadership de HTS n’impose rien en dehors de ce qui fait absolument consensus.</w:t>
      </w:r>
    </w:p>
  </w:footnote>
  <w:footnote w:id="18">
    <w:p w14:paraId="539729F5" w14:textId="77777777" w:rsidR="00AF1D98" w:rsidRPr="006D1EDC" w:rsidRDefault="00AF1D98" w:rsidP="00AF1D98">
      <w:pPr>
        <w:rPr>
          <w:sz w:val="20"/>
          <w:szCs w:val="20"/>
          <w:lang w:val="en-US"/>
        </w:rPr>
      </w:pPr>
      <w:r>
        <w:rPr>
          <w:vertAlign w:val="superscript"/>
        </w:rPr>
        <w:footnoteRef/>
      </w:r>
      <w:r w:rsidRPr="006D1EDC">
        <w:rPr>
          <w:sz w:val="20"/>
          <w:szCs w:val="20"/>
          <w:lang w:val="en-US"/>
        </w:rPr>
        <w:t xml:space="preserve"> </w:t>
      </w:r>
      <w:r w:rsidRPr="006D1EDC">
        <w:rPr>
          <w:rFonts w:ascii="Roboto" w:eastAsia="Roboto" w:hAnsi="Roboto" w:cs="Roboto"/>
          <w:color w:val="444746"/>
          <w:sz w:val="21"/>
          <w:szCs w:val="21"/>
          <w:highlight w:val="white"/>
          <w:lang w:val="en-US"/>
        </w:rPr>
        <w:t xml:space="preserve">Tlass Yassmine (2025, décembre 8). Security Sector Reform in Post-Assad Syria : Decentralization as a Foundation. Project on Middle East Political Science. </w:t>
      </w:r>
      <w:hyperlink r:id="rId1">
        <w:r w:rsidRPr="006D1EDC">
          <w:rPr>
            <w:rFonts w:ascii="Roboto" w:eastAsia="Roboto" w:hAnsi="Roboto" w:cs="Roboto"/>
            <w:color w:val="0B57D0"/>
            <w:sz w:val="21"/>
            <w:szCs w:val="21"/>
            <w:highlight w:val="white"/>
            <w:lang w:val="en-US"/>
          </w:rPr>
          <w:t>https://pomeps.org/the-security-sector-reform-in-post-assad-syria-decentralization-as-a-foundation</w:t>
        </w:r>
      </w:hyperlink>
    </w:p>
  </w:footnote>
  <w:footnote w:id="19">
    <w:p w14:paraId="69318BA5" w14:textId="77777777" w:rsidR="00AF1D98" w:rsidRDefault="00AF1D98" w:rsidP="00AF1D98">
      <w:pPr>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Taha Z., “L’islam sunnite dans la Syrie post-al-Assad : vers une nouvelle recomposition ?”, Revue </w:t>
      </w:r>
      <w:r>
        <w:rPr>
          <w:rFonts w:ascii="Times New Roman" w:eastAsia="Times New Roman" w:hAnsi="Times New Roman" w:cs="Times New Roman"/>
          <w:i/>
          <w:iCs/>
          <w:sz w:val="20"/>
          <w:szCs w:val="20"/>
        </w:rPr>
        <w:t>Moyen-Orient</w:t>
      </w:r>
      <w:r>
        <w:rPr>
          <w:rFonts w:ascii="Times New Roman" w:eastAsia="Times New Roman" w:hAnsi="Times New Roman" w:cs="Times New Roman"/>
          <w:sz w:val="20"/>
          <w:szCs w:val="20"/>
        </w:rPr>
        <w:t xml:space="preserve">, n°68 « Syrie : année zéro », 2025. </w:t>
      </w:r>
      <w:r>
        <w:rPr>
          <w:rFonts w:ascii="Times New Roman" w:eastAsia="Times New Roman" w:hAnsi="Times New Roman" w:cs="Times New Roman"/>
          <w:i/>
          <w:iCs/>
          <w:sz w:val="20"/>
          <w:szCs w:val="20"/>
        </w:rPr>
        <w:t>IISMM</w:t>
      </w:r>
    </w:p>
  </w:footnote>
  <w:footnote w:id="20">
    <w:p w14:paraId="2CC72B82" w14:textId="77777777" w:rsidR="00AF1D98" w:rsidRDefault="00AF1D98" w:rsidP="00AF1D98">
      <w:pPr>
        <w:pBdr>
          <w:top w:val="nil"/>
          <w:left w:val="nil"/>
          <w:bottom w:val="nil"/>
          <w:right w:val="nil"/>
          <w:between w:val="nil"/>
        </w:pBdr>
        <w:spacing w:after="140" w:line="276" w:lineRule="auto"/>
        <w:jc w:val="both"/>
        <w:rPr>
          <w:color w:val="000000"/>
        </w:rPr>
      </w:pPr>
      <w:r>
        <w:rPr>
          <w:vertAlign w:val="superscript"/>
        </w:rPr>
        <w:footnoteRef/>
      </w:r>
      <w:r>
        <w:rPr>
          <w:rFonts w:ascii="Times New Roman" w:eastAsia="Times New Roman" w:hAnsi="Times New Roman" w:cs="Times New Roman"/>
          <w:color w:val="000000"/>
          <w:sz w:val="20"/>
          <w:szCs w:val="20"/>
        </w:rPr>
        <w:tab/>
        <w:t xml:space="preserve"> Carep. (2025, octobre 16). Le Centre arabe publie une vaste enquête d’opinion inédite sur la Syrie. CAREP Paris. </w:t>
      </w:r>
      <w:hyperlink r:id="rId2">
        <w:r>
          <w:rPr>
            <w:rFonts w:ascii="Times New Roman" w:eastAsia="Times New Roman" w:hAnsi="Times New Roman" w:cs="Times New Roman"/>
            <w:color w:val="000080"/>
            <w:sz w:val="20"/>
            <w:szCs w:val="20"/>
            <w:u w:val="single"/>
          </w:rPr>
          <w:t>https://carep-paris.org/recherche/varia/le-centre-arabe-publie-une-vaste-enquete-dopinion-inedite-sur-la-syrie/</w:t>
        </w:r>
      </w:hyperlink>
    </w:p>
  </w:footnote>
  <w:footnote w:id="21">
    <w:p w14:paraId="6FDCE9A6" w14:textId="77777777" w:rsidR="00AF1D98" w:rsidRDefault="00AF1D98" w:rsidP="00AF1D98">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Haenni P. et Drevon J., “Du djihadisme au “suprémacisme sunnite” : comment la prise de l’Etat redéfinit la radicalité en Syrie.”, Revue </w:t>
      </w:r>
      <w:r>
        <w:rPr>
          <w:rFonts w:ascii="Times New Roman" w:eastAsia="Times New Roman" w:hAnsi="Times New Roman" w:cs="Times New Roman"/>
          <w:i/>
          <w:iCs/>
          <w:sz w:val="20"/>
          <w:szCs w:val="20"/>
        </w:rPr>
        <w:t>Moyen-Orient</w:t>
      </w:r>
      <w:r>
        <w:rPr>
          <w:rFonts w:ascii="Times New Roman" w:eastAsia="Times New Roman" w:hAnsi="Times New Roman" w:cs="Times New Roman"/>
          <w:sz w:val="20"/>
          <w:szCs w:val="20"/>
        </w:rPr>
        <w:t xml:space="preserve">, n°68 « Syrie : année zéro », 2025. </w:t>
      </w:r>
      <w:r>
        <w:rPr>
          <w:rFonts w:ascii="Times New Roman" w:eastAsia="Times New Roman" w:hAnsi="Times New Roman" w:cs="Times New Roman"/>
          <w:i/>
          <w:iCs/>
          <w:sz w:val="20"/>
          <w:szCs w:val="20"/>
        </w:rPr>
        <w:t>IISMM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1020"/>
    <w:multiLevelType w:val="hybridMultilevel"/>
    <w:tmpl w:val="9A3A08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8A0645"/>
    <w:multiLevelType w:val="multilevel"/>
    <w:tmpl w:val="56B6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4239D"/>
    <w:multiLevelType w:val="multilevel"/>
    <w:tmpl w:val="E3968D2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DCB519E"/>
    <w:multiLevelType w:val="multilevel"/>
    <w:tmpl w:val="C4F6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85B1F"/>
    <w:multiLevelType w:val="hybridMultilevel"/>
    <w:tmpl w:val="919C7972"/>
    <w:lvl w:ilvl="0" w:tplc="4356CE28">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A945E6B"/>
    <w:multiLevelType w:val="multilevel"/>
    <w:tmpl w:val="E3D4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931194"/>
    <w:multiLevelType w:val="hybridMultilevel"/>
    <w:tmpl w:val="C12412CA"/>
    <w:lvl w:ilvl="0" w:tplc="F280B336">
      <w:start w:val="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5371573B"/>
    <w:multiLevelType w:val="multilevel"/>
    <w:tmpl w:val="595C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D82A10"/>
    <w:multiLevelType w:val="hybridMultilevel"/>
    <w:tmpl w:val="5B22900A"/>
    <w:lvl w:ilvl="0" w:tplc="49E2E0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D845F30"/>
    <w:multiLevelType w:val="hybridMultilevel"/>
    <w:tmpl w:val="F54C0A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2A162B"/>
    <w:multiLevelType w:val="hybridMultilevel"/>
    <w:tmpl w:val="6DEE9B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BA0913"/>
    <w:multiLevelType w:val="multilevel"/>
    <w:tmpl w:val="98F8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900EF"/>
    <w:multiLevelType w:val="hybridMultilevel"/>
    <w:tmpl w:val="E7F680A4"/>
    <w:lvl w:ilvl="0" w:tplc="A920E19A">
      <w:start w:val="1"/>
      <w:numFmt w:val="bullet"/>
      <w:lvlText w:val=""/>
      <w:lvlJc w:val="left"/>
      <w:pPr>
        <w:ind w:left="1440" w:hanging="360"/>
      </w:pPr>
      <w:rPr>
        <w:rFonts w:ascii="Symbol" w:hAnsi="Symbol"/>
      </w:rPr>
    </w:lvl>
    <w:lvl w:ilvl="1" w:tplc="960838DC">
      <w:start w:val="1"/>
      <w:numFmt w:val="bullet"/>
      <w:lvlText w:val=""/>
      <w:lvlJc w:val="left"/>
      <w:pPr>
        <w:ind w:left="1440" w:hanging="360"/>
      </w:pPr>
      <w:rPr>
        <w:rFonts w:ascii="Symbol" w:hAnsi="Symbol"/>
      </w:rPr>
    </w:lvl>
    <w:lvl w:ilvl="2" w:tplc="C7A6DEB8">
      <w:start w:val="1"/>
      <w:numFmt w:val="bullet"/>
      <w:lvlText w:val=""/>
      <w:lvlJc w:val="left"/>
      <w:pPr>
        <w:ind w:left="1440" w:hanging="360"/>
      </w:pPr>
      <w:rPr>
        <w:rFonts w:ascii="Symbol" w:hAnsi="Symbol"/>
      </w:rPr>
    </w:lvl>
    <w:lvl w:ilvl="3" w:tplc="F9A826F6">
      <w:start w:val="1"/>
      <w:numFmt w:val="bullet"/>
      <w:lvlText w:val=""/>
      <w:lvlJc w:val="left"/>
      <w:pPr>
        <w:ind w:left="1440" w:hanging="360"/>
      </w:pPr>
      <w:rPr>
        <w:rFonts w:ascii="Symbol" w:hAnsi="Symbol"/>
      </w:rPr>
    </w:lvl>
    <w:lvl w:ilvl="4" w:tplc="27EAAA8A">
      <w:start w:val="1"/>
      <w:numFmt w:val="bullet"/>
      <w:lvlText w:val=""/>
      <w:lvlJc w:val="left"/>
      <w:pPr>
        <w:ind w:left="1440" w:hanging="360"/>
      </w:pPr>
      <w:rPr>
        <w:rFonts w:ascii="Symbol" w:hAnsi="Symbol"/>
      </w:rPr>
    </w:lvl>
    <w:lvl w:ilvl="5" w:tplc="1CA89F38">
      <w:start w:val="1"/>
      <w:numFmt w:val="bullet"/>
      <w:lvlText w:val=""/>
      <w:lvlJc w:val="left"/>
      <w:pPr>
        <w:ind w:left="1440" w:hanging="360"/>
      </w:pPr>
      <w:rPr>
        <w:rFonts w:ascii="Symbol" w:hAnsi="Symbol"/>
      </w:rPr>
    </w:lvl>
    <w:lvl w:ilvl="6" w:tplc="9FB8E5E6">
      <w:start w:val="1"/>
      <w:numFmt w:val="bullet"/>
      <w:lvlText w:val=""/>
      <w:lvlJc w:val="left"/>
      <w:pPr>
        <w:ind w:left="1440" w:hanging="360"/>
      </w:pPr>
      <w:rPr>
        <w:rFonts w:ascii="Symbol" w:hAnsi="Symbol"/>
      </w:rPr>
    </w:lvl>
    <w:lvl w:ilvl="7" w:tplc="2926EF94">
      <w:start w:val="1"/>
      <w:numFmt w:val="bullet"/>
      <w:lvlText w:val=""/>
      <w:lvlJc w:val="left"/>
      <w:pPr>
        <w:ind w:left="1440" w:hanging="360"/>
      </w:pPr>
      <w:rPr>
        <w:rFonts w:ascii="Symbol" w:hAnsi="Symbol"/>
      </w:rPr>
    </w:lvl>
    <w:lvl w:ilvl="8" w:tplc="944A4DE6">
      <w:start w:val="1"/>
      <w:numFmt w:val="bullet"/>
      <w:lvlText w:val=""/>
      <w:lvlJc w:val="left"/>
      <w:pPr>
        <w:ind w:left="1440" w:hanging="360"/>
      </w:pPr>
      <w:rPr>
        <w:rFonts w:ascii="Symbol" w:hAnsi="Symbol"/>
      </w:rPr>
    </w:lvl>
  </w:abstractNum>
  <w:abstractNum w:abstractNumId="13" w15:restartNumberingAfterBreak="0">
    <w:nsid w:val="79C54085"/>
    <w:multiLevelType w:val="hybridMultilevel"/>
    <w:tmpl w:val="BEEA9BDA"/>
    <w:lvl w:ilvl="0" w:tplc="6E2CE6D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9351963">
    <w:abstractNumId w:val="6"/>
  </w:num>
  <w:num w:numId="2" w16cid:durableId="1539705900">
    <w:abstractNumId w:val="13"/>
  </w:num>
  <w:num w:numId="3" w16cid:durableId="1340237247">
    <w:abstractNumId w:val="4"/>
  </w:num>
  <w:num w:numId="4" w16cid:durableId="770197077">
    <w:abstractNumId w:val="9"/>
  </w:num>
  <w:num w:numId="5" w16cid:durableId="1689866257">
    <w:abstractNumId w:val="10"/>
  </w:num>
  <w:num w:numId="6" w16cid:durableId="698773423">
    <w:abstractNumId w:val="0"/>
  </w:num>
  <w:num w:numId="7" w16cid:durableId="1826310737">
    <w:abstractNumId w:val="12"/>
  </w:num>
  <w:num w:numId="8" w16cid:durableId="234317741">
    <w:abstractNumId w:val="5"/>
  </w:num>
  <w:num w:numId="9" w16cid:durableId="1399471690">
    <w:abstractNumId w:val="3"/>
  </w:num>
  <w:num w:numId="10" w16cid:durableId="1627002371">
    <w:abstractNumId w:val="7"/>
  </w:num>
  <w:num w:numId="11" w16cid:durableId="1287657435">
    <w:abstractNumId w:val="1"/>
  </w:num>
  <w:num w:numId="12" w16cid:durableId="1980844502">
    <w:abstractNumId w:val="11"/>
  </w:num>
  <w:num w:numId="13" w16cid:durableId="584728527">
    <w:abstractNumId w:val="8"/>
  </w:num>
  <w:num w:numId="14" w16cid:durableId="711538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outline"/>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77A"/>
    <w:rsid w:val="00121A7E"/>
    <w:rsid w:val="00283CF8"/>
    <w:rsid w:val="00353088"/>
    <w:rsid w:val="003575E5"/>
    <w:rsid w:val="00483C23"/>
    <w:rsid w:val="005064B8"/>
    <w:rsid w:val="00651B28"/>
    <w:rsid w:val="00796592"/>
    <w:rsid w:val="007E2201"/>
    <w:rsid w:val="007F177A"/>
    <w:rsid w:val="008233DC"/>
    <w:rsid w:val="00847E5E"/>
    <w:rsid w:val="008D2357"/>
    <w:rsid w:val="008E3DBF"/>
    <w:rsid w:val="00A13501"/>
    <w:rsid w:val="00A44044"/>
    <w:rsid w:val="00AF1D98"/>
    <w:rsid w:val="00B426D5"/>
    <w:rsid w:val="00BE48DA"/>
    <w:rsid w:val="00C03350"/>
    <w:rsid w:val="00D47F8C"/>
    <w:rsid w:val="00D768F2"/>
    <w:rsid w:val="00E07C55"/>
    <w:rsid w:val="00E127B3"/>
    <w:rsid w:val="00ED6C17"/>
    <w:rsid w:val="00F278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A8CB4"/>
  <w15:chartTrackingRefBased/>
  <w15:docId w15:val="{81C63154-7A45-4E6B-A8DE-69B894CE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77A"/>
    <w:pPr>
      <w:spacing w:after="0" w:line="240" w:lineRule="auto"/>
    </w:pPr>
    <w:rPr>
      <w:sz w:val="24"/>
      <w:szCs w:val="24"/>
    </w:rPr>
  </w:style>
  <w:style w:type="paragraph" w:styleId="Titre1">
    <w:name w:val="heading 1"/>
    <w:basedOn w:val="Normal"/>
    <w:next w:val="Normal"/>
    <w:link w:val="Titre1Car"/>
    <w:uiPriority w:val="9"/>
    <w:qFormat/>
    <w:rsid w:val="007F177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F177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F177A"/>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7F177A"/>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Titre5">
    <w:name w:val="heading 5"/>
    <w:basedOn w:val="Normal"/>
    <w:next w:val="Normal"/>
    <w:link w:val="Titre5Car"/>
    <w:uiPriority w:val="9"/>
    <w:semiHidden/>
    <w:unhideWhenUsed/>
    <w:qFormat/>
    <w:rsid w:val="007F177A"/>
    <w:pPr>
      <w:keepNext/>
      <w:keepLines/>
      <w:spacing w:before="80" w:after="40" w:line="259" w:lineRule="auto"/>
      <w:outlineLvl w:val="4"/>
    </w:pPr>
    <w:rPr>
      <w:rFonts w:eastAsiaTheme="majorEastAsia" w:cstheme="majorBidi"/>
      <w:color w:val="0F4761" w:themeColor="accent1" w:themeShade="BF"/>
      <w:sz w:val="22"/>
      <w:szCs w:val="22"/>
    </w:rPr>
  </w:style>
  <w:style w:type="paragraph" w:styleId="Titre6">
    <w:name w:val="heading 6"/>
    <w:basedOn w:val="Normal"/>
    <w:next w:val="Normal"/>
    <w:link w:val="Titre6Car"/>
    <w:uiPriority w:val="9"/>
    <w:semiHidden/>
    <w:unhideWhenUsed/>
    <w:qFormat/>
    <w:rsid w:val="007F177A"/>
    <w:pPr>
      <w:keepNext/>
      <w:keepLines/>
      <w:spacing w:before="40" w:line="259" w:lineRule="auto"/>
      <w:outlineLvl w:val="5"/>
    </w:pPr>
    <w:rPr>
      <w:rFonts w:eastAsiaTheme="majorEastAsia" w:cstheme="majorBidi"/>
      <w:i/>
      <w:iCs/>
      <w:color w:val="595959" w:themeColor="text1" w:themeTint="A6"/>
      <w:sz w:val="22"/>
      <w:szCs w:val="22"/>
    </w:rPr>
  </w:style>
  <w:style w:type="paragraph" w:styleId="Titre7">
    <w:name w:val="heading 7"/>
    <w:basedOn w:val="Normal"/>
    <w:next w:val="Normal"/>
    <w:link w:val="Titre7Car"/>
    <w:uiPriority w:val="9"/>
    <w:semiHidden/>
    <w:unhideWhenUsed/>
    <w:qFormat/>
    <w:rsid w:val="007F177A"/>
    <w:pPr>
      <w:keepNext/>
      <w:keepLines/>
      <w:spacing w:before="40" w:line="259" w:lineRule="auto"/>
      <w:outlineLvl w:val="6"/>
    </w:pPr>
    <w:rPr>
      <w:rFonts w:eastAsiaTheme="majorEastAsia" w:cstheme="majorBidi"/>
      <w:color w:val="595959" w:themeColor="text1" w:themeTint="A6"/>
      <w:sz w:val="22"/>
      <w:szCs w:val="22"/>
    </w:rPr>
  </w:style>
  <w:style w:type="paragraph" w:styleId="Titre8">
    <w:name w:val="heading 8"/>
    <w:basedOn w:val="Normal"/>
    <w:next w:val="Normal"/>
    <w:link w:val="Titre8Car"/>
    <w:uiPriority w:val="9"/>
    <w:semiHidden/>
    <w:unhideWhenUsed/>
    <w:qFormat/>
    <w:rsid w:val="007F177A"/>
    <w:pPr>
      <w:keepNext/>
      <w:keepLines/>
      <w:spacing w:line="259" w:lineRule="auto"/>
      <w:outlineLvl w:val="7"/>
    </w:pPr>
    <w:rPr>
      <w:rFonts w:eastAsiaTheme="majorEastAsia" w:cstheme="majorBidi"/>
      <w:i/>
      <w:iCs/>
      <w:color w:val="272727" w:themeColor="text1" w:themeTint="D8"/>
      <w:sz w:val="22"/>
      <w:szCs w:val="22"/>
    </w:rPr>
  </w:style>
  <w:style w:type="paragraph" w:styleId="Titre9">
    <w:name w:val="heading 9"/>
    <w:basedOn w:val="Normal"/>
    <w:next w:val="Normal"/>
    <w:link w:val="Titre9Car"/>
    <w:uiPriority w:val="9"/>
    <w:semiHidden/>
    <w:unhideWhenUsed/>
    <w:qFormat/>
    <w:rsid w:val="007F177A"/>
    <w:pPr>
      <w:keepNext/>
      <w:keepLines/>
      <w:spacing w:line="259" w:lineRule="auto"/>
      <w:outlineLvl w:val="8"/>
    </w:pPr>
    <w:rPr>
      <w:rFonts w:eastAsiaTheme="majorEastAsia" w:cstheme="majorBidi"/>
      <w:color w:val="272727" w:themeColor="text1" w:themeTint="D8"/>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17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F17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F17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7F17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F17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F17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17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17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177A"/>
    <w:rPr>
      <w:rFonts w:eastAsiaTheme="majorEastAsia" w:cstheme="majorBidi"/>
      <w:color w:val="272727" w:themeColor="text1" w:themeTint="D8"/>
    </w:rPr>
  </w:style>
  <w:style w:type="paragraph" w:styleId="Titre">
    <w:name w:val="Title"/>
    <w:basedOn w:val="Normal"/>
    <w:next w:val="Normal"/>
    <w:link w:val="TitreCar"/>
    <w:uiPriority w:val="10"/>
    <w:qFormat/>
    <w:rsid w:val="007F177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F17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F177A"/>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17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F177A"/>
    <w:pPr>
      <w:spacing w:before="160" w:after="160" w:line="259" w:lineRule="auto"/>
      <w:jc w:val="center"/>
    </w:pPr>
    <w:rPr>
      <w:i/>
      <w:iCs/>
      <w:color w:val="404040" w:themeColor="text1" w:themeTint="BF"/>
      <w:sz w:val="22"/>
      <w:szCs w:val="22"/>
    </w:rPr>
  </w:style>
  <w:style w:type="character" w:customStyle="1" w:styleId="CitationCar">
    <w:name w:val="Citation Car"/>
    <w:basedOn w:val="Policepardfaut"/>
    <w:link w:val="Citation"/>
    <w:uiPriority w:val="29"/>
    <w:rsid w:val="007F177A"/>
    <w:rPr>
      <w:i/>
      <w:iCs/>
      <w:color w:val="404040" w:themeColor="text1" w:themeTint="BF"/>
    </w:rPr>
  </w:style>
  <w:style w:type="paragraph" w:styleId="Paragraphedeliste">
    <w:name w:val="List Paragraph"/>
    <w:basedOn w:val="Normal"/>
    <w:uiPriority w:val="34"/>
    <w:qFormat/>
    <w:rsid w:val="007F177A"/>
    <w:pPr>
      <w:spacing w:after="160" w:line="259" w:lineRule="auto"/>
      <w:ind w:left="720"/>
      <w:contextualSpacing/>
    </w:pPr>
    <w:rPr>
      <w:sz w:val="22"/>
      <w:szCs w:val="22"/>
    </w:rPr>
  </w:style>
  <w:style w:type="character" w:styleId="Accentuationintense">
    <w:name w:val="Intense Emphasis"/>
    <w:basedOn w:val="Policepardfaut"/>
    <w:uiPriority w:val="21"/>
    <w:qFormat/>
    <w:rsid w:val="007F177A"/>
    <w:rPr>
      <w:i/>
      <w:iCs/>
      <w:color w:val="0F4761" w:themeColor="accent1" w:themeShade="BF"/>
    </w:rPr>
  </w:style>
  <w:style w:type="paragraph" w:styleId="Citationintense">
    <w:name w:val="Intense Quote"/>
    <w:basedOn w:val="Normal"/>
    <w:next w:val="Normal"/>
    <w:link w:val="CitationintenseCar"/>
    <w:uiPriority w:val="30"/>
    <w:qFormat/>
    <w:rsid w:val="007F177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CitationintenseCar">
    <w:name w:val="Citation intense Car"/>
    <w:basedOn w:val="Policepardfaut"/>
    <w:link w:val="Citationintense"/>
    <w:uiPriority w:val="30"/>
    <w:rsid w:val="007F177A"/>
    <w:rPr>
      <w:i/>
      <w:iCs/>
      <w:color w:val="0F4761" w:themeColor="accent1" w:themeShade="BF"/>
    </w:rPr>
  </w:style>
  <w:style w:type="character" w:styleId="Rfrenceintense">
    <w:name w:val="Intense Reference"/>
    <w:basedOn w:val="Policepardfaut"/>
    <w:uiPriority w:val="32"/>
    <w:qFormat/>
    <w:rsid w:val="007F177A"/>
    <w:rPr>
      <w:b/>
      <w:bCs/>
      <w:smallCaps/>
      <w:color w:val="0F4761" w:themeColor="accent1" w:themeShade="BF"/>
      <w:spacing w:val="5"/>
    </w:rPr>
  </w:style>
  <w:style w:type="paragraph" w:styleId="Notedebasdepage">
    <w:name w:val="footnote text"/>
    <w:aliases w:val="Note de bas de page Car Car,Note de bas de page Car Car Car Car Car Car Car,Note de bas de page Car Car Car Car Car Car Car Car Car Car Car Car Car Car Car Car Car Car Car Car Car Car Car Car,Note de bas de page H,Fußnote,Char Char2"/>
    <w:basedOn w:val="Normal"/>
    <w:link w:val="NotedebasdepageCar"/>
    <w:uiPriority w:val="99"/>
    <w:unhideWhenUsed/>
    <w:qFormat/>
    <w:rsid w:val="007F177A"/>
    <w:rPr>
      <w:kern w:val="0"/>
      <w:sz w:val="20"/>
      <w:szCs w:val="20"/>
      <w14:ligatures w14:val="none"/>
    </w:rPr>
  </w:style>
  <w:style w:type="character" w:customStyle="1" w:styleId="NotedebasdepageCar">
    <w:name w:val="Note de bas de page Car"/>
    <w:aliases w:val="Note de bas de page Car Car Car,Note de bas de page Car Car Car Car Car Car Car Car,Note de bas de page Car Car Car Car Car Car Car Car Car Car Car Car Car Car Car Car Car Car Car Car Car Car Car Car Car,Note de bas de page H Car"/>
    <w:basedOn w:val="Policepardfaut"/>
    <w:link w:val="Notedebasdepage"/>
    <w:uiPriority w:val="99"/>
    <w:qFormat/>
    <w:rsid w:val="007F177A"/>
    <w:rPr>
      <w:kern w:val="0"/>
      <w:sz w:val="20"/>
      <w:szCs w:val="20"/>
      <w14:ligatures w14:val="none"/>
    </w:rPr>
  </w:style>
  <w:style w:type="character" w:styleId="Appelnotedebasdep">
    <w:name w:val="footnote reference"/>
    <w:aliases w:val="Marque note bas de page,[0],Appel note de bas de p,Ref. nota de rodapé Henrique,Footnote Reference.SES,16 Point,Superscript 6 Point,Superscript 6 Point + 11 ...,Ref,de nota al pie,EN Footnote Reference,Times 10 Point,fr"/>
    <w:basedOn w:val="Policepardfaut"/>
    <w:uiPriority w:val="99"/>
    <w:unhideWhenUsed/>
    <w:qFormat/>
    <w:rsid w:val="007F177A"/>
    <w:rPr>
      <w:vertAlign w:val="superscript"/>
    </w:rPr>
  </w:style>
  <w:style w:type="paragraph" w:styleId="Commentaire">
    <w:name w:val="annotation text"/>
    <w:basedOn w:val="Normal"/>
    <w:link w:val="CommentaireCar"/>
    <w:uiPriority w:val="99"/>
    <w:unhideWhenUsed/>
    <w:rsid w:val="00283CF8"/>
    <w:rPr>
      <w:rFonts w:ascii="Arial" w:eastAsia="Arial" w:hAnsi="Arial" w:cs="Arial"/>
      <w:kern w:val="0"/>
      <w:sz w:val="20"/>
      <w:szCs w:val="20"/>
      <w:lang w:val="en" w:eastAsia="fr-FR"/>
      <w14:ligatures w14:val="none"/>
    </w:rPr>
  </w:style>
  <w:style w:type="character" w:customStyle="1" w:styleId="CommentaireCar">
    <w:name w:val="Commentaire Car"/>
    <w:basedOn w:val="Policepardfaut"/>
    <w:link w:val="Commentaire"/>
    <w:uiPriority w:val="99"/>
    <w:rsid w:val="00283CF8"/>
    <w:rPr>
      <w:rFonts w:ascii="Arial" w:eastAsia="Arial" w:hAnsi="Arial" w:cs="Arial"/>
      <w:kern w:val="0"/>
      <w:sz w:val="20"/>
      <w:szCs w:val="20"/>
      <w:lang w:val="en" w:eastAsia="fr-FR"/>
      <w14:ligatures w14:val="none"/>
    </w:rPr>
  </w:style>
  <w:style w:type="character" w:styleId="Marquedecommentaire">
    <w:name w:val="annotation reference"/>
    <w:basedOn w:val="Policepardfaut"/>
    <w:uiPriority w:val="99"/>
    <w:semiHidden/>
    <w:unhideWhenUsed/>
    <w:rsid w:val="00283CF8"/>
    <w:rPr>
      <w:sz w:val="16"/>
      <w:szCs w:val="16"/>
    </w:rPr>
  </w:style>
  <w:style w:type="character" w:customStyle="1" w:styleId="apple-converted-space">
    <w:name w:val="apple-converted-space"/>
    <w:basedOn w:val="Policepardfaut"/>
    <w:rsid w:val="00283CF8"/>
  </w:style>
  <w:style w:type="paragraph" w:styleId="Rvision">
    <w:name w:val="Revision"/>
    <w:hidden/>
    <w:uiPriority w:val="99"/>
    <w:semiHidden/>
    <w:rsid w:val="00283CF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Gouvernorat_d%27Ale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wikipedia.org/wiki/Gouvernorat_d%27Idleb" TargetMode="External"/><Relationship Id="rId12" Type="http://schemas.openxmlformats.org/officeDocument/2006/relationships/hyperlink" Target="https://carep-paris.org/recherche/etat-societe-religion/repenser-letat-en-syrie-pluralisme-justice-et-reconstruction-politiq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ep-paris.org/recherche/varia/le-centre-arabe-publie-une-vaste-enquete-dopinion-inedite-sur-la-syrie/" TargetMode="External"/><Relationship Id="rId5" Type="http://schemas.openxmlformats.org/officeDocument/2006/relationships/footnotes" Target="footnotes.xml"/><Relationship Id="rId10" Type="http://schemas.openxmlformats.org/officeDocument/2006/relationships/hyperlink" Target="https://fr.wikipedia.org/wiki/Gouvernorat_de_Lattaqui%C3%A9" TargetMode="External"/><Relationship Id="rId4" Type="http://schemas.openxmlformats.org/officeDocument/2006/relationships/webSettings" Target="webSettings.xml"/><Relationship Id="rId9" Type="http://schemas.openxmlformats.org/officeDocument/2006/relationships/hyperlink" Target="https://fr.wikipedia.org/wiki/Gouvernorat_de_Ham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arep-paris.org/recherche/varia/le-centre-arabe-publie-une-vaste-enquete-dopinion-inedite-sur-la-syrie/" TargetMode="External"/><Relationship Id="rId1" Type="http://schemas.openxmlformats.org/officeDocument/2006/relationships/hyperlink" Target="https://pomeps.org/the-security-sector-reform-in-post-assad-syria-decentralization-as-a-found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12609</Words>
  <Characters>71621</Characters>
  <Application>Microsoft Office Word</Application>
  <DocSecurity>0</DocSecurity>
  <Lines>1136</Lines>
  <Paragraphs>470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Gilles Dorronsoro</cp:lastModifiedBy>
  <cp:revision>14</cp:revision>
  <dcterms:created xsi:type="dcterms:W3CDTF">2026-03-10T06:15:00Z</dcterms:created>
  <dcterms:modified xsi:type="dcterms:W3CDTF">2026-04-14T07:01:00Z</dcterms:modified>
</cp:coreProperties>
</file>