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DC7A1" w14:textId="19CA8CC7" w:rsidR="00F21412" w:rsidRPr="00F21412" w:rsidRDefault="00526C89" w:rsidP="00EF4583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  <w:r w:rsidRPr="00F21412">
        <w:rPr>
          <w:rFonts w:ascii="Palatino" w:hAnsi="Palatino" w:cs="AdvOT627770f5.B"/>
          <w:color w:val="333333"/>
          <w:sz w:val="28"/>
          <w:szCs w:val="28"/>
        </w:rPr>
        <w:t>Droit des</w:t>
      </w:r>
      <w:r w:rsidR="00F21412" w:rsidRPr="00F21412">
        <w:rPr>
          <w:rFonts w:ascii="Palatino" w:hAnsi="Palatino" w:cs="AdvOT627770f5.B"/>
          <w:color w:val="333333"/>
          <w:sz w:val="28"/>
          <w:szCs w:val="28"/>
        </w:rPr>
        <w:t xml:space="preserve"> obligations I (</w:t>
      </w:r>
      <w:r w:rsidR="00F2504F">
        <w:rPr>
          <w:rFonts w:ascii="Palatino" w:hAnsi="Palatino" w:cs="AdvOT627770f5.B"/>
          <w:color w:val="333333"/>
          <w:sz w:val="28"/>
          <w:szCs w:val="28"/>
        </w:rPr>
        <w:t>C</w:t>
      </w:r>
      <w:r w:rsidRPr="00F21412">
        <w:rPr>
          <w:rFonts w:ascii="Palatino" w:hAnsi="Palatino" w:cs="AdvOT627770f5.B"/>
          <w:color w:val="333333"/>
          <w:sz w:val="28"/>
          <w:szCs w:val="28"/>
        </w:rPr>
        <w:t>ontrats</w:t>
      </w:r>
      <w:r w:rsidR="00F21412" w:rsidRPr="00F21412">
        <w:rPr>
          <w:rFonts w:ascii="Palatino" w:hAnsi="Palatino" w:cs="AdvOT627770f5.B"/>
          <w:color w:val="333333"/>
          <w:sz w:val="28"/>
          <w:szCs w:val="28"/>
        </w:rPr>
        <w:t>)</w:t>
      </w:r>
    </w:p>
    <w:p w14:paraId="45DBAA6B" w14:textId="4849BA72" w:rsidR="00526C89" w:rsidRPr="00F21412" w:rsidRDefault="00F21412" w:rsidP="00EF4583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  <w:r w:rsidRPr="00F21412">
        <w:rPr>
          <w:rFonts w:ascii="Palatino" w:hAnsi="Palatino" w:cs="AdvOT627770f5.B"/>
          <w:color w:val="333333"/>
          <w:sz w:val="28"/>
          <w:szCs w:val="28"/>
        </w:rPr>
        <w:t>Plan du cours</w:t>
      </w:r>
      <w:r w:rsidR="00331279">
        <w:rPr>
          <w:rFonts w:ascii="Palatino" w:hAnsi="Palatino" w:cs="AdvOT627770f5.B"/>
          <w:color w:val="333333"/>
          <w:sz w:val="28"/>
          <w:szCs w:val="28"/>
        </w:rPr>
        <w:t xml:space="preserve"> </w:t>
      </w:r>
      <w:r w:rsidR="00331279" w:rsidRPr="00F21412">
        <w:rPr>
          <w:rFonts w:ascii="Palatino" w:hAnsi="Palatino" w:cs="AdvOT627770f5.B"/>
          <w:color w:val="333333"/>
          <w:sz w:val="28"/>
          <w:szCs w:val="28"/>
        </w:rPr>
        <w:t>20</w:t>
      </w:r>
      <w:r w:rsidR="00331279">
        <w:rPr>
          <w:rFonts w:ascii="Palatino" w:hAnsi="Palatino" w:cs="AdvOT627770f5.B"/>
          <w:color w:val="333333"/>
          <w:sz w:val="28"/>
          <w:szCs w:val="28"/>
        </w:rPr>
        <w:t>2</w:t>
      </w:r>
      <w:r w:rsidR="007679C4">
        <w:rPr>
          <w:rFonts w:ascii="Palatino" w:hAnsi="Palatino" w:cs="AdvOT627770f5.B"/>
          <w:color w:val="333333"/>
          <w:sz w:val="28"/>
          <w:szCs w:val="28"/>
        </w:rPr>
        <w:t>6</w:t>
      </w:r>
      <w:r w:rsidR="00331279" w:rsidRPr="00F21412">
        <w:rPr>
          <w:rFonts w:ascii="Palatino" w:hAnsi="Palatino" w:cs="AdvOT627770f5.B"/>
          <w:color w:val="333333"/>
          <w:sz w:val="28"/>
          <w:szCs w:val="28"/>
        </w:rPr>
        <w:t>-202</w:t>
      </w:r>
      <w:r w:rsidR="007679C4">
        <w:rPr>
          <w:rFonts w:ascii="Palatino" w:hAnsi="Palatino" w:cs="AdvOT627770f5.B"/>
          <w:color w:val="333333"/>
          <w:sz w:val="28"/>
          <w:szCs w:val="28"/>
        </w:rPr>
        <w:t>7</w:t>
      </w:r>
    </w:p>
    <w:p w14:paraId="23E0056D" w14:textId="1725AE27" w:rsidR="00A544C4" w:rsidRPr="00F21412" w:rsidRDefault="00526C89" w:rsidP="00EF4583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  <w:r w:rsidRPr="00F21412">
        <w:rPr>
          <w:rFonts w:ascii="Palatino" w:hAnsi="Palatino" w:cs="AdvOT627770f5.B"/>
          <w:color w:val="333333"/>
          <w:sz w:val="28"/>
          <w:szCs w:val="28"/>
        </w:rPr>
        <w:t>M. le professeur Bertrand Fages</w:t>
      </w:r>
    </w:p>
    <w:p w14:paraId="1D119807" w14:textId="764A74C4" w:rsidR="009B1CA4" w:rsidRDefault="00526C89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  <w:r w:rsidRPr="00F21412">
        <w:rPr>
          <w:rFonts w:ascii="Palatino" w:hAnsi="Palatino" w:cs="AdvOT627770f5.B"/>
          <w:color w:val="333333"/>
          <w:sz w:val="28"/>
          <w:szCs w:val="28"/>
        </w:rPr>
        <w:t xml:space="preserve">L2 </w:t>
      </w:r>
      <w:r w:rsidR="007829FF">
        <w:rPr>
          <w:rFonts w:ascii="Palatino" w:hAnsi="Palatino" w:cs="AdvOT627770f5.B"/>
          <w:color w:val="333333"/>
          <w:sz w:val="28"/>
          <w:szCs w:val="28"/>
        </w:rPr>
        <w:t xml:space="preserve">Droit </w:t>
      </w:r>
      <w:r w:rsidR="00331279">
        <w:rPr>
          <w:rFonts w:ascii="Palatino" w:hAnsi="Palatino" w:cs="AdvOT627770f5.B"/>
          <w:color w:val="333333"/>
          <w:sz w:val="28"/>
          <w:szCs w:val="28"/>
        </w:rPr>
        <w:t>S</w:t>
      </w:r>
      <w:r w:rsidR="007829FF">
        <w:rPr>
          <w:rFonts w:ascii="Palatino" w:hAnsi="Palatino" w:cs="AdvOT627770f5.B"/>
          <w:color w:val="333333"/>
          <w:sz w:val="28"/>
          <w:szCs w:val="28"/>
        </w:rPr>
        <w:t xml:space="preserve">emestre </w:t>
      </w:r>
      <w:r w:rsidR="00331279">
        <w:rPr>
          <w:rFonts w:ascii="Palatino" w:hAnsi="Palatino" w:cs="AdvOT627770f5.B"/>
          <w:color w:val="333333"/>
          <w:sz w:val="28"/>
          <w:szCs w:val="28"/>
        </w:rPr>
        <w:t xml:space="preserve">1 </w:t>
      </w:r>
      <w:r w:rsidRPr="00F21412">
        <w:rPr>
          <w:rFonts w:ascii="Palatino" w:hAnsi="Palatino" w:cs="AdvOT627770f5.B"/>
          <w:color w:val="333333"/>
          <w:sz w:val="28"/>
          <w:szCs w:val="28"/>
        </w:rPr>
        <w:t>G</w:t>
      </w:r>
      <w:r w:rsidR="007829FF">
        <w:rPr>
          <w:rFonts w:ascii="Palatino" w:hAnsi="Palatino" w:cs="AdvOT627770f5.B"/>
          <w:color w:val="333333"/>
          <w:sz w:val="28"/>
          <w:szCs w:val="28"/>
        </w:rPr>
        <w:t xml:space="preserve">roupe </w:t>
      </w:r>
      <w:r w:rsidR="003D54EA">
        <w:rPr>
          <w:rFonts w:ascii="Palatino" w:hAnsi="Palatino" w:cs="AdvOT627770f5.B"/>
          <w:color w:val="333333"/>
          <w:sz w:val="28"/>
          <w:szCs w:val="28"/>
        </w:rPr>
        <w:t>B</w:t>
      </w:r>
    </w:p>
    <w:p w14:paraId="4D814D49" w14:textId="0AC8D9BB" w:rsidR="00974A2B" w:rsidRDefault="00974A2B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</w:p>
    <w:p w14:paraId="56558B30" w14:textId="77777777" w:rsidR="00974A2B" w:rsidRDefault="00974A2B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</w:p>
    <w:p w14:paraId="3FAEBFDC" w14:textId="2E032EC5" w:rsidR="00974A2B" w:rsidRDefault="00974A2B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</w:p>
    <w:p w14:paraId="4B25F8DB" w14:textId="77777777" w:rsidR="00974A2B" w:rsidRDefault="00974A2B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</w:p>
    <w:p w14:paraId="55C1D082" w14:textId="77777777" w:rsidR="00F21412" w:rsidRPr="00F21412" w:rsidRDefault="00F21412" w:rsidP="00F21412">
      <w:pPr>
        <w:autoSpaceDE w:val="0"/>
        <w:autoSpaceDN w:val="0"/>
        <w:adjustRightInd w:val="0"/>
        <w:spacing w:after="0" w:line="240" w:lineRule="auto"/>
        <w:jc w:val="center"/>
        <w:rPr>
          <w:rFonts w:ascii="Palatino" w:hAnsi="Palatino" w:cs="AdvOT627770f5.B"/>
          <w:color w:val="333333"/>
          <w:sz w:val="28"/>
          <w:szCs w:val="28"/>
        </w:rPr>
      </w:pPr>
    </w:p>
    <w:p w14:paraId="124C859D" w14:textId="63DCE895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b/>
          <w:color w:val="000000"/>
          <w:sz w:val="18"/>
          <w:szCs w:val="18"/>
        </w:rPr>
      </w:pPr>
      <w:r w:rsidRPr="00F21412">
        <w:rPr>
          <w:rFonts w:ascii="Palatino" w:hAnsi="Palatino" w:cs="AdvOT870b30dc"/>
          <w:b/>
          <w:color w:val="000000"/>
          <w:sz w:val="21"/>
          <w:szCs w:val="21"/>
        </w:rPr>
        <w:t>Introduction générale</w:t>
      </w:r>
      <w:r w:rsidR="009B1CA4" w:rsidRPr="00F21412">
        <w:rPr>
          <w:rFonts w:ascii="Palatino" w:hAnsi="Palatino" w:cs="AdvOT870b30dc"/>
          <w:b/>
          <w:color w:val="000000"/>
          <w:sz w:val="21"/>
          <w:szCs w:val="21"/>
        </w:rPr>
        <w:t xml:space="preserve"> au droit des obligations</w:t>
      </w:r>
    </w:p>
    <w:p w14:paraId="2ECD4E57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1CAE9853" w14:textId="2453681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La notion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obligation</w:t>
      </w:r>
    </w:p>
    <w:p w14:paraId="40B97003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1167C25" w14:textId="74FA486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Les sources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obligations</w:t>
      </w:r>
    </w:p>
    <w:p w14:paraId="33B26FD2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6A58909" w14:textId="250B0B0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3. Le droit des obligations</w:t>
      </w:r>
    </w:p>
    <w:p w14:paraId="1786DFD6" w14:textId="77777777" w:rsidR="00A544C4" w:rsidRPr="00F21412" w:rsidRDefault="00A544C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  <w:sz w:val="24"/>
          <w:szCs w:val="24"/>
        </w:rPr>
      </w:pPr>
    </w:p>
    <w:p w14:paraId="0791D3AE" w14:textId="3B6D826A" w:rsidR="009B1CA4" w:rsidRPr="00F21412" w:rsidRDefault="009B1CA4" w:rsidP="009B1CA4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b/>
          <w:color w:val="000000"/>
          <w:sz w:val="18"/>
          <w:szCs w:val="18"/>
        </w:rPr>
      </w:pPr>
      <w:r w:rsidRPr="00F21412">
        <w:rPr>
          <w:rFonts w:ascii="Palatino" w:hAnsi="Palatino" w:cs="AdvOT870b30dc"/>
          <w:b/>
          <w:color w:val="000000"/>
          <w:sz w:val="21"/>
          <w:szCs w:val="21"/>
        </w:rPr>
        <w:t>Introduction au droit des contrats</w:t>
      </w:r>
    </w:p>
    <w:p w14:paraId="3133025F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BC00249" w14:textId="5F789D2F" w:rsidR="00A544C4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Notion de contrat</w:t>
      </w:r>
    </w:p>
    <w:p w14:paraId="3D2407C0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60247273" w14:textId="0CEEB86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Classification des contrats</w:t>
      </w:r>
    </w:p>
    <w:p w14:paraId="71478E00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Classification des contrats quant à leur réglementation</w:t>
      </w:r>
    </w:p>
    <w:p w14:paraId="611F893D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Classification des contrats quant à leur formation</w:t>
      </w:r>
    </w:p>
    <w:p w14:paraId="11E0D117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3. Classification des contrats quant à leurs effets</w:t>
      </w:r>
    </w:p>
    <w:p w14:paraId="7C675C78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8C2105B" w14:textId="2A4A388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3. Le droit commun du contrat</w:t>
      </w:r>
    </w:p>
    <w:p w14:paraId="47FA6B51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Délimitation</w:t>
      </w:r>
    </w:p>
    <w:p w14:paraId="6CF3F0CB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Dispositions liminaires</w:t>
      </w:r>
    </w:p>
    <w:p w14:paraId="17098917" w14:textId="1814E656" w:rsidR="009B1CA4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74D53C51" w14:textId="77777777" w:rsidR="00F21412" w:rsidRP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65698AF0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b/>
          <w:color w:val="000000"/>
          <w:sz w:val="18"/>
          <w:szCs w:val="18"/>
        </w:rPr>
      </w:pPr>
      <w:r w:rsidRPr="00F21412">
        <w:rPr>
          <w:rFonts w:ascii="Palatino" w:hAnsi="Palatino" w:cs="AdvOT627770f5.B"/>
          <w:b/>
          <w:color w:val="000000"/>
        </w:rPr>
        <w:t>TITRE 1. La formation du contrat</w:t>
      </w:r>
    </w:p>
    <w:p w14:paraId="74A5C9D6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1D04084F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  <w:u w:val="single"/>
        </w:rPr>
      </w:pPr>
      <w:r w:rsidRPr="00F21412">
        <w:rPr>
          <w:rFonts w:ascii="Palatino" w:hAnsi="Palatino" w:cs="AdvOT627770f5.B"/>
          <w:color w:val="000000"/>
          <w:u w:val="single"/>
        </w:rPr>
        <w:t>SOUS-TITRE 1. Le processus de conclusion</w:t>
      </w:r>
    </w:p>
    <w:p w14:paraId="36E3E3E6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3EBF807D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>Chapitre 1. La phase de négociation</w:t>
      </w:r>
    </w:p>
    <w:p w14:paraId="60E02F8D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53B10151" w14:textId="0768F73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Contrats non négociés</w:t>
      </w:r>
    </w:p>
    <w:p w14:paraId="2555CE01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88C6C53" w14:textId="138D0DC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Contrats négociés</w:t>
      </w:r>
    </w:p>
    <w:p w14:paraId="4E247535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Les négociations précontractuelles</w:t>
      </w:r>
    </w:p>
    <w:p w14:paraId="67B14FEA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Le déroulement des négociations</w:t>
      </w:r>
    </w:p>
    <w:p w14:paraId="18539FCC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La rupture des négociations</w:t>
      </w:r>
    </w:p>
    <w:p w14:paraId="5B261C24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Les avant-contrats</w:t>
      </w:r>
    </w:p>
    <w:p w14:paraId="60127269" w14:textId="77777777" w:rsidR="00FF08AE" w:rsidRPr="00F21412" w:rsidRDefault="00EF4583" w:rsidP="00EF4583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</w:t>
      </w:r>
      <w:r w:rsidR="00F602D5" w:rsidRPr="00F21412">
        <w:rPr>
          <w:rFonts w:ascii="Palatino" w:hAnsi="Palatino" w:cs="AdvOT870b30dc"/>
          <w:color w:val="000000"/>
          <w:sz w:val="20"/>
          <w:szCs w:val="20"/>
        </w:rPr>
        <w:t>Le pacte de préférence</w:t>
      </w:r>
    </w:p>
    <w:p w14:paraId="3EBBFE1C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Les promesses de contrat</w:t>
      </w:r>
    </w:p>
    <w:p w14:paraId="5FAAAEB1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4D105B74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lastRenderedPageBreak/>
        <w:t>Chapitre 2. Le choix et la capacité des contractants</w:t>
      </w:r>
    </w:p>
    <w:p w14:paraId="34E9C11A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7913E78" w14:textId="67CCBFD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Le droit de choisir son cocontractant</w:t>
      </w:r>
    </w:p>
    <w:p w14:paraId="6A164673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Principe</w:t>
      </w:r>
    </w:p>
    <w:p w14:paraId="7399A734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Limites</w:t>
      </w:r>
    </w:p>
    <w:p w14:paraId="0A8CAE32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68B078A3" w14:textId="06A1DC4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La capacité de contracter</w:t>
      </w:r>
    </w:p>
    <w:p w14:paraId="6F3A663C" w14:textId="77777777" w:rsidR="00F21412" w:rsidRP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55110411" w14:textId="77777777" w:rsidR="00F602D5" w:rsidRPr="00F21412" w:rsidRDefault="00F602D5" w:rsidP="00F21412">
      <w:pPr>
        <w:keepNext/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>Chapitre 3. Le consentement</w:t>
      </w:r>
    </w:p>
    <w:p w14:paraId="679A9106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8D5EDE0" w14:textId="52036731" w:rsidR="00F602D5" w:rsidRPr="00F21412" w:rsidRDefault="00F602D5" w:rsidP="00F21412">
      <w:pPr>
        <w:keepNext/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échange des consentements</w:t>
      </w:r>
    </w:p>
    <w:p w14:paraId="12135ADB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La théorie classique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offre et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acceptation</w:t>
      </w:r>
    </w:p>
    <w:p w14:paraId="0B914B0B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offre</w:t>
      </w:r>
    </w:p>
    <w:p w14:paraId="5FF8A369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1. Notion</w:t>
      </w:r>
    </w:p>
    <w:p w14:paraId="60A1D8BF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2. Régime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offre avant son acceptation</w:t>
      </w:r>
    </w:p>
    <w:p w14:paraId="3C04FCEA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acceptation</w:t>
      </w:r>
    </w:p>
    <w:p w14:paraId="26677B92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Le processus de conclusion des contrats électroniques</w:t>
      </w:r>
    </w:p>
    <w:p w14:paraId="6AFC4C5B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3. Le mécanisme de la représentation</w:t>
      </w:r>
    </w:p>
    <w:p w14:paraId="6C0A215D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4. La promesse de porte-fort</w:t>
      </w:r>
    </w:p>
    <w:p w14:paraId="5BAED29D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Porte-fort de ratification</w:t>
      </w:r>
    </w:p>
    <w:p w14:paraId="5CD2A52E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Porte-fort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exécution </w:t>
      </w:r>
    </w:p>
    <w:p w14:paraId="406D9E9D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1817AEE1" w14:textId="2E71022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2. La protection des consentements </w:t>
      </w:r>
    </w:p>
    <w:p w14:paraId="5F9CA70F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Mesures préventives </w:t>
      </w:r>
    </w:p>
    <w:p w14:paraId="17C1C291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information des contractants </w:t>
      </w:r>
    </w:p>
    <w:p w14:paraId="7F51FF87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obligation précontractuelle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information </w:t>
      </w:r>
    </w:p>
    <w:p w14:paraId="07C4C97E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2. Le formalisme informatif </w:t>
      </w:r>
    </w:p>
    <w:p w14:paraId="2372AC89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La réflexion des contractants </w:t>
      </w:r>
    </w:p>
    <w:p w14:paraId="0151BB5F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Vices du consentement </w:t>
      </w:r>
    </w:p>
    <w:p w14:paraId="378DD672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erreur </w:t>
      </w:r>
    </w:p>
    <w:p w14:paraId="5768B053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1. Erreurs prises en compte </w:t>
      </w:r>
    </w:p>
    <w:p w14:paraId="66414E72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2. Erreurs indifférentes </w:t>
      </w:r>
    </w:p>
    <w:p w14:paraId="726B53A3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Le dol </w:t>
      </w:r>
    </w:p>
    <w:p w14:paraId="1A748775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C. La violence </w:t>
      </w:r>
    </w:p>
    <w:p w14:paraId="4701FC97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2E303928" w14:textId="2756C69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</w:t>
      </w:r>
      <w:r w:rsidR="00F61296" w:rsidRPr="00F21412">
        <w:rPr>
          <w:rFonts w:ascii="Palatino" w:hAnsi="Palatino" w:cs="AdvOT627770f5.B"/>
          <w:color w:val="000000"/>
        </w:rPr>
        <w:t>4</w:t>
      </w:r>
      <w:r w:rsidRPr="00F21412">
        <w:rPr>
          <w:rFonts w:ascii="Palatino" w:hAnsi="Palatino" w:cs="AdvOT627770f5.B"/>
          <w:color w:val="000000"/>
        </w:rPr>
        <w:t>. Les contrats assortis d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 xml:space="preserve">une condition </w:t>
      </w:r>
      <w:r w:rsidR="007679C4">
        <w:rPr>
          <w:rFonts w:ascii="Palatino" w:hAnsi="Palatino" w:cs="AdvOT627770f5.B"/>
          <w:color w:val="000000"/>
        </w:rPr>
        <w:t>[non traité]</w:t>
      </w:r>
    </w:p>
    <w:p w14:paraId="3EB13D3B" w14:textId="77777777" w:rsidR="00F61296" w:rsidRPr="00F21412" w:rsidRDefault="00F61296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0B0D8B93" w14:textId="79F1720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  <w:u w:val="single"/>
        </w:rPr>
      </w:pPr>
      <w:r w:rsidRPr="00F21412">
        <w:rPr>
          <w:rFonts w:ascii="Palatino" w:hAnsi="Palatino" w:cs="AdvOT627770f5.B"/>
          <w:color w:val="000000"/>
          <w:u w:val="single"/>
        </w:rPr>
        <w:t xml:space="preserve">SOUS-TITRE 2. La validité du contenu contractuel </w:t>
      </w:r>
    </w:p>
    <w:p w14:paraId="3244019A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21B04A4A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>Chapitre 1. L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>exigence d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 xml:space="preserve">un contenu licite </w:t>
      </w:r>
    </w:p>
    <w:p w14:paraId="43B56D0A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31EC218" w14:textId="486AC93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1. Les règles impératives à respecter </w:t>
      </w:r>
    </w:p>
    <w:p w14:paraId="4E08B197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Les droits fondamentaux </w:t>
      </w:r>
    </w:p>
    <w:p w14:paraId="3E91C167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ordre public </w:t>
      </w:r>
    </w:p>
    <w:p w14:paraId="78B56B33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Quel contenu ? </w:t>
      </w:r>
    </w:p>
    <w:p w14:paraId="62DE7B1C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Quelle marge de </w:t>
      </w:r>
      <w:r w:rsidR="00EF4583" w:rsidRPr="00F21412">
        <w:rPr>
          <w:rFonts w:ascii="Palatino" w:hAnsi="Palatino" w:cs="AdvOT870b30dc"/>
          <w:color w:val="000000"/>
          <w:sz w:val="20"/>
          <w:szCs w:val="20"/>
        </w:rPr>
        <w:t>man</w:t>
      </w:r>
      <w:r w:rsidR="00EF4583" w:rsidRPr="00F21412">
        <w:rPr>
          <w:rFonts w:ascii="Palatino" w:hAnsi="Palatino" w:cs="AdvOT870b30dc+01"/>
          <w:color w:val="000000"/>
          <w:sz w:val="20"/>
          <w:szCs w:val="20"/>
        </w:rPr>
        <w:t>œu</w:t>
      </w:r>
      <w:r w:rsidR="00EF4583" w:rsidRPr="00F21412">
        <w:rPr>
          <w:rFonts w:ascii="Palatino" w:hAnsi="Palatino" w:cs="AdvOT870b30dc"/>
          <w:color w:val="000000"/>
          <w:sz w:val="20"/>
          <w:szCs w:val="20"/>
        </w:rPr>
        <w:t>vre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 ? </w:t>
      </w:r>
    </w:p>
    <w:p w14:paraId="0C25DD7B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3. Les bonnes </w:t>
      </w:r>
      <w:r w:rsidR="00EF4583" w:rsidRPr="00F21412">
        <w:rPr>
          <w:rFonts w:ascii="Palatino" w:hAnsi="Palatino" w:cs="AdvOT870b30dc"/>
          <w:color w:val="000000"/>
          <w:sz w:val="20"/>
          <w:szCs w:val="20"/>
        </w:rPr>
        <w:t>m</w:t>
      </w:r>
      <w:r w:rsidR="00EF4583" w:rsidRPr="00F21412">
        <w:rPr>
          <w:rFonts w:ascii="Palatino" w:hAnsi="Palatino" w:cs="AdvOT870b30dc+01"/>
          <w:color w:val="000000"/>
          <w:sz w:val="20"/>
          <w:szCs w:val="20"/>
        </w:rPr>
        <w:t>œu</w:t>
      </w:r>
      <w:r w:rsidR="00EF4583" w:rsidRPr="00F21412">
        <w:rPr>
          <w:rFonts w:ascii="Palatino" w:hAnsi="Palatino" w:cs="AdvOT870b30dc"/>
          <w:color w:val="000000"/>
          <w:sz w:val="20"/>
          <w:szCs w:val="20"/>
        </w:rPr>
        <w:t>rs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 </w:t>
      </w:r>
    </w:p>
    <w:p w14:paraId="7C7FD442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23AE7846" w14:textId="2224E55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2. Les fondements juridiques de la sanction </w:t>
      </w:r>
    </w:p>
    <w:p w14:paraId="7748DEEE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illicéité </w:t>
      </w:r>
    </w:p>
    <w:p w14:paraId="419D57EE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La fraude </w:t>
      </w:r>
    </w:p>
    <w:p w14:paraId="4C432EE2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lastRenderedPageBreak/>
        <w:t>Chapitre 2. L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>exigence d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 xml:space="preserve">un contenu certain </w:t>
      </w:r>
    </w:p>
    <w:p w14:paraId="22E4ACA2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86A83BF" w14:textId="4EFEE00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identification de la prestation </w:t>
      </w:r>
    </w:p>
    <w:p w14:paraId="394D0297" w14:textId="7777777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Détermination </w:t>
      </w:r>
    </w:p>
    <w:p w14:paraId="5A692A47" w14:textId="1C291CB5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Possibilité </w:t>
      </w:r>
    </w:p>
    <w:p w14:paraId="0184622F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68E8D7D4" w14:textId="09D83434" w:rsidR="00F602D5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La nécessité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une contrepartie non illusoire </w:t>
      </w:r>
      <w:r w:rsidR="00E92A7C" w:rsidRPr="00F21412">
        <w:rPr>
          <w:rFonts w:ascii="Palatino" w:hAnsi="Palatino" w:cs="AdvOT870b30dc"/>
          <w:color w:val="000000"/>
          <w:sz w:val="20"/>
          <w:szCs w:val="20"/>
        </w:rPr>
        <w:t xml:space="preserve">ou 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dérisoire </w:t>
      </w:r>
    </w:p>
    <w:p w14:paraId="46576DAE" w14:textId="77777777" w:rsidR="007F3901" w:rsidRPr="00F21412" w:rsidRDefault="007F3901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7ACC6E4" w14:textId="1DCC757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3. La protection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obligation essentielle </w:t>
      </w:r>
    </w:p>
    <w:p w14:paraId="68D5E187" w14:textId="77777777" w:rsidR="00F21412" w:rsidRDefault="00F21412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06EA21CD" w14:textId="75B41715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4. La lutte contre les clauses créant un déséquilibre</w:t>
      </w:r>
      <w:r w:rsidR="00F21412">
        <w:rPr>
          <w:rFonts w:ascii="Palatino" w:hAnsi="Palatino" w:cs="AdvOT870b30dc"/>
          <w:color w:val="000000"/>
          <w:sz w:val="20"/>
          <w:szCs w:val="20"/>
        </w:rPr>
        <w:t xml:space="preserve"> 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significatif entre les droits et obligations des parties </w:t>
      </w:r>
    </w:p>
    <w:p w14:paraId="5F1F7828" w14:textId="087349A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Les textes de droit spécial </w:t>
      </w:r>
    </w:p>
    <w:p w14:paraId="555189B2" w14:textId="49DC95A8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article L. 212-1 du Code de la consommation </w:t>
      </w:r>
    </w:p>
    <w:p w14:paraId="341C5279" w14:textId="1B2EDAC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article L. 442-</w:t>
      </w:r>
      <w:r w:rsidR="00E92A7C" w:rsidRPr="00F21412">
        <w:rPr>
          <w:rFonts w:ascii="Palatino" w:hAnsi="Palatino" w:cs="AdvOT870b30dc"/>
          <w:color w:val="000000"/>
          <w:sz w:val="20"/>
          <w:szCs w:val="20"/>
        </w:rPr>
        <w:t>1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, I, 2º du Code de commerce </w:t>
      </w:r>
    </w:p>
    <w:p w14:paraId="3D94B982" w14:textId="1F98CD3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La règle de droit commun </w:t>
      </w:r>
    </w:p>
    <w:p w14:paraId="1BF9C702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6FC39FF9" w14:textId="784C0FD8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  <w:u w:val="single"/>
        </w:rPr>
      </w:pPr>
      <w:r w:rsidRPr="00F21412">
        <w:rPr>
          <w:rFonts w:ascii="Palatino" w:hAnsi="Palatino" w:cs="AdvOT627770f5.B"/>
          <w:color w:val="000000"/>
          <w:u w:val="single"/>
        </w:rPr>
        <w:t>SOUS-TITRE 3. Les sanctions attachées à la formation</w:t>
      </w:r>
      <w:r w:rsidR="00F21412" w:rsidRPr="00F21412">
        <w:rPr>
          <w:rFonts w:ascii="Palatino" w:hAnsi="Palatino" w:cs="AdvOT627770f5.B"/>
          <w:color w:val="000000"/>
          <w:u w:val="single"/>
        </w:rPr>
        <w:t xml:space="preserve"> </w:t>
      </w:r>
      <w:r w:rsidRPr="00F21412">
        <w:rPr>
          <w:rFonts w:ascii="Palatino" w:hAnsi="Palatino" w:cs="AdvOT627770f5.B"/>
          <w:color w:val="000000"/>
          <w:u w:val="single"/>
        </w:rPr>
        <w:t xml:space="preserve">du contrat </w:t>
      </w:r>
    </w:p>
    <w:p w14:paraId="34491811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3EDD1755" w14:textId="504DC23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1. La nullité </w:t>
      </w:r>
    </w:p>
    <w:p w14:paraId="39E597ED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2D4E5BB" w14:textId="19A7153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1. Invocation de la nullité </w:t>
      </w:r>
    </w:p>
    <w:p w14:paraId="7C7E0634" w14:textId="669B657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Conditions </w:t>
      </w:r>
    </w:p>
    <w:p w14:paraId="09C0FFD7" w14:textId="7290D66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Prescription </w:t>
      </w:r>
    </w:p>
    <w:p w14:paraId="48941DC1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C2393D3" w14:textId="38023AB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2. Conséquences de la nullité </w:t>
      </w:r>
    </w:p>
    <w:p w14:paraId="0BEAF2C0" w14:textId="13DA667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Étendue </w:t>
      </w:r>
    </w:p>
    <w:p w14:paraId="4F6F7535" w14:textId="3C98BBFE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Rétroactivité </w:t>
      </w:r>
    </w:p>
    <w:p w14:paraId="01F05AB5" w14:textId="4A70C8E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3. Responsabilité </w:t>
      </w:r>
    </w:p>
    <w:p w14:paraId="27AB5D28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CD48D2B" w14:textId="75465EA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3. Évitement de la nullité </w:t>
      </w:r>
    </w:p>
    <w:p w14:paraId="732D1F5C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1660D898" w14:textId="7CA4E95B" w:rsidR="0077643B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2. Les autres sanctions </w:t>
      </w:r>
    </w:p>
    <w:p w14:paraId="1C61FD69" w14:textId="77777777" w:rsidR="0077643B" w:rsidRPr="00F21412" w:rsidRDefault="0077643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763AA6AF" w14:textId="7A83755E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b/>
          <w:color w:val="000000"/>
          <w:sz w:val="18"/>
          <w:szCs w:val="18"/>
        </w:rPr>
      </w:pPr>
      <w:r w:rsidRPr="00F21412">
        <w:rPr>
          <w:rFonts w:ascii="Palatino" w:hAnsi="Palatino" w:cs="AdvOT627770f5.B"/>
          <w:b/>
          <w:color w:val="000000"/>
        </w:rPr>
        <w:t xml:space="preserve">TITRE 2. Les effets du contrat </w:t>
      </w:r>
    </w:p>
    <w:p w14:paraId="38000AA9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43197B6A" w14:textId="203A82A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  <w:u w:val="single"/>
        </w:rPr>
      </w:pPr>
      <w:r w:rsidRPr="00F21412">
        <w:rPr>
          <w:rFonts w:ascii="Palatino" w:hAnsi="Palatino" w:cs="AdvOT627770f5.B"/>
          <w:color w:val="000000"/>
          <w:u w:val="single"/>
        </w:rPr>
        <w:t xml:space="preserve">SOUS-TITRE 1. Le respect de la loi contractuelle </w:t>
      </w:r>
    </w:p>
    <w:p w14:paraId="25190ECD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43A06FD8" w14:textId="7FB3CD2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1. La distinction des parties et des tiers </w:t>
      </w:r>
    </w:p>
    <w:p w14:paraId="45F130F2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CEF7F3E" w14:textId="74218B7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Le principe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effet relatif </w:t>
      </w:r>
    </w:p>
    <w:p w14:paraId="0AF15C32" w14:textId="14BE727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Signification fondamentale du principe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effet relatif </w:t>
      </w:r>
    </w:p>
    <w:p w14:paraId="686AA894" w14:textId="6938F34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Applications particulières du principe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effet relatif </w:t>
      </w:r>
    </w:p>
    <w:p w14:paraId="5ED21B5E" w14:textId="48D9B44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Effet relatif et autonomie des personnes morales </w:t>
      </w:r>
    </w:p>
    <w:p w14:paraId="3D70CAAD" w14:textId="62E6A8B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Effet relatif et autonomie des contrats </w:t>
      </w:r>
    </w:p>
    <w:p w14:paraId="2B1C2D69" w14:textId="45E35DE8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3. Limites du principe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effet relatif </w:t>
      </w:r>
    </w:p>
    <w:p w14:paraId="7306D176" w14:textId="3E96569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Contrat opposé aux tiers </w:t>
      </w:r>
    </w:p>
    <w:p w14:paraId="679E7E2C" w14:textId="28839E8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Contrat opposé par les tiers </w:t>
      </w:r>
    </w:p>
    <w:p w14:paraId="132EDEFE" w14:textId="77777777" w:rsidR="00974A2B" w:rsidRDefault="00974A2B" w:rsidP="00974A2B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65B43D0" w14:textId="50EF9B8A" w:rsidR="00F602D5" w:rsidRPr="00F21412" w:rsidRDefault="00F602D5" w:rsidP="00974A2B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2. Les différentes catégories de parties </w:t>
      </w:r>
    </w:p>
    <w:p w14:paraId="364556A2" w14:textId="29593A65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lastRenderedPageBreak/>
        <w:t xml:space="preserve">§ 1. Les parties au moment de la formation du contrat </w:t>
      </w:r>
    </w:p>
    <w:p w14:paraId="1D19570D" w14:textId="5F220B75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Les parties postérieurement à la formation du contrat </w:t>
      </w:r>
    </w:p>
    <w:p w14:paraId="14A96200" w14:textId="4268310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La transmission du contrat en cas de décès</w:t>
      </w:r>
      <w:r w:rsidR="00E92A7C" w:rsidRPr="00F21412">
        <w:rPr>
          <w:rFonts w:ascii="Palatino" w:hAnsi="Palatino" w:cs="AdvOT870b30dc"/>
          <w:color w:val="000000"/>
          <w:sz w:val="20"/>
          <w:szCs w:val="20"/>
        </w:rPr>
        <w:t xml:space="preserve"> </w:t>
      </w:r>
      <w:r w:rsidRPr="00F21412">
        <w:rPr>
          <w:rFonts w:ascii="Palatino" w:hAnsi="Palatino" w:cs="AdvOT870b30dc"/>
          <w:color w:val="000000"/>
          <w:sz w:val="20"/>
          <w:szCs w:val="20"/>
        </w:rPr>
        <w:t>ou dissolution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une partie </w:t>
      </w:r>
    </w:p>
    <w:p w14:paraId="41216873" w14:textId="027D682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La cession de contrat </w:t>
      </w:r>
    </w:p>
    <w:p w14:paraId="52866DAE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39B0E470" w14:textId="082D724B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3. Les différentes catégories de tiers </w:t>
      </w:r>
    </w:p>
    <w:p w14:paraId="52385C4D" w14:textId="4438659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Les créanciers chirographaires </w:t>
      </w:r>
    </w:p>
    <w:p w14:paraId="5739D7FA" w14:textId="429EA8C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Les ayants cause à titre particulier </w:t>
      </w:r>
    </w:p>
    <w:p w14:paraId="611F8223" w14:textId="5BBCA57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Contrat constitutif de droits réels </w:t>
      </w:r>
    </w:p>
    <w:p w14:paraId="2496F0C4" w14:textId="344ED4E8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B. Contrat générateur de droits et obligations</w:t>
      </w:r>
      <w:r w:rsidR="00F21412" w:rsidRPr="00F21412">
        <w:rPr>
          <w:rFonts w:ascii="Palatino" w:hAnsi="Palatino" w:cs="AdvOT870b30dc"/>
          <w:color w:val="000000"/>
          <w:sz w:val="20"/>
          <w:szCs w:val="20"/>
        </w:rPr>
        <w:t xml:space="preserve"> 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de nature personnelle </w:t>
      </w:r>
    </w:p>
    <w:p w14:paraId="4D9F5ABB" w14:textId="11A4087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3. Les tiers bénéficiaires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une stipulation pour autrui </w:t>
      </w:r>
    </w:p>
    <w:p w14:paraId="7568955E" w14:textId="5CE6B3F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Conditions </w:t>
      </w:r>
    </w:p>
    <w:p w14:paraId="48372465" w14:textId="1992338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Effets </w:t>
      </w:r>
    </w:p>
    <w:p w14:paraId="4D59840C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067C0A3E" w14:textId="18CF185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>Chapitre 2. L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>obligation d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 xml:space="preserve">exécuter </w:t>
      </w:r>
    </w:p>
    <w:p w14:paraId="18731246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5FA18DF1" w14:textId="51828D4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obligation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exécuter à la lettre </w:t>
      </w:r>
    </w:p>
    <w:p w14:paraId="53CF30D7" w14:textId="638B735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La diversité du contenu contractuel </w:t>
      </w:r>
    </w:p>
    <w:p w14:paraId="4E917D39" w14:textId="77D3B2F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interprétation du contenu contractuel </w:t>
      </w:r>
    </w:p>
    <w:p w14:paraId="3E7DDABC" w14:textId="0F85344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interprétation proprement dite </w:t>
      </w:r>
    </w:p>
    <w:p w14:paraId="7D3D2EC4" w14:textId="04324D9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Le comblement du contrat </w:t>
      </w:r>
    </w:p>
    <w:p w14:paraId="2F38188E" w14:textId="18D7B1F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C. La qualification du contrat </w:t>
      </w:r>
    </w:p>
    <w:p w14:paraId="1612C319" w14:textId="25D2F9DE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3. La simulation </w:t>
      </w:r>
    </w:p>
    <w:p w14:paraId="68D362CE" w14:textId="29C888C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Différentes formes de simulation </w:t>
      </w:r>
    </w:p>
    <w:p w14:paraId="1082790B" w14:textId="0D33E694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Force obligatoire de la contre-lettre entre les parties </w:t>
      </w:r>
    </w:p>
    <w:p w14:paraId="786A464D" w14:textId="1B217CA8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C.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option des tiers </w:t>
      </w:r>
    </w:p>
    <w:p w14:paraId="77FD6C59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2017F7BA" w14:textId="1190B85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obligation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exécuter de bonne foi </w:t>
      </w:r>
    </w:p>
    <w:p w14:paraId="7E2B9553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528768DF" w14:textId="22B3B4F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>Chapitre 3. Les sanctions de l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 xml:space="preserve">inexécution </w:t>
      </w:r>
    </w:p>
    <w:p w14:paraId="3D1B7B50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2FCF05BC" w14:textId="503284B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exception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inexécution et le droit de rétention </w:t>
      </w:r>
    </w:p>
    <w:p w14:paraId="341BC527" w14:textId="3398A95E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>exception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inexécution </w:t>
      </w:r>
    </w:p>
    <w:p w14:paraId="28674A6D" w14:textId="02A641A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Conditions </w:t>
      </w:r>
    </w:p>
    <w:p w14:paraId="1D9F0899" w14:textId="3F31A0F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Effets </w:t>
      </w:r>
    </w:p>
    <w:p w14:paraId="7919969E" w14:textId="6DF858B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Le droit de rétention </w:t>
      </w:r>
    </w:p>
    <w:p w14:paraId="2BFCE4DC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65B41EB6" w14:textId="6256836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exécution forcée en nature </w:t>
      </w:r>
    </w:p>
    <w:p w14:paraId="4A0B1AF0" w14:textId="61CAE76B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1. Le droit à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exécution forcée en nature </w:t>
      </w:r>
    </w:p>
    <w:p w14:paraId="27153577" w14:textId="401CDDB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§ 2. Les obstacles à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exécution forcée en nature </w:t>
      </w:r>
    </w:p>
    <w:p w14:paraId="1F08FA6C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3B0EC9F" w14:textId="1FE493DB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3. La réduction du prix </w:t>
      </w:r>
    </w:p>
    <w:p w14:paraId="469EEFF3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65727A28" w14:textId="367BCE1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4. La résolution du contrat </w:t>
      </w:r>
    </w:p>
    <w:p w14:paraId="73C54E09" w14:textId="6E407B8B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Les modes de résolution </w:t>
      </w:r>
    </w:p>
    <w:p w14:paraId="734F929F" w14:textId="3AD0834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A. La résolution par application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une clause résolutoire </w:t>
      </w:r>
    </w:p>
    <w:p w14:paraId="4EB8D892" w14:textId="6C47FC8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La résolution par notification du créancier </w:t>
      </w:r>
    </w:p>
    <w:p w14:paraId="245927CA" w14:textId="20B07FF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1. Conditions </w:t>
      </w:r>
    </w:p>
    <w:p w14:paraId="0B58468E" w14:textId="2E292EC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2. Contestation </w:t>
      </w:r>
    </w:p>
    <w:p w14:paraId="549764B7" w14:textId="7CF41CD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C. La résolution judiciaire </w:t>
      </w:r>
    </w:p>
    <w:p w14:paraId="79353F3B" w14:textId="61FD4B54" w:rsidR="00F21412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Les effets de la résolution </w:t>
      </w:r>
    </w:p>
    <w:p w14:paraId="63D627E4" w14:textId="77777777" w:rsidR="00974A2B" w:rsidRDefault="00974A2B" w:rsidP="00974A2B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042DCC7" w14:textId="5A6806B5" w:rsidR="00F602D5" w:rsidRPr="00F21412" w:rsidRDefault="00F602D5" w:rsidP="00974A2B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5. La responsabilité contractuelle </w:t>
      </w:r>
    </w:p>
    <w:p w14:paraId="601C9D27" w14:textId="42E8CA9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1. Conditions de la responsabilité </w:t>
      </w:r>
    </w:p>
    <w:p w14:paraId="44C5B95C" w14:textId="77B0540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Inexécution </w:t>
      </w:r>
    </w:p>
    <w:p w14:paraId="7064D03E" w14:textId="4294563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1. Preuve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inexécution </w:t>
      </w:r>
    </w:p>
    <w:p w14:paraId="6695C1D9" w14:textId="4FBCC63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2. Imputabilité de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inexécution </w:t>
      </w:r>
    </w:p>
    <w:p w14:paraId="1A3A8E42" w14:textId="180CE8FA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Dommage </w:t>
      </w:r>
    </w:p>
    <w:p w14:paraId="53702715" w14:textId="42526CC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C. Lien de causalité </w:t>
      </w:r>
    </w:p>
    <w:p w14:paraId="109837CF" w14:textId="6F22E8D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2. Étendue de la réparation </w:t>
      </w:r>
    </w:p>
    <w:p w14:paraId="3AA1B83F" w14:textId="294BCAA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§ 3. Aménagements conventionnels </w:t>
      </w:r>
    </w:p>
    <w:p w14:paraId="69261DA1" w14:textId="5BA9A82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A. Les clauses limitatives de réparation </w:t>
      </w:r>
    </w:p>
    <w:p w14:paraId="764B9409" w14:textId="16A4D150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1. Principe de validité </w:t>
      </w:r>
    </w:p>
    <w:p w14:paraId="4C7B0259" w14:textId="4BFEA82D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2. Multiplication des obstacles </w:t>
      </w:r>
    </w:p>
    <w:p w14:paraId="2615EB86" w14:textId="0386B672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B. La clause pénale </w:t>
      </w:r>
    </w:p>
    <w:p w14:paraId="585458EA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31F92954" w14:textId="0C9C9F6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  <w:u w:val="single"/>
        </w:rPr>
      </w:pPr>
      <w:r w:rsidRPr="00F21412">
        <w:rPr>
          <w:rFonts w:ascii="Palatino" w:hAnsi="Palatino" w:cs="AdvOT627770f5.B"/>
          <w:color w:val="000000"/>
          <w:u w:val="single"/>
        </w:rPr>
        <w:t>SOUS-TITRE 2. La durée du lien contractuel</w:t>
      </w:r>
    </w:p>
    <w:p w14:paraId="690C909A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012ED21D" w14:textId="281F75B1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  <w:r w:rsidRPr="00F21412">
        <w:rPr>
          <w:rFonts w:ascii="Palatino" w:hAnsi="Palatino" w:cs="AdvOT627770f5.B"/>
          <w:color w:val="000000"/>
        </w:rPr>
        <w:t>Chapitre 1. Problèmes communs à tous les contrats</w:t>
      </w:r>
      <w:r w:rsidR="00F21412" w:rsidRPr="00F21412">
        <w:rPr>
          <w:rFonts w:ascii="Palatino" w:hAnsi="Palatino" w:cs="AdvOT627770f5.B"/>
          <w:color w:val="000000"/>
        </w:rPr>
        <w:t xml:space="preserve"> </w:t>
      </w:r>
      <w:r w:rsidRPr="00F21412">
        <w:rPr>
          <w:rFonts w:ascii="Palatino" w:hAnsi="Palatino" w:cs="AdvOT627770f5.B"/>
          <w:color w:val="000000"/>
        </w:rPr>
        <w:t xml:space="preserve">inscrits dans la durée </w:t>
      </w:r>
    </w:p>
    <w:p w14:paraId="5E1F1426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7C3F5542" w14:textId="62291BDF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1. La dépréciation monétaire </w:t>
      </w:r>
    </w:p>
    <w:p w14:paraId="78A2BC99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24B6C40F" w14:textId="6954E35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Section 2. Le changement de circonstances </w:t>
      </w:r>
    </w:p>
    <w:p w14:paraId="6B739726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128C34DD" w14:textId="162A2FA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3. La survenance d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une loi nouvelle </w:t>
      </w:r>
    </w:p>
    <w:p w14:paraId="2214631A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27D4CBB7" w14:textId="0E33003C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2. Règles propres aux contrats à durée déterminée </w:t>
      </w:r>
    </w:p>
    <w:p w14:paraId="1192194E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2998059F" w14:textId="4C7A7973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1. Situation des parties avant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échéance du terme </w:t>
      </w:r>
    </w:p>
    <w:p w14:paraId="63209B7F" w14:textId="77777777" w:rsidR="00974A2B" w:rsidRDefault="00974A2B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20"/>
          <w:szCs w:val="20"/>
        </w:rPr>
      </w:pPr>
    </w:p>
    <w:p w14:paraId="481C6BF2" w14:textId="2CE187B9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870b30dc"/>
          <w:color w:val="000000"/>
          <w:sz w:val="20"/>
          <w:szCs w:val="20"/>
        </w:rPr>
        <w:t>Section 2. Situation des parties à l</w:t>
      </w:r>
      <w:r w:rsidRPr="00F21412">
        <w:rPr>
          <w:rFonts w:ascii="Palatino" w:hAnsi="Palatino" w:cs="AdvOT870b30dc+20"/>
          <w:color w:val="000000"/>
          <w:sz w:val="20"/>
          <w:szCs w:val="20"/>
        </w:rPr>
        <w:t>’</w:t>
      </w:r>
      <w:r w:rsidRPr="00F21412">
        <w:rPr>
          <w:rFonts w:ascii="Palatino" w:hAnsi="Palatino" w:cs="AdvOT870b30dc"/>
          <w:color w:val="000000"/>
          <w:sz w:val="20"/>
          <w:szCs w:val="20"/>
        </w:rPr>
        <w:t xml:space="preserve">échéance du terme </w:t>
      </w:r>
    </w:p>
    <w:p w14:paraId="032A994B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0565EBD3" w14:textId="6E075717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870b30dc"/>
          <w:color w:val="000000"/>
          <w:sz w:val="18"/>
          <w:szCs w:val="18"/>
        </w:rPr>
      </w:pPr>
      <w:r w:rsidRPr="00F21412">
        <w:rPr>
          <w:rFonts w:ascii="Palatino" w:hAnsi="Palatino" w:cs="AdvOT627770f5.B"/>
          <w:color w:val="000000"/>
        </w:rPr>
        <w:t xml:space="preserve">Chapitre 3. Règles propres aux contrats à durée indéterminée </w:t>
      </w:r>
    </w:p>
    <w:p w14:paraId="1447723E" w14:textId="77777777" w:rsidR="009B1CA4" w:rsidRPr="00F21412" w:rsidRDefault="009B1CA4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</w:p>
    <w:p w14:paraId="6EF1D7C2" w14:textId="53D9A916" w:rsidR="00F602D5" w:rsidRPr="00F21412" w:rsidRDefault="00F602D5" w:rsidP="00F602D5">
      <w:pPr>
        <w:autoSpaceDE w:val="0"/>
        <w:autoSpaceDN w:val="0"/>
        <w:adjustRightInd w:val="0"/>
        <w:spacing w:after="0" w:line="240" w:lineRule="auto"/>
        <w:rPr>
          <w:rFonts w:ascii="Palatino" w:hAnsi="Palatino" w:cs="AdvOT627770f5.B"/>
          <w:color w:val="000000"/>
        </w:rPr>
      </w:pPr>
      <w:r w:rsidRPr="00F21412">
        <w:rPr>
          <w:rFonts w:ascii="Palatino" w:hAnsi="Palatino" w:cs="AdvOT627770f5.B"/>
          <w:color w:val="000000"/>
        </w:rPr>
        <w:t>Chapitre 4. Règles relatives à la rupture d</w:t>
      </w:r>
      <w:r w:rsidRPr="00F21412">
        <w:rPr>
          <w:rFonts w:ascii="Palatino" w:hAnsi="Palatino" w:cs="AdvOT627770f5.B+20"/>
          <w:color w:val="000000"/>
        </w:rPr>
        <w:t>’</w:t>
      </w:r>
      <w:r w:rsidRPr="00F21412">
        <w:rPr>
          <w:rFonts w:ascii="Palatino" w:hAnsi="Palatino" w:cs="AdvOT627770f5.B"/>
          <w:color w:val="000000"/>
        </w:rPr>
        <w:t>une relation</w:t>
      </w:r>
      <w:r w:rsidR="00F21412" w:rsidRPr="00F21412">
        <w:rPr>
          <w:rFonts w:ascii="Palatino" w:hAnsi="Palatino" w:cs="AdvOT627770f5.B"/>
          <w:color w:val="000000"/>
        </w:rPr>
        <w:t xml:space="preserve"> </w:t>
      </w:r>
      <w:r w:rsidRPr="00F21412">
        <w:rPr>
          <w:rFonts w:ascii="Palatino" w:hAnsi="Palatino" w:cs="AdvOT627770f5.B"/>
          <w:color w:val="000000"/>
        </w:rPr>
        <w:t xml:space="preserve">commerciale établie </w:t>
      </w:r>
    </w:p>
    <w:sectPr w:rsidR="00F602D5" w:rsidRPr="00F21412" w:rsidSect="008401D0">
      <w:pgSz w:w="11880" w:h="16820"/>
      <w:pgMar w:top="1417" w:right="3402" w:bottom="3969" w:left="1417" w:header="1378" w:footer="107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dvOT627770f5.B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dvOT870b30dc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dvOT870b30dc+2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dvOT627770f5.B+2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dvOT870b30dc+01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E13D1C"/>
    <w:multiLevelType w:val="hybridMultilevel"/>
    <w:tmpl w:val="A142F5F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1009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hideGrammaticalError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45"/>
    <w:rsid w:val="0004221C"/>
    <w:rsid w:val="00090723"/>
    <w:rsid w:val="00095F34"/>
    <w:rsid w:val="000C7A49"/>
    <w:rsid w:val="00185091"/>
    <w:rsid w:val="00254874"/>
    <w:rsid w:val="002929DE"/>
    <w:rsid w:val="002C7251"/>
    <w:rsid w:val="00331279"/>
    <w:rsid w:val="00345994"/>
    <w:rsid w:val="003D54EA"/>
    <w:rsid w:val="00433DF9"/>
    <w:rsid w:val="005149FA"/>
    <w:rsid w:val="00522B49"/>
    <w:rsid w:val="00526C89"/>
    <w:rsid w:val="005F5FCE"/>
    <w:rsid w:val="005F7645"/>
    <w:rsid w:val="00633F04"/>
    <w:rsid w:val="007679C4"/>
    <w:rsid w:val="0077643B"/>
    <w:rsid w:val="007829FF"/>
    <w:rsid w:val="007F3901"/>
    <w:rsid w:val="008401D0"/>
    <w:rsid w:val="00865205"/>
    <w:rsid w:val="008C1A39"/>
    <w:rsid w:val="008D38F0"/>
    <w:rsid w:val="0094162D"/>
    <w:rsid w:val="00974A2B"/>
    <w:rsid w:val="009B0F8F"/>
    <w:rsid w:val="009B1CA4"/>
    <w:rsid w:val="009E3320"/>
    <w:rsid w:val="00A44140"/>
    <w:rsid w:val="00A544C4"/>
    <w:rsid w:val="00A9496D"/>
    <w:rsid w:val="00B136E7"/>
    <w:rsid w:val="00C45830"/>
    <w:rsid w:val="00D46D34"/>
    <w:rsid w:val="00D46FA9"/>
    <w:rsid w:val="00E10B2F"/>
    <w:rsid w:val="00E36876"/>
    <w:rsid w:val="00E92A7C"/>
    <w:rsid w:val="00EC4BD3"/>
    <w:rsid w:val="00EF4583"/>
    <w:rsid w:val="00F21412"/>
    <w:rsid w:val="00F2504F"/>
    <w:rsid w:val="00F47598"/>
    <w:rsid w:val="00F602D5"/>
    <w:rsid w:val="00F61296"/>
    <w:rsid w:val="00F87AF3"/>
    <w:rsid w:val="00FA284C"/>
    <w:rsid w:val="00FB6E16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9B89"/>
  <w15:chartTrackingRefBased/>
  <w15:docId w15:val="{A2B6D1FC-3DB8-4630-9AF9-C537B271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0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Guinot</dc:creator>
  <cp:keywords/>
  <dc:description/>
  <cp:lastModifiedBy>Estelle Guinot</cp:lastModifiedBy>
  <cp:revision>2</cp:revision>
  <dcterms:created xsi:type="dcterms:W3CDTF">2026-09-01T12:21:00Z</dcterms:created>
  <dcterms:modified xsi:type="dcterms:W3CDTF">2026-09-01T12:21:00Z</dcterms:modified>
  <cp:category/>
</cp:coreProperties>
</file>