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4DCD23" w14:textId="77777777" w:rsidR="00020009" w:rsidRDefault="00020009" w:rsidP="00E74FD9">
      <w:pPr>
        <w:pBdr>
          <w:top w:val="single" w:sz="4" w:space="1" w:color="auto"/>
          <w:left w:val="single" w:sz="4" w:space="4" w:color="auto"/>
          <w:bottom w:val="single" w:sz="4" w:space="1" w:color="auto"/>
          <w:right w:val="single" w:sz="4" w:space="4" w:color="auto"/>
        </w:pBdr>
        <w:jc w:val="center"/>
      </w:pPr>
    </w:p>
    <w:p w14:paraId="27C39826" w14:textId="77777777" w:rsidR="00837133" w:rsidRDefault="00837133" w:rsidP="00E74FD9">
      <w:pPr>
        <w:pBdr>
          <w:top w:val="single" w:sz="4" w:space="1" w:color="auto"/>
          <w:left w:val="single" w:sz="4" w:space="4" w:color="auto"/>
          <w:bottom w:val="single" w:sz="4" w:space="1" w:color="auto"/>
          <w:right w:val="single" w:sz="4" w:space="4" w:color="auto"/>
        </w:pBdr>
        <w:jc w:val="center"/>
      </w:pPr>
    </w:p>
    <w:p w14:paraId="15B0BAE1" w14:textId="77777777" w:rsidR="00837133" w:rsidRPr="00853AE6" w:rsidRDefault="00837133" w:rsidP="00E74FD9">
      <w:pPr>
        <w:pBdr>
          <w:top w:val="single" w:sz="4" w:space="1" w:color="auto"/>
          <w:left w:val="single" w:sz="4" w:space="4" w:color="auto"/>
          <w:bottom w:val="single" w:sz="4" w:space="1" w:color="auto"/>
          <w:right w:val="single" w:sz="4" w:space="4" w:color="auto"/>
        </w:pBdr>
        <w:jc w:val="center"/>
      </w:pPr>
      <w:r w:rsidRPr="00837133">
        <w:rPr>
          <w:noProof/>
        </w:rPr>
        <w:drawing>
          <wp:inline distT="0" distB="0" distL="0" distR="0" wp14:anchorId="0138AF45" wp14:editId="76A8A21C">
            <wp:extent cx="2960483" cy="133427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99318" cy="1351777"/>
                    </a:xfrm>
                    <a:prstGeom prst="rect">
                      <a:avLst/>
                    </a:prstGeom>
                  </pic:spPr>
                </pic:pic>
              </a:graphicData>
            </a:graphic>
          </wp:inline>
        </w:drawing>
      </w:r>
    </w:p>
    <w:p w14:paraId="37FE11BF" w14:textId="77777777" w:rsidR="00020009" w:rsidRPr="00853AE6" w:rsidRDefault="00E74FD9" w:rsidP="00E74FD9">
      <w:pPr>
        <w:pBdr>
          <w:top w:val="single" w:sz="4" w:space="1" w:color="auto"/>
          <w:left w:val="single" w:sz="4" w:space="4" w:color="auto"/>
          <w:bottom w:val="single" w:sz="4" w:space="1" w:color="auto"/>
          <w:right w:val="single" w:sz="4" w:space="4" w:color="auto"/>
        </w:pBdr>
        <w:spacing w:before="100" w:beforeAutospacing="1" w:after="100" w:afterAutospacing="1"/>
        <w:jc w:val="center"/>
        <w:rPr>
          <w:b/>
        </w:rPr>
      </w:pPr>
      <w:r w:rsidRPr="00853AE6">
        <w:rPr>
          <w:b/>
        </w:rPr>
        <w:t>Collège</w:t>
      </w:r>
      <w:r w:rsidR="00020009" w:rsidRPr="00853AE6">
        <w:rPr>
          <w:b/>
        </w:rPr>
        <w:t xml:space="preserve"> international de droit de la Sorbonne</w:t>
      </w:r>
    </w:p>
    <w:p w14:paraId="28FB9538" w14:textId="77777777" w:rsidR="00020009" w:rsidRPr="00853AE6" w:rsidRDefault="00020009" w:rsidP="00E74FD9">
      <w:pPr>
        <w:pBdr>
          <w:top w:val="single" w:sz="4" w:space="1" w:color="auto"/>
          <w:left w:val="single" w:sz="4" w:space="4" w:color="auto"/>
          <w:bottom w:val="single" w:sz="4" w:space="1" w:color="auto"/>
          <w:right w:val="single" w:sz="4" w:space="4" w:color="auto"/>
        </w:pBdr>
        <w:spacing w:before="100" w:beforeAutospacing="1" w:after="100" w:afterAutospacing="1"/>
        <w:jc w:val="center"/>
        <w:rPr>
          <w:b/>
        </w:rPr>
      </w:pPr>
    </w:p>
    <w:p w14:paraId="56984E19" w14:textId="77777777" w:rsidR="00E74FD9" w:rsidRPr="00DB6001" w:rsidRDefault="00020009" w:rsidP="00DB6001">
      <w:pPr>
        <w:pBdr>
          <w:top w:val="single" w:sz="4" w:space="1" w:color="auto"/>
          <w:left w:val="single" w:sz="4" w:space="4" w:color="auto"/>
          <w:bottom w:val="single" w:sz="4" w:space="1" w:color="auto"/>
          <w:right w:val="single" w:sz="4" w:space="4" w:color="auto"/>
        </w:pBdr>
        <w:spacing w:before="100" w:beforeAutospacing="1" w:after="100" w:afterAutospacing="1"/>
        <w:jc w:val="center"/>
        <w:rPr>
          <w:b/>
          <w:sz w:val="50"/>
          <w:szCs w:val="50"/>
        </w:rPr>
      </w:pPr>
      <w:r w:rsidRPr="00853AE6">
        <w:rPr>
          <w:b/>
          <w:sz w:val="50"/>
          <w:szCs w:val="50"/>
        </w:rPr>
        <w:t>Droit administratif</w:t>
      </w:r>
    </w:p>
    <w:p w14:paraId="2BF8FD3C" w14:textId="6C85D5E7" w:rsidR="00020009" w:rsidRDefault="00020009" w:rsidP="00E74FD9">
      <w:pPr>
        <w:pBdr>
          <w:top w:val="single" w:sz="4" w:space="1" w:color="auto"/>
          <w:left w:val="single" w:sz="4" w:space="4" w:color="auto"/>
          <w:bottom w:val="single" w:sz="4" w:space="1" w:color="auto"/>
          <w:right w:val="single" w:sz="4" w:space="4" w:color="auto"/>
        </w:pBdr>
        <w:spacing w:before="100" w:beforeAutospacing="1" w:after="100" w:afterAutospacing="1"/>
        <w:jc w:val="center"/>
        <w:rPr>
          <w:b/>
          <w:sz w:val="28"/>
          <w:szCs w:val="28"/>
        </w:rPr>
      </w:pPr>
      <w:r w:rsidRPr="00853AE6">
        <w:rPr>
          <w:b/>
          <w:sz w:val="28"/>
          <w:szCs w:val="28"/>
        </w:rPr>
        <w:t>C</w:t>
      </w:r>
      <w:r w:rsidR="000B378D">
        <w:rPr>
          <w:b/>
          <w:sz w:val="28"/>
          <w:szCs w:val="28"/>
        </w:rPr>
        <w:t>hristine</w:t>
      </w:r>
      <w:r w:rsidRPr="00853AE6">
        <w:rPr>
          <w:b/>
          <w:sz w:val="28"/>
          <w:szCs w:val="28"/>
        </w:rPr>
        <w:t xml:space="preserve"> </w:t>
      </w:r>
      <w:r w:rsidR="000B378D">
        <w:rPr>
          <w:b/>
          <w:sz w:val="28"/>
          <w:szCs w:val="28"/>
        </w:rPr>
        <w:t>Pauti</w:t>
      </w:r>
    </w:p>
    <w:p w14:paraId="0A17ACB5" w14:textId="77777777" w:rsidR="006550B3" w:rsidRPr="002A7569" w:rsidRDefault="006550B3" w:rsidP="00E74FD9">
      <w:pPr>
        <w:pBdr>
          <w:top w:val="single" w:sz="4" w:space="1" w:color="auto"/>
          <w:left w:val="single" w:sz="4" w:space="4" w:color="auto"/>
          <w:bottom w:val="single" w:sz="4" w:space="1" w:color="auto"/>
          <w:right w:val="single" w:sz="4" w:space="4" w:color="auto"/>
        </w:pBdr>
        <w:spacing w:before="100" w:beforeAutospacing="1" w:after="100" w:afterAutospacing="1"/>
        <w:jc w:val="center"/>
        <w:rPr>
          <w:b/>
          <w:sz w:val="2"/>
          <w:szCs w:val="2"/>
        </w:rPr>
      </w:pPr>
    </w:p>
    <w:p w14:paraId="4949614A" w14:textId="77777777" w:rsidR="006550B3" w:rsidRPr="00D3740D" w:rsidRDefault="006550B3" w:rsidP="00D3740D">
      <w:pPr>
        <w:pBdr>
          <w:top w:val="single" w:sz="4" w:space="1" w:color="auto"/>
          <w:left w:val="single" w:sz="4" w:space="4" w:color="auto"/>
          <w:bottom w:val="single" w:sz="4" w:space="1" w:color="auto"/>
          <w:right w:val="single" w:sz="4" w:space="4" w:color="auto"/>
        </w:pBdr>
        <w:spacing w:after="240" w:line="360" w:lineRule="auto"/>
        <w:contextualSpacing/>
        <w:jc w:val="center"/>
        <w:rPr>
          <w:b/>
          <w:szCs w:val="28"/>
        </w:rPr>
      </w:pPr>
      <w:r w:rsidRPr="000417F2">
        <w:rPr>
          <w:b/>
          <w:szCs w:val="28"/>
        </w:rPr>
        <w:t xml:space="preserve">Travaux dirigés assurés par : </w:t>
      </w:r>
    </w:p>
    <w:p w14:paraId="1F261CF1" w14:textId="339ABAB5" w:rsidR="00020009" w:rsidRPr="00CC47A4" w:rsidRDefault="000B378D" w:rsidP="006550B3">
      <w:pPr>
        <w:pBdr>
          <w:top w:val="single" w:sz="4" w:space="1" w:color="auto"/>
          <w:left w:val="single" w:sz="4" w:space="4" w:color="auto"/>
          <w:bottom w:val="single" w:sz="4" w:space="1" w:color="auto"/>
          <w:right w:val="single" w:sz="4" w:space="4" w:color="auto"/>
        </w:pBdr>
        <w:contextualSpacing/>
        <w:jc w:val="center"/>
        <w:rPr>
          <w:b/>
          <w:szCs w:val="28"/>
          <w:lang w:val="en-US"/>
        </w:rPr>
      </w:pPr>
      <w:r>
        <w:rPr>
          <w:b/>
          <w:szCs w:val="28"/>
          <w:lang w:val="en-US"/>
        </w:rPr>
        <w:t xml:space="preserve">B. Bouaza, </w:t>
      </w:r>
      <w:r w:rsidR="00150A2F" w:rsidRPr="00CC47A4">
        <w:rPr>
          <w:b/>
          <w:szCs w:val="28"/>
          <w:lang w:val="en-US"/>
        </w:rPr>
        <w:t>A. Chicoine</w:t>
      </w:r>
      <w:r w:rsidR="0025447E" w:rsidRPr="00CC47A4">
        <w:rPr>
          <w:b/>
          <w:szCs w:val="28"/>
          <w:lang w:val="en-US"/>
        </w:rPr>
        <w:t xml:space="preserve">, </w:t>
      </w:r>
      <w:r>
        <w:rPr>
          <w:b/>
          <w:szCs w:val="28"/>
          <w:lang w:val="en-US"/>
        </w:rPr>
        <w:t xml:space="preserve">A. L. Danovi, </w:t>
      </w:r>
      <w:r w:rsidR="00150A2F" w:rsidRPr="00CC47A4">
        <w:rPr>
          <w:b/>
          <w:szCs w:val="28"/>
          <w:lang w:val="en-US"/>
        </w:rPr>
        <w:t>G.</w:t>
      </w:r>
      <w:r w:rsidR="00D3740D" w:rsidRPr="00CC47A4">
        <w:rPr>
          <w:b/>
          <w:szCs w:val="28"/>
          <w:lang w:val="en-US"/>
        </w:rPr>
        <w:t xml:space="preserve"> </w:t>
      </w:r>
      <w:r w:rsidR="00150A2F" w:rsidRPr="00CC47A4">
        <w:rPr>
          <w:b/>
          <w:szCs w:val="28"/>
          <w:lang w:val="en-US"/>
        </w:rPr>
        <w:t>Decourbe</w:t>
      </w:r>
      <w:r w:rsidR="00D3740D" w:rsidRPr="00CC47A4">
        <w:rPr>
          <w:b/>
          <w:szCs w:val="28"/>
          <w:lang w:val="en-US"/>
        </w:rPr>
        <w:t xml:space="preserve">, </w:t>
      </w:r>
      <w:r>
        <w:rPr>
          <w:b/>
          <w:szCs w:val="28"/>
          <w:lang w:val="en-US"/>
        </w:rPr>
        <w:t>G. Giannotti.</w:t>
      </w:r>
    </w:p>
    <w:p w14:paraId="143100DA" w14:textId="77777777" w:rsidR="00E74FD9" w:rsidRPr="00CC47A4" w:rsidRDefault="00E74FD9" w:rsidP="00E74FD9">
      <w:pPr>
        <w:pBdr>
          <w:top w:val="single" w:sz="4" w:space="1" w:color="auto"/>
          <w:left w:val="single" w:sz="4" w:space="4" w:color="auto"/>
          <w:bottom w:val="single" w:sz="4" w:space="1" w:color="auto"/>
          <w:right w:val="single" w:sz="4" w:space="4" w:color="auto"/>
        </w:pBdr>
        <w:spacing w:before="100" w:beforeAutospacing="1" w:after="100" w:afterAutospacing="1"/>
        <w:jc w:val="center"/>
        <w:rPr>
          <w:b/>
          <w:szCs w:val="28"/>
          <w:lang w:val="en-US"/>
        </w:rPr>
      </w:pPr>
    </w:p>
    <w:p w14:paraId="36FA609F" w14:textId="77777777" w:rsidR="00E74FD9" w:rsidRPr="00CC47A4" w:rsidRDefault="00E74FD9" w:rsidP="00020009">
      <w:pPr>
        <w:spacing w:before="100" w:beforeAutospacing="1" w:after="100" w:afterAutospacing="1"/>
        <w:rPr>
          <w:lang w:val="en-US"/>
        </w:rPr>
      </w:pPr>
    </w:p>
    <w:p w14:paraId="3E597ACB" w14:textId="77777777" w:rsidR="00DB6001" w:rsidRPr="00CC47A4" w:rsidRDefault="00DB6001" w:rsidP="00020009">
      <w:pPr>
        <w:spacing w:before="100" w:beforeAutospacing="1" w:after="100" w:afterAutospacing="1"/>
        <w:rPr>
          <w:lang w:val="en-US"/>
        </w:rPr>
      </w:pPr>
    </w:p>
    <w:p w14:paraId="09C89F15" w14:textId="77777777" w:rsidR="00E74FD9" w:rsidRPr="00CC47A4" w:rsidRDefault="00E74FD9" w:rsidP="00E74FD9">
      <w:pPr>
        <w:pBdr>
          <w:top w:val="single" w:sz="4" w:space="1" w:color="auto"/>
          <w:left w:val="single" w:sz="4" w:space="4" w:color="auto"/>
          <w:bottom w:val="single" w:sz="4" w:space="1" w:color="auto"/>
          <w:right w:val="single" w:sz="4" w:space="4" w:color="auto"/>
        </w:pBdr>
        <w:spacing w:before="100" w:beforeAutospacing="1" w:after="100" w:afterAutospacing="1"/>
        <w:rPr>
          <w:sz w:val="2"/>
          <w:szCs w:val="2"/>
          <w:lang w:val="en-US"/>
        </w:rPr>
      </w:pPr>
    </w:p>
    <w:p w14:paraId="708B9A3B" w14:textId="77777777" w:rsidR="00E74FD9" w:rsidRPr="00853AE6" w:rsidRDefault="0099638E" w:rsidP="00E74FD9">
      <w:pPr>
        <w:pBdr>
          <w:top w:val="single" w:sz="4" w:space="1" w:color="auto"/>
          <w:left w:val="single" w:sz="4" w:space="4" w:color="auto"/>
          <w:bottom w:val="single" w:sz="4" w:space="1" w:color="auto"/>
          <w:right w:val="single" w:sz="4" w:space="4" w:color="auto"/>
        </w:pBdr>
        <w:contextualSpacing/>
        <w:jc w:val="center"/>
        <w:rPr>
          <w:b/>
          <w:sz w:val="28"/>
          <w:szCs w:val="28"/>
        </w:rPr>
      </w:pPr>
      <w:r w:rsidRPr="00853AE6">
        <w:rPr>
          <w:b/>
          <w:sz w:val="28"/>
          <w:szCs w:val="28"/>
        </w:rPr>
        <w:t>Séance</w:t>
      </w:r>
      <w:r w:rsidR="005603CB">
        <w:rPr>
          <w:b/>
          <w:sz w:val="28"/>
          <w:szCs w:val="28"/>
        </w:rPr>
        <w:t>s</w:t>
      </w:r>
      <w:r w:rsidR="00020009" w:rsidRPr="00853AE6">
        <w:rPr>
          <w:b/>
          <w:sz w:val="28"/>
          <w:szCs w:val="28"/>
        </w:rPr>
        <w:t xml:space="preserve"> </w:t>
      </w:r>
      <w:r w:rsidR="00E74FD9" w:rsidRPr="00853AE6">
        <w:rPr>
          <w:b/>
          <w:sz w:val="28"/>
          <w:szCs w:val="28"/>
        </w:rPr>
        <w:t>1</w:t>
      </w:r>
      <w:r w:rsidR="005603CB">
        <w:rPr>
          <w:b/>
          <w:sz w:val="28"/>
          <w:szCs w:val="28"/>
        </w:rPr>
        <w:t xml:space="preserve"> et 2</w:t>
      </w:r>
    </w:p>
    <w:p w14:paraId="36A8ACB7" w14:textId="77777777" w:rsidR="00E74FD9" w:rsidRPr="00853AE6" w:rsidRDefault="00020009" w:rsidP="00E74FD9">
      <w:pPr>
        <w:pBdr>
          <w:top w:val="single" w:sz="4" w:space="1" w:color="auto"/>
          <w:left w:val="single" w:sz="4" w:space="4" w:color="auto"/>
          <w:bottom w:val="single" w:sz="4" w:space="1" w:color="auto"/>
          <w:right w:val="single" w:sz="4" w:space="4" w:color="auto"/>
        </w:pBdr>
        <w:jc w:val="center"/>
        <w:rPr>
          <w:b/>
          <w:sz w:val="28"/>
          <w:szCs w:val="28"/>
        </w:rPr>
      </w:pPr>
      <w:r w:rsidRPr="00853AE6">
        <w:rPr>
          <w:b/>
          <w:sz w:val="22"/>
          <w:szCs w:val="28"/>
        </w:rPr>
        <w:br/>
      </w:r>
      <w:r w:rsidR="00837133" w:rsidRPr="008071EA">
        <w:rPr>
          <w:b/>
          <w:sz w:val="36"/>
          <w:szCs w:val="42"/>
        </w:rPr>
        <w:t>Éléments</w:t>
      </w:r>
      <w:r w:rsidR="008071EA" w:rsidRPr="008071EA">
        <w:rPr>
          <w:b/>
          <w:sz w:val="36"/>
          <w:szCs w:val="42"/>
        </w:rPr>
        <w:t xml:space="preserve"> d’introduction au droit administratif</w:t>
      </w:r>
    </w:p>
    <w:p w14:paraId="7FF6B5E1" w14:textId="77777777" w:rsidR="00E74FD9" w:rsidRPr="00853AE6" w:rsidRDefault="00E74FD9" w:rsidP="00E74FD9">
      <w:pPr>
        <w:pBdr>
          <w:top w:val="single" w:sz="4" w:space="1" w:color="auto"/>
          <w:left w:val="single" w:sz="4" w:space="4" w:color="auto"/>
          <w:bottom w:val="single" w:sz="4" w:space="1" w:color="auto"/>
          <w:right w:val="single" w:sz="4" w:space="4" w:color="auto"/>
        </w:pBdr>
        <w:jc w:val="center"/>
        <w:rPr>
          <w:b/>
          <w:sz w:val="28"/>
          <w:szCs w:val="28"/>
        </w:rPr>
      </w:pPr>
    </w:p>
    <w:p w14:paraId="36AC6AEE" w14:textId="77777777" w:rsidR="00E74FD9" w:rsidRPr="00FB7135" w:rsidRDefault="00E74FD9" w:rsidP="00020009">
      <w:pPr>
        <w:spacing w:before="100" w:beforeAutospacing="1" w:after="100" w:afterAutospacing="1"/>
        <w:rPr>
          <w:b/>
          <w:color w:val="000000" w:themeColor="text1"/>
        </w:rPr>
      </w:pPr>
    </w:p>
    <w:p w14:paraId="0F8EFF69" w14:textId="77777777" w:rsidR="00020009" w:rsidRPr="00FB7135" w:rsidRDefault="00020009" w:rsidP="00020009">
      <w:pPr>
        <w:spacing w:before="100" w:beforeAutospacing="1" w:after="100" w:afterAutospacing="1"/>
        <w:rPr>
          <w:b/>
          <w:color w:val="000000" w:themeColor="text1"/>
        </w:rPr>
      </w:pPr>
      <w:r w:rsidRPr="00FB7135">
        <w:rPr>
          <w:b/>
          <w:color w:val="000000" w:themeColor="text1"/>
        </w:rPr>
        <w:t xml:space="preserve">Principaux </w:t>
      </w:r>
      <w:r w:rsidR="0099638E" w:rsidRPr="00FB7135">
        <w:rPr>
          <w:b/>
          <w:color w:val="000000" w:themeColor="text1"/>
        </w:rPr>
        <w:t>thèmes</w:t>
      </w:r>
      <w:r w:rsidR="00246535" w:rsidRPr="00FB7135">
        <w:rPr>
          <w:b/>
          <w:color w:val="000000" w:themeColor="text1"/>
        </w:rPr>
        <w:t xml:space="preserve"> : </w:t>
      </w:r>
    </w:p>
    <w:p w14:paraId="7BE9158A" w14:textId="77777777" w:rsidR="00E74FD9" w:rsidRPr="00FB7135" w:rsidRDefault="00E74FD9" w:rsidP="00E74FD9">
      <w:pPr>
        <w:spacing w:line="360" w:lineRule="auto"/>
        <w:rPr>
          <w:color w:val="000000" w:themeColor="text1"/>
        </w:rPr>
      </w:pPr>
      <w:r w:rsidRPr="00FB7135">
        <w:rPr>
          <w:color w:val="000000" w:themeColor="text1"/>
        </w:rPr>
        <w:t xml:space="preserve">- </w:t>
      </w:r>
      <w:r w:rsidR="008071EA" w:rsidRPr="00FB7135">
        <w:rPr>
          <w:color w:val="000000" w:themeColor="text1"/>
        </w:rPr>
        <w:t>Méthode</w:t>
      </w:r>
      <w:r w:rsidR="00020009" w:rsidRPr="00FB7135">
        <w:rPr>
          <w:color w:val="000000" w:themeColor="text1"/>
        </w:rPr>
        <w:t xml:space="preserve"> </w:t>
      </w:r>
      <w:r w:rsidR="00110394" w:rsidRPr="00FB7135">
        <w:rPr>
          <w:color w:val="000000" w:themeColor="text1"/>
        </w:rPr>
        <w:t>de la dissertation juridique et du commentaire d’arrêt</w:t>
      </w:r>
    </w:p>
    <w:p w14:paraId="37EC4A64" w14:textId="77777777" w:rsidR="008071EA" w:rsidRPr="00FB7135" w:rsidRDefault="00E74FD9" w:rsidP="00E74FD9">
      <w:pPr>
        <w:spacing w:line="360" w:lineRule="auto"/>
        <w:rPr>
          <w:color w:val="000000" w:themeColor="text1"/>
        </w:rPr>
      </w:pPr>
      <w:r w:rsidRPr="00FB7135">
        <w:rPr>
          <w:color w:val="000000" w:themeColor="text1"/>
        </w:rPr>
        <w:t>-</w:t>
      </w:r>
      <w:r w:rsidR="00020009" w:rsidRPr="00FB7135">
        <w:rPr>
          <w:color w:val="000000" w:themeColor="text1"/>
        </w:rPr>
        <w:t xml:space="preserve"> </w:t>
      </w:r>
      <w:r w:rsidR="008071EA" w:rsidRPr="00FB7135">
        <w:rPr>
          <w:color w:val="000000" w:themeColor="text1"/>
        </w:rPr>
        <w:t>Singularité</w:t>
      </w:r>
      <w:r w:rsidR="0086730B" w:rsidRPr="00FB7135">
        <w:rPr>
          <w:color w:val="000000" w:themeColor="text1"/>
        </w:rPr>
        <w:t xml:space="preserve"> </w:t>
      </w:r>
      <w:r w:rsidR="008071EA" w:rsidRPr="00FB7135">
        <w:rPr>
          <w:color w:val="000000" w:themeColor="text1"/>
        </w:rPr>
        <w:t>du droit administratif</w:t>
      </w:r>
      <w:r w:rsidR="002A7569" w:rsidRPr="00FB7135">
        <w:rPr>
          <w:color w:val="000000" w:themeColor="text1"/>
        </w:rPr>
        <w:t xml:space="preserve"> </w:t>
      </w:r>
    </w:p>
    <w:p w14:paraId="7EEEB085" w14:textId="77777777" w:rsidR="008071EA" w:rsidRPr="00FB7135" w:rsidRDefault="008071EA" w:rsidP="00E74FD9">
      <w:pPr>
        <w:spacing w:line="360" w:lineRule="auto"/>
        <w:rPr>
          <w:color w:val="000000" w:themeColor="text1"/>
        </w:rPr>
      </w:pPr>
      <w:r w:rsidRPr="00FB7135">
        <w:rPr>
          <w:color w:val="000000" w:themeColor="text1"/>
        </w:rPr>
        <w:t xml:space="preserve">- Évolutions du droit administratif </w:t>
      </w:r>
    </w:p>
    <w:p w14:paraId="25F6E87C" w14:textId="77777777" w:rsidR="0016116B" w:rsidRPr="00FB7135" w:rsidRDefault="0016116B">
      <w:pPr>
        <w:rPr>
          <w:color w:val="000000" w:themeColor="text1"/>
        </w:rPr>
      </w:pPr>
    </w:p>
    <w:p w14:paraId="0C41B4CB" w14:textId="77777777" w:rsidR="0016116B" w:rsidRDefault="0016116B"/>
    <w:p w14:paraId="4FC177C2" w14:textId="77777777" w:rsidR="00043B6B" w:rsidRPr="000B378D" w:rsidRDefault="005760B5" w:rsidP="00043B6B">
      <w:pPr>
        <w:jc w:val="center"/>
        <w:rPr>
          <w:b/>
          <w:sz w:val="28"/>
        </w:rPr>
      </w:pPr>
      <w:r w:rsidRPr="00043B6B">
        <w:rPr>
          <w:b/>
          <w:sz w:val="28"/>
        </w:rPr>
        <w:br w:type="column"/>
      </w:r>
      <w:r w:rsidRPr="00043B6B">
        <w:rPr>
          <w:b/>
          <w:sz w:val="28"/>
        </w:rPr>
        <w:lastRenderedPageBreak/>
        <w:t>Indications</w:t>
      </w:r>
      <w:r w:rsidR="00F41B94" w:rsidRPr="00043B6B">
        <w:rPr>
          <w:b/>
          <w:sz w:val="28"/>
        </w:rPr>
        <w:t xml:space="preserve"> </w:t>
      </w:r>
      <w:r w:rsidR="00B163D7" w:rsidRPr="00043B6B">
        <w:rPr>
          <w:b/>
          <w:sz w:val="28"/>
        </w:rPr>
        <w:t>bib</w:t>
      </w:r>
      <w:r w:rsidR="00B163D7" w:rsidRPr="000B378D">
        <w:rPr>
          <w:b/>
          <w:sz w:val="28"/>
        </w:rPr>
        <w:t>liographiques</w:t>
      </w:r>
    </w:p>
    <w:p w14:paraId="4C1C272A" w14:textId="77777777" w:rsidR="0016116B" w:rsidRPr="000B378D" w:rsidRDefault="00213D31" w:rsidP="00043B6B">
      <w:pPr>
        <w:jc w:val="center"/>
        <w:rPr>
          <w:b/>
        </w:rPr>
      </w:pPr>
      <w:r w:rsidRPr="000B378D">
        <w:t>(destinées à vous guider,</w:t>
      </w:r>
      <w:r w:rsidR="000906AB" w:rsidRPr="000B378D">
        <w:t xml:space="preserve"> selon vos </w:t>
      </w:r>
      <w:r w:rsidR="00043B6B" w:rsidRPr="000B378D">
        <w:t>habitudes de travail</w:t>
      </w:r>
      <w:r w:rsidR="00C21A72" w:rsidRPr="000B378D">
        <w:t>, besoins</w:t>
      </w:r>
      <w:r w:rsidR="00043B6B" w:rsidRPr="000B378D">
        <w:t xml:space="preserve"> et </w:t>
      </w:r>
      <w:r w:rsidR="000906AB" w:rsidRPr="000B378D">
        <w:t>préférences)</w:t>
      </w:r>
    </w:p>
    <w:p w14:paraId="6F17605B" w14:textId="77777777" w:rsidR="00BA2765" w:rsidRPr="000B378D" w:rsidRDefault="00BA2765" w:rsidP="00EF60D2">
      <w:pPr>
        <w:rPr>
          <w:b/>
          <w:bCs/>
        </w:rPr>
      </w:pPr>
    </w:p>
    <w:p w14:paraId="6ED864B0" w14:textId="77777777" w:rsidR="00BE0B61" w:rsidRPr="000B378D" w:rsidRDefault="00BE0B61" w:rsidP="00EF60D2">
      <w:pPr>
        <w:rPr>
          <w:b/>
          <w:bCs/>
        </w:rPr>
      </w:pPr>
    </w:p>
    <w:p w14:paraId="7E9BA7D9" w14:textId="77777777" w:rsidR="00BE0B61" w:rsidRPr="000B378D" w:rsidRDefault="00BE0B61" w:rsidP="00EF60D2">
      <w:pPr>
        <w:rPr>
          <w:b/>
          <w:bCs/>
        </w:rPr>
      </w:pPr>
    </w:p>
    <w:p w14:paraId="34833009" w14:textId="77777777" w:rsidR="0016116B" w:rsidRPr="000B378D" w:rsidRDefault="0016116B" w:rsidP="00EF60D2">
      <w:r w:rsidRPr="000B378D">
        <w:rPr>
          <w:b/>
          <w:bCs/>
        </w:rPr>
        <w:t xml:space="preserve">Ouvrages </w:t>
      </w:r>
      <w:r w:rsidR="007A0853" w:rsidRPr="000B378D">
        <w:rPr>
          <w:b/>
          <w:bCs/>
        </w:rPr>
        <w:t>généraux</w:t>
      </w:r>
      <w:r w:rsidRPr="000B378D">
        <w:rPr>
          <w:b/>
          <w:bCs/>
        </w:rPr>
        <w:t xml:space="preserve"> </w:t>
      </w:r>
    </w:p>
    <w:p w14:paraId="27D69B05" w14:textId="77777777" w:rsidR="00EF60D2" w:rsidRPr="000B378D" w:rsidRDefault="00EF60D2" w:rsidP="00EF60D2">
      <w:pPr>
        <w:spacing w:line="276" w:lineRule="auto"/>
        <w:contextualSpacing/>
        <w:rPr>
          <w:sz w:val="10"/>
          <w:szCs w:val="10"/>
        </w:rPr>
      </w:pPr>
    </w:p>
    <w:p w14:paraId="6F05C8CF" w14:textId="77777777" w:rsidR="00750B4C" w:rsidRPr="000B378D" w:rsidRDefault="00750B4C" w:rsidP="00750B4C">
      <w:pPr>
        <w:spacing w:line="276" w:lineRule="auto"/>
        <w:ind w:right="-1440"/>
        <w:jc w:val="both"/>
        <w:rPr>
          <w:color w:val="000000"/>
          <w:szCs w:val="22"/>
        </w:rPr>
      </w:pPr>
      <w:r w:rsidRPr="000B378D">
        <w:rPr>
          <w:color w:val="000000"/>
          <w:szCs w:val="22"/>
        </w:rPr>
        <w:t xml:space="preserve">- P. Bourdon, J. Morand-Deviller, F. Poulet, </w:t>
      </w:r>
      <w:r w:rsidRPr="000B378D">
        <w:rPr>
          <w:i/>
          <w:iCs/>
          <w:color w:val="000000"/>
          <w:szCs w:val="22"/>
        </w:rPr>
        <w:t>Droit administratif</w:t>
      </w:r>
      <w:r w:rsidRPr="000B378D">
        <w:rPr>
          <w:color w:val="000000"/>
          <w:szCs w:val="22"/>
        </w:rPr>
        <w:t>, LGDJ, 1</w:t>
      </w:r>
      <w:r w:rsidR="00541850" w:rsidRPr="000B378D">
        <w:rPr>
          <w:color w:val="000000"/>
          <w:szCs w:val="22"/>
        </w:rPr>
        <w:t>8</w:t>
      </w:r>
      <w:r w:rsidRPr="000B378D">
        <w:rPr>
          <w:color w:val="000000"/>
          <w:szCs w:val="22"/>
        </w:rPr>
        <w:t>e éd., 202</w:t>
      </w:r>
      <w:r w:rsidR="00541850" w:rsidRPr="000B378D">
        <w:rPr>
          <w:color w:val="000000"/>
          <w:szCs w:val="22"/>
        </w:rPr>
        <w:t>3</w:t>
      </w:r>
      <w:r w:rsidRPr="000B378D">
        <w:rPr>
          <w:color w:val="000000"/>
          <w:szCs w:val="22"/>
        </w:rPr>
        <w:t xml:space="preserve"> </w:t>
      </w:r>
    </w:p>
    <w:p w14:paraId="4BF59DAB" w14:textId="77777777" w:rsidR="005603CB" w:rsidRPr="000B378D" w:rsidRDefault="005603CB" w:rsidP="005603CB">
      <w:pPr>
        <w:spacing w:line="276" w:lineRule="auto"/>
        <w:jc w:val="both"/>
        <w:rPr>
          <w:color w:val="000000"/>
          <w:szCs w:val="22"/>
        </w:rPr>
      </w:pPr>
      <w:r w:rsidRPr="000B378D">
        <w:rPr>
          <w:color w:val="000000"/>
          <w:szCs w:val="22"/>
        </w:rPr>
        <w:t xml:space="preserve">- P. Delvolvé, </w:t>
      </w:r>
      <w:r w:rsidRPr="000B378D">
        <w:rPr>
          <w:i/>
          <w:iCs/>
          <w:color w:val="000000"/>
          <w:szCs w:val="22"/>
        </w:rPr>
        <w:t>Le droit administratif</w:t>
      </w:r>
      <w:r w:rsidRPr="000B378D">
        <w:rPr>
          <w:color w:val="000000"/>
          <w:szCs w:val="22"/>
        </w:rPr>
        <w:t xml:space="preserve">, Dalloz, </w:t>
      </w:r>
      <w:r w:rsidR="007F7446" w:rsidRPr="000B378D">
        <w:rPr>
          <w:color w:val="000000"/>
          <w:szCs w:val="22"/>
        </w:rPr>
        <w:t>8</w:t>
      </w:r>
      <w:r w:rsidRPr="000B378D">
        <w:rPr>
          <w:color w:val="000000"/>
          <w:szCs w:val="22"/>
        </w:rPr>
        <w:t>e éd., 20</w:t>
      </w:r>
      <w:r w:rsidR="007F7446" w:rsidRPr="000B378D">
        <w:rPr>
          <w:color w:val="000000"/>
          <w:szCs w:val="22"/>
        </w:rPr>
        <w:t>24</w:t>
      </w:r>
    </w:p>
    <w:p w14:paraId="28AE7553" w14:textId="77777777" w:rsidR="0025447E" w:rsidRPr="000B378D" w:rsidRDefault="0025447E" w:rsidP="005603CB">
      <w:pPr>
        <w:spacing w:line="276" w:lineRule="auto"/>
        <w:jc w:val="both"/>
        <w:rPr>
          <w:color w:val="000000"/>
          <w:szCs w:val="22"/>
        </w:rPr>
      </w:pPr>
      <w:r w:rsidRPr="000B378D">
        <w:rPr>
          <w:color w:val="000000"/>
          <w:szCs w:val="22"/>
        </w:rPr>
        <w:t xml:space="preserve">- G. Dumont et J. Sirinelli, </w:t>
      </w:r>
      <w:r w:rsidRPr="000B378D">
        <w:rPr>
          <w:i/>
          <w:iCs/>
          <w:color w:val="000000"/>
          <w:szCs w:val="22"/>
        </w:rPr>
        <w:t>Droit administratif</w:t>
      </w:r>
      <w:r w:rsidRPr="000B378D">
        <w:rPr>
          <w:color w:val="000000"/>
          <w:szCs w:val="22"/>
        </w:rPr>
        <w:t>, Dalloz, 1</w:t>
      </w:r>
      <w:r w:rsidR="007F7446" w:rsidRPr="000B378D">
        <w:rPr>
          <w:color w:val="000000"/>
          <w:szCs w:val="22"/>
        </w:rPr>
        <w:t>5</w:t>
      </w:r>
      <w:r w:rsidRPr="000B378D">
        <w:rPr>
          <w:color w:val="000000"/>
          <w:szCs w:val="22"/>
        </w:rPr>
        <w:t>e éd, 202</w:t>
      </w:r>
      <w:r w:rsidR="007F7446" w:rsidRPr="000B378D">
        <w:rPr>
          <w:color w:val="000000"/>
          <w:szCs w:val="22"/>
        </w:rPr>
        <w:t>3</w:t>
      </w:r>
    </w:p>
    <w:p w14:paraId="47D7C094" w14:textId="77777777" w:rsidR="005603CB" w:rsidRPr="000B378D" w:rsidRDefault="005603CB" w:rsidP="005603CB">
      <w:pPr>
        <w:spacing w:line="276" w:lineRule="auto"/>
        <w:jc w:val="both"/>
        <w:rPr>
          <w:color w:val="000000"/>
          <w:szCs w:val="22"/>
        </w:rPr>
      </w:pPr>
      <w:r w:rsidRPr="000B378D">
        <w:rPr>
          <w:color w:val="000000"/>
          <w:szCs w:val="22"/>
        </w:rPr>
        <w:t xml:space="preserve">- P.-L. Frier et J. Petit, </w:t>
      </w:r>
      <w:r w:rsidRPr="000B378D">
        <w:rPr>
          <w:i/>
          <w:iCs/>
          <w:color w:val="000000"/>
          <w:szCs w:val="22"/>
        </w:rPr>
        <w:t>Droit administratif</w:t>
      </w:r>
      <w:r w:rsidRPr="000B378D">
        <w:rPr>
          <w:color w:val="000000"/>
          <w:szCs w:val="22"/>
        </w:rPr>
        <w:t>, Montchrestien, 1</w:t>
      </w:r>
      <w:r w:rsidR="007F7446" w:rsidRPr="000B378D">
        <w:rPr>
          <w:color w:val="000000"/>
          <w:szCs w:val="22"/>
        </w:rPr>
        <w:t>8</w:t>
      </w:r>
      <w:r w:rsidRPr="000B378D">
        <w:rPr>
          <w:color w:val="000000"/>
          <w:szCs w:val="22"/>
        </w:rPr>
        <w:t>e éd., 202</w:t>
      </w:r>
      <w:r w:rsidR="007F7446" w:rsidRPr="000B378D">
        <w:rPr>
          <w:color w:val="000000"/>
          <w:szCs w:val="22"/>
        </w:rPr>
        <w:t>4</w:t>
      </w:r>
    </w:p>
    <w:p w14:paraId="3B03B5EC" w14:textId="77777777" w:rsidR="005603CB" w:rsidRPr="000B378D" w:rsidRDefault="005603CB" w:rsidP="005603CB">
      <w:pPr>
        <w:spacing w:line="276" w:lineRule="auto"/>
        <w:jc w:val="both"/>
        <w:rPr>
          <w:color w:val="000000"/>
          <w:szCs w:val="22"/>
        </w:rPr>
      </w:pPr>
      <w:r w:rsidRPr="000B378D">
        <w:rPr>
          <w:color w:val="000000"/>
          <w:szCs w:val="22"/>
        </w:rPr>
        <w:t xml:space="preserve">- P. Gonod, F. Melleray et Ph. Yolka, </w:t>
      </w:r>
      <w:r w:rsidRPr="000B378D">
        <w:rPr>
          <w:i/>
          <w:iCs/>
          <w:color w:val="000000"/>
          <w:szCs w:val="22"/>
        </w:rPr>
        <w:t>Traité de droit administratif</w:t>
      </w:r>
      <w:r w:rsidRPr="000B378D">
        <w:rPr>
          <w:color w:val="000000"/>
          <w:szCs w:val="22"/>
        </w:rPr>
        <w:t>, Dalloz, 2 tomes, 2011 </w:t>
      </w:r>
    </w:p>
    <w:p w14:paraId="1866F581" w14:textId="77777777" w:rsidR="005603CB" w:rsidRPr="000B378D" w:rsidRDefault="005603CB" w:rsidP="005603CB">
      <w:pPr>
        <w:spacing w:line="276" w:lineRule="auto"/>
        <w:jc w:val="both"/>
        <w:rPr>
          <w:color w:val="000000"/>
          <w:szCs w:val="22"/>
        </w:rPr>
      </w:pPr>
      <w:r w:rsidRPr="000B378D">
        <w:rPr>
          <w:color w:val="000000"/>
          <w:szCs w:val="22"/>
        </w:rPr>
        <w:t xml:space="preserve">- P. Gonod, </w:t>
      </w:r>
      <w:r w:rsidRPr="000B378D">
        <w:rPr>
          <w:i/>
          <w:iCs/>
          <w:color w:val="000000"/>
          <w:szCs w:val="22"/>
        </w:rPr>
        <w:t>Droit administratif général</w:t>
      </w:r>
      <w:r w:rsidRPr="000B378D">
        <w:rPr>
          <w:color w:val="000000"/>
          <w:szCs w:val="22"/>
        </w:rPr>
        <w:t xml:space="preserve">, Dalloz, </w:t>
      </w:r>
      <w:r w:rsidR="007F7446" w:rsidRPr="000B378D">
        <w:rPr>
          <w:color w:val="000000"/>
          <w:szCs w:val="22"/>
        </w:rPr>
        <w:t>4</w:t>
      </w:r>
      <w:r w:rsidRPr="000B378D">
        <w:rPr>
          <w:color w:val="000000"/>
          <w:szCs w:val="22"/>
        </w:rPr>
        <w:t>e éd, 202</w:t>
      </w:r>
      <w:r w:rsidR="007F7446" w:rsidRPr="000B378D">
        <w:rPr>
          <w:color w:val="000000"/>
          <w:szCs w:val="22"/>
        </w:rPr>
        <w:t>4</w:t>
      </w:r>
    </w:p>
    <w:p w14:paraId="40E51660" w14:textId="77777777" w:rsidR="005603CB" w:rsidRPr="000B378D" w:rsidRDefault="005603CB" w:rsidP="005603CB">
      <w:pPr>
        <w:spacing w:line="276" w:lineRule="auto"/>
        <w:jc w:val="both"/>
        <w:rPr>
          <w:color w:val="000000"/>
          <w:szCs w:val="22"/>
        </w:rPr>
      </w:pPr>
      <w:r w:rsidRPr="000B378D">
        <w:rPr>
          <w:color w:val="000000"/>
          <w:szCs w:val="22"/>
        </w:rPr>
        <w:t xml:space="preserve">- B. Plessix, </w:t>
      </w:r>
      <w:r w:rsidRPr="000B378D">
        <w:rPr>
          <w:i/>
          <w:iCs/>
          <w:color w:val="000000"/>
          <w:szCs w:val="22"/>
        </w:rPr>
        <w:t>Droit administratif général</w:t>
      </w:r>
      <w:r w:rsidRPr="000B378D">
        <w:rPr>
          <w:color w:val="000000"/>
          <w:szCs w:val="22"/>
        </w:rPr>
        <w:t xml:space="preserve">, LexisNexis, </w:t>
      </w:r>
      <w:r w:rsidR="007F7446" w:rsidRPr="000B378D">
        <w:rPr>
          <w:color w:val="000000"/>
          <w:szCs w:val="22"/>
        </w:rPr>
        <w:t>5</w:t>
      </w:r>
      <w:r w:rsidRPr="000B378D">
        <w:rPr>
          <w:color w:val="000000"/>
          <w:szCs w:val="22"/>
        </w:rPr>
        <w:t>e, 202</w:t>
      </w:r>
      <w:r w:rsidR="007F7446" w:rsidRPr="000B378D">
        <w:rPr>
          <w:color w:val="000000"/>
          <w:szCs w:val="22"/>
        </w:rPr>
        <w:t>4</w:t>
      </w:r>
    </w:p>
    <w:p w14:paraId="2F9849C7" w14:textId="77777777" w:rsidR="005603CB" w:rsidRPr="000B378D" w:rsidRDefault="005603CB" w:rsidP="005603CB">
      <w:pPr>
        <w:spacing w:line="276" w:lineRule="auto"/>
        <w:jc w:val="both"/>
        <w:rPr>
          <w:color w:val="000000"/>
          <w:szCs w:val="22"/>
        </w:rPr>
      </w:pPr>
      <w:r w:rsidRPr="000B378D">
        <w:rPr>
          <w:color w:val="000000"/>
          <w:szCs w:val="22"/>
        </w:rPr>
        <w:t xml:space="preserve">- B. Seiller, </w:t>
      </w:r>
      <w:r w:rsidRPr="000B378D">
        <w:rPr>
          <w:i/>
          <w:iCs/>
          <w:color w:val="000000"/>
          <w:szCs w:val="22"/>
        </w:rPr>
        <w:t>Droit administratif</w:t>
      </w:r>
      <w:r w:rsidRPr="000B378D">
        <w:rPr>
          <w:color w:val="000000"/>
          <w:szCs w:val="22"/>
        </w:rPr>
        <w:t xml:space="preserve">, Flammarion, T1, </w:t>
      </w:r>
      <w:r w:rsidR="00541850" w:rsidRPr="000B378D">
        <w:rPr>
          <w:color w:val="000000"/>
          <w:szCs w:val="22"/>
        </w:rPr>
        <w:t>9</w:t>
      </w:r>
      <w:r w:rsidRPr="000B378D">
        <w:rPr>
          <w:color w:val="000000"/>
          <w:szCs w:val="22"/>
        </w:rPr>
        <w:t>e éd., 202</w:t>
      </w:r>
      <w:r w:rsidR="00541850" w:rsidRPr="000B378D">
        <w:rPr>
          <w:color w:val="000000"/>
          <w:szCs w:val="22"/>
        </w:rPr>
        <w:t>3</w:t>
      </w:r>
      <w:r w:rsidRPr="000B378D">
        <w:rPr>
          <w:color w:val="000000"/>
          <w:szCs w:val="22"/>
        </w:rPr>
        <w:t xml:space="preserve"> ; T2, </w:t>
      </w:r>
      <w:r w:rsidR="007F7446" w:rsidRPr="000B378D">
        <w:rPr>
          <w:color w:val="000000"/>
          <w:szCs w:val="22"/>
        </w:rPr>
        <w:t>9</w:t>
      </w:r>
      <w:r w:rsidRPr="000B378D">
        <w:rPr>
          <w:color w:val="000000"/>
          <w:szCs w:val="22"/>
        </w:rPr>
        <w:t>e éd., 202</w:t>
      </w:r>
      <w:r w:rsidR="007F7446" w:rsidRPr="000B378D">
        <w:rPr>
          <w:color w:val="000000"/>
          <w:szCs w:val="22"/>
        </w:rPr>
        <w:t>4</w:t>
      </w:r>
    </w:p>
    <w:p w14:paraId="00531629" w14:textId="77777777" w:rsidR="005603CB" w:rsidRPr="000B378D" w:rsidRDefault="005603CB" w:rsidP="005603CB">
      <w:pPr>
        <w:spacing w:line="276" w:lineRule="auto"/>
        <w:jc w:val="both"/>
        <w:rPr>
          <w:color w:val="000000"/>
          <w:szCs w:val="22"/>
        </w:rPr>
      </w:pPr>
      <w:r w:rsidRPr="000B378D">
        <w:rPr>
          <w:color w:val="000000"/>
          <w:szCs w:val="22"/>
        </w:rPr>
        <w:t xml:space="preserve">- D. Truchet, </w:t>
      </w:r>
      <w:r w:rsidRPr="000B378D">
        <w:rPr>
          <w:i/>
          <w:iCs/>
          <w:color w:val="000000"/>
          <w:szCs w:val="22"/>
        </w:rPr>
        <w:t>Droit administratif</w:t>
      </w:r>
      <w:r w:rsidRPr="000B378D">
        <w:rPr>
          <w:color w:val="000000"/>
          <w:szCs w:val="22"/>
        </w:rPr>
        <w:t xml:space="preserve">, PUF, </w:t>
      </w:r>
      <w:r w:rsidR="00541850" w:rsidRPr="000B378D">
        <w:rPr>
          <w:color w:val="000000"/>
          <w:szCs w:val="22"/>
        </w:rPr>
        <w:t>10</w:t>
      </w:r>
      <w:r w:rsidRPr="000B378D">
        <w:rPr>
          <w:color w:val="000000"/>
          <w:szCs w:val="22"/>
        </w:rPr>
        <w:t>e éd., 20</w:t>
      </w:r>
      <w:r w:rsidR="00DB16F1" w:rsidRPr="000B378D">
        <w:rPr>
          <w:color w:val="000000"/>
          <w:szCs w:val="22"/>
        </w:rPr>
        <w:t>2</w:t>
      </w:r>
      <w:r w:rsidR="00541850" w:rsidRPr="000B378D">
        <w:rPr>
          <w:color w:val="000000"/>
          <w:szCs w:val="22"/>
        </w:rPr>
        <w:t>3</w:t>
      </w:r>
    </w:p>
    <w:p w14:paraId="0E85E596" w14:textId="77777777" w:rsidR="005603CB" w:rsidRPr="000B378D" w:rsidRDefault="005603CB" w:rsidP="005603CB">
      <w:pPr>
        <w:spacing w:line="276" w:lineRule="auto"/>
        <w:ind w:right="-1440"/>
        <w:jc w:val="both"/>
        <w:rPr>
          <w:color w:val="000000"/>
          <w:szCs w:val="22"/>
        </w:rPr>
      </w:pPr>
      <w:r w:rsidRPr="000B378D">
        <w:rPr>
          <w:color w:val="000000"/>
          <w:szCs w:val="22"/>
        </w:rPr>
        <w:t xml:space="preserve">- </w:t>
      </w:r>
      <w:r w:rsidR="00541850" w:rsidRPr="000B378D">
        <w:rPr>
          <w:color w:val="000000"/>
          <w:szCs w:val="22"/>
        </w:rPr>
        <w:t xml:space="preserve">G. Eckert, É. Muller, </w:t>
      </w:r>
      <w:r w:rsidRPr="000B378D">
        <w:rPr>
          <w:color w:val="000000"/>
          <w:szCs w:val="22"/>
        </w:rPr>
        <w:t xml:space="preserve">J. Waline, </w:t>
      </w:r>
      <w:r w:rsidRPr="000B378D">
        <w:rPr>
          <w:i/>
          <w:iCs/>
          <w:color w:val="000000"/>
          <w:szCs w:val="22"/>
        </w:rPr>
        <w:t>Droit administratif</w:t>
      </w:r>
      <w:r w:rsidRPr="000B378D">
        <w:rPr>
          <w:color w:val="000000"/>
          <w:szCs w:val="22"/>
        </w:rPr>
        <w:t>, Dalloz, 2</w:t>
      </w:r>
      <w:r w:rsidR="00541850" w:rsidRPr="000B378D">
        <w:rPr>
          <w:color w:val="000000"/>
          <w:szCs w:val="22"/>
        </w:rPr>
        <w:t>9</w:t>
      </w:r>
      <w:r w:rsidRPr="000B378D">
        <w:rPr>
          <w:color w:val="000000"/>
          <w:szCs w:val="22"/>
        </w:rPr>
        <w:t>e éd., 202</w:t>
      </w:r>
      <w:r w:rsidR="00541850" w:rsidRPr="000B378D">
        <w:rPr>
          <w:color w:val="000000"/>
          <w:szCs w:val="22"/>
        </w:rPr>
        <w:t>3</w:t>
      </w:r>
    </w:p>
    <w:p w14:paraId="41C551EF" w14:textId="77777777" w:rsidR="005603CB" w:rsidRPr="000B378D" w:rsidRDefault="005603CB" w:rsidP="005603CB">
      <w:pPr>
        <w:spacing w:line="276" w:lineRule="auto"/>
        <w:ind w:right="-1440"/>
        <w:jc w:val="both"/>
        <w:rPr>
          <w:color w:val="000000"/>
          <w:szCs w:val="22"/>
        </w:rPr>
      </w:pPr>
      <w:r w:rsidRPr="000B378D">
        <w:rPr>
          <w:color w:val="000000"/>
          <w:szCs w:val="22"/>
        </w:rPr>
        <w:t xml:space="preserve">- P. Weil et D. Pouyaud, </w:t>
      </w:r>
      <w:r w:rsidRPr="000B378D">
        <w:rPr>
          <w:i/>
          <w:iCs/>
          <w:color w:val="000000"/>
          <w:szCs w:val="22"/>
        </w:rPr>
        <w:t>Droit administratif</w:t>
      </w:r>
      <w:r w:rsidRPr="000B378D">
        <w:rPr>
          <w:color w:val="000000"/>
          <w:szCs w:val="22"/>
        </w:rPr>
        <w:t>, Que sais-je, PUF, 2</w:t>
      </w:r>
      <w:r w:rsidR="007F7446" w:rsidRPr="000B378D">
        <w:rPr>
          <w:color w:val="000000"/>
          <w:szCs w:val="22"/>
        </w:rPr>
        <w:t>7</w:t>
      </w:r>
      <w:r w:rsidRPr="000B378D">
        <w:rPr>
          <w:color w:val="000000"/>
          <w:szCs w:val="22"/>
        </w:rPr>
        <w:t>e éd., 202</w:t>
      </w:r>
      <w:r w:rsidR="007F7446" w:rsidRPr="000B378D">
        <w:rPr>
          <w:color w:val="000000"/>
          <w:szCs w:val="22"/>
        </w:rPr>
        <w:t>4</w:t>
      </w:r>
    </w:p>
    <w:p w14:paraId="49E506A3" w14:textId="77777777" w:rsidR="00EF60D2" w:rsidRPr="000B378D" w:rsidRDefault="00EF60D2" w:rsidP="00EF60D2">
      <w:pPr>
        <w:spacing w:line="276" w:lineRule="auto"/>
      </w:pPr>
    </w:p>
    <w:p w14:paraId="723C6BD6" w14:textId="77777777" w:rsidR="00EF60D2" w:rsidRPr="000B378D" w:rsidRDefault="00EF60D2" w:rsidP="00EF60D2">
      <w:pPr>
        <w:rPr>
          <w:b/>
          <w:bCs/>
        </w:rPr>
      </w:pPr>
      <w:r w:rsidRPr="000B378D">
        <w:rPr>
          <w:b/>
          <w:bCs/>
        </w:rPr>
        <w:t>Méthodologie</w:t>
      </w:r>
      <w:r w:rsidR="0016116B" w:rsidRPr="000B378D">
        <w:rPr>
          <w:b/>
          <w:bCs/>
        </w:rPr>
        <w:t xml:space="preserve"> </w:t>
      </w:r>
    </w:p>
    <w:p w14:paraId="1301DBAB" w14:textId="77777777" w:rsidR="00EF60D2" w:rsidRPr="000B378D" w:rsidRDefault="00EF60D2" w:rsidP="00EF60D2">
      <w:pPr>
        <w:rPr>
          <w:sz w:val="10"/>
          <w:szCs w:val="10"/>
        </w:rPr>
      </w:pPr>
    </w:p>
    <w:p w14:paraId="4954EA64" w14:textId="77777777" w:rsidR="005603CB" w:rsidRPr="000B378D" w:rsidRDefault="005603CB" w:rsidP="005603CB">
      <w:pPr>
        <w:spacing w:line="276" w:lineRule="auto"/>
        <w:jc w:val="both"/>
        <w:rPr>
          <w:color w:val="000000"/>
          <w:szCs w:val="22"/>
        </w:rPr>
      </w:pPr>
      <w:r w:rsidRPr="000B378D">
        <w:rPr>
          <w:color w:val="000000"/>
          <w:szCs w:val="22"/>
        </w:rPr>
        <w:t xml:space="preserve">- X. Dupré de Boulois (dir.), </w:t>
      </w:r>
      <w:r w:rsidRPr="000B378D">
        <w:rPr>
          <w:i/>
          <w:iCs/>
          <w:color w:val="000000"/>
          <w:szCs w:val="22"/>
        </w:rPr>
        <w:t>Annales Droit administratif 202</w:t>
      </w:r>
      <w:r w:rsidR="008E558C" w:rsidRPr="000B378D">
        <w:rPr>
          <w:i/>
          <w:iCs/>
          <w:color w:val="000000"/>
          <w:szCs w:val="22"/>
        </w:rPr>
        <w:t>5</w:t>
      </w:r>
      <w:r w:rsidRPr="000B378D">
        <w:rPr>
          <w:i/>
          <w:iCs/>
          <w:color w:val="000000"/>
          <w:szCs w:val="22"/>
        </w:rPr>
        <w:t>.</w:t>
      </w:r>
      <w:r w:rsidRPr="000B378D">
        <w:rPr>
          <w:color w:val="000000"/>
          <w:szCs w:val="22"/>
        </w:rPr>
        <w:t xml:space="preserve"> </w:t>
      </w:r>
      <w:r w:rsidRPr="000B378D">
        <w:rPr>
          <w:i/>
          <w:iCs/>
          <w:color w:val="000000"/>
          <w:szCs w:val="22"/>
        </w:rPr>
        <w:t xml:space="preserve">Méthodologie &amp; sujets corrigés, </w:t>
      </w:r>
      <w:r w:rsidRPr="000B378D">
        <w:rPr>
          <w:color w:val="000000"/>
          <w:szCs w:val="22"/>
        </w:rPr>
        <w:t>Dalloz, 202</w:t>
      </w:r>
      <w:r w:rsidR="008E558C" w:rsidRPr="000B378D">
        <w:rPr>
          <w:color w:val="000000"/>
          <w:szCs w:val="22"/>
        </w:rPr>
        <w:t>4</w:t>
      </w:r>
      <w:r w:rsidRPr="000B378D">
        <w:rPr>
          <w:color w:val="000000"/>
          <w:szCs w:val="22"/>
        </w:rPr>
        <w:t xml:space="preserve"> (voir également les éditions précédentes)</w:t>
      </w:r>
    </w:p>
    <w:p w14:paraId="59B0CBCE" w14:textId="77777777" w:rsidR="00DB16F1" w:rsidRPr="000B378D" w:rsidRDefault="00DB16F1" w:rsidP="005603CB">
      <w:pPr>
        <w:spacing w:line="276" w:lineRule="auto"/>
        <w:jc w:val="both"/>
        <w:rPr>
          <w:color w:val="000000"/>
          <w:szCs w:val="22"/>
        </w:rPr>
      </w:pPr>
      <w:r w:rsidRPr="000B378D">
        <w:rPr>
          <w:color w:val="000000"/>
          <w:szCs w:val="22"/>
        </w:rPr>
        <w:t xml:space="preserve">- F. Grabias, M. Ubaud-Bergeron, B. Plessix, </w:t>
      </w:r>
      <w:r w:rsidRPr="000B378D">
        <w:rPr>
          <w:i/>
          <w:color w:val="000000"/>
          <w:szCs w:val="22"/>
        </w:rPr>
        <w:t>Travaux dirigés droit administratif général</w:t>
      </w:r>
      <w:r w:rsidRPr="000B378D">
        <w:rPr>
          <w:color w:val="000000"/>
          <w:szCs w:val="22"/>
        </w:rPr>
        <w:t xml:space="preserve">, LexisNexis, </w:t>
      </w:r>
      <w:r w:rsidR="006515B5" w:rsidRPr="000B378D">
        <w:rPr>
          <w:color w:val="000000"/>
          <w:szCs w:val="22"/>
        </w:rPr>
        <w:t>3</w:t>
      </w:r>
      <w:r w:rsidR="006515B5" w:rsidRPr="000B378D">
        <w:rPr>
          <w:color w:val="000000"/>
          <w:szCs w:val="22"/>
          <w:vertAlign w:val="superscript"/>
        </w:rPr>
        <w:t>e</w:t>
      </w:r>
      <w:r w:rsidR="006515B5" w:rsidRPr="000B378D">
        <w:rPr>
          <w:color w:val="000000"/>
          <w:szCs w:val="22"/>
        </w:rPr>
        <w:t xml:space="preserve"> éd., </w:t>
      </w:r>
      <w:r w:rsidRPr="000B378D">
        <w:rPr>
          <w:color w:val="000000"/>
          <w:szCs w:val="22"/>
        </w:rPr>
        <w:t>202</w:t>
      </w:r>
      <w:r w:rsidR="008E558C" w:rsidRPr="000B378D">
        <w:rPr>
          <w:color w:val="000000"/>
          <w:szCs w:val="22"/>
        </w:rPr>
        <w:t>4</w:t>
      </w:r>
    </w:p>
    <w:p w14:paraId="6E8770A1" w14:textId="77777777" w:rsidR="00EF60D2" w:rsidRPr="000B378D" w:rsidRDefault="00EF60D2" w:rsidP="00EF60D2">
      <w:pPr>
        <w:rPr>
          <w:b/>
          <w:bCs/>
        </w:rPr>
      </w:pPr>
    </w:p>
    <w:p w14:paraId="5CF8C5AD" w14:textId="77777777" w:rsidR="0016116B" w:rsidRPr="000B378D" w:rsidRDefault="0016116B" w:rsidP="00EF60D2">
      <w:pPr>
        <w:rPr>
          <w:b/>
          <w:bCs/>
        </w:rPr>
      </w:pPr>
      <w:r w:rsidRPr="000B378D">
        <w:rPr>
          <w:b/>
          <w:bCs/>
        </w:rPr>
        <w:t>Recueil commenté d’</w:t>
      </w:r>
      <w:r w:rsidR="00EF60D2" w:rsidRPr="000B378D">
        <w:rPr>
          <w:b/>
          <w:bCs/>
        </w:rPr>
        <w:t>arrêts</w:t>
      </w:r>
      <w:r w:rsidRPr="000B378D">
        <w:rPr>
          <w:b/>
          <w:bCs/>
        </w:rPr>
        <w:t xml:space="preserve"> </w:t>
      </w:r>
    </w:p>
    <w:p w14:paraId="4EC45AFC" w14:textId="77777777" w:rsidR="00EF60D2" w:rsidRPr="000B378D" w:rsidRDefault="00EF60D2" w:rsidP="00EF60D2">
      <w:pPr>
        <w:rPr>
          <w:sz w:val="10"/>
          <w:szCs w:val="10"/>
        </w:rPr>
      </w:pPr>
    </w:p>
    <w:p w14:paraId="5DE346EB" w14:textId="77777777" w:rsidR="005603CB" w:rsidRPr="000B378D" w:rsidRDefault="005603CB" w:rsidP="005603CB">
      <w:pPr>
        <w:spacing w:line="276" w:lineRule="auto"/>
        <w:jc w:val="both"/>
        <w:rPr>
          <w:color w:val="000000"/>
        </w:rPr>
      </w:pPr>
      <w:r w:rsidRPr="000B378D">
        <w:rPr>
          <w:color w:val="000000"/>
        </w:rPr>
        <w:t xml:space="preserve">- S. Braconnier et a., </w:t>
      </w:r>
      <w:r w:rsidRPr="000B378D">
        <w:rPr>
          <w:i/>
          <w:iCs/>
          <w:color w:val="000000"/>
        </w:rPr>
        <w:t>Droit administratif : les grandes décisions de la jurisprudence</w:t>
      </w:r>
      <w:r w:rsidRPr="000B378D">
        <w:rPr>
          <w:color w:val="000000"/>
        </w:rPr>
        <w:t>, PUF, 1</w:t>
      </w:r>
      <w:r w:rsidR="00541850" w:rsidRPr="000B378D">
        <w:rPr>
          <w:color w:val="000000"/>
        </w:rPr>
        <w:t>9</w:t>
      </w:r>
      <w:r w:rsidRPr="000B378D">
        <w:rPr>
          <w:color w:val="000000"/>
        </w:rPr>
        <w:t>e éd., 202</w:t>
      </w:r>
      <w:r w:rsidR="00541850" w:rsidRPr="000B378D">
        <w:rPr>
          <w:color w:val="000000"/>
        </w:rPr>
        <w:t>3</w:t>
      </w:r>
    </w:p>
    <w:p w14:paraId="7324893F" w14:textId="77777777" w:rsidR="005603CB" w:rsidRPr="000B378D" w:rsidRDefault="005603CB" w:rsidP="005603CB">
      <w:pPr>
        <w:spacing w:line="276" w:lineRule="auto"/>
        <w:jc w:val="both"/>
        <w:rPr>
          <w:color w:val="000000"/>
        </w:rPr>
      </w:pPr>
      <w:r w:rsidRPr="000B378D">
        <w:rPr>
          <w:color w:val="000000"/>
        </w:rPr>
        <w:t xml:space="preserve">- G. Braibant et a., </w:t>
      </w:r>
      <w:r w:rsidRPr="000B378D">
        <w:rPr>
          <w:i/>
          <w:iCs/>
          <w:color w:val="000000"/>
        </w:rPr>
        <w:t xml:space="preserve">Grands arrêts de la jurisprudence </w:t>
      </w:r>
      <w:r w:rsidRPr="000B378D">
        <w:rPr>
          <w:color w:val="000000"/>
        </w:rPr>
        <w:t>administrative, Dalloz, 2</w:t>
      </w:r>
      <w:r w:rsidR="00541850" w:rsidRPr="000B378D">
        <w:rPr>
          <w:color w:val="000000"/>
        </w:rPr>
        <w:t>4</w:t>
      </w:r>
      <w:r w:rsidRPr="000B378D">
        <w:rPr>
          <w:color w:val="000000"/>
        </w:rPr>
        <w:t>e éd., 20</w:t>
      </w:r>
      <w:r w:rsidR="00DB16F1" w:rsidRPr="000B378D">
        <w:rPr>
          <w:color w:val="000000"/>
        </w:rPr>
        <w:t>2</w:t>
      </w:r>
      <w:r w:rsidR="00541850" w:rsidRPr="000B378D">
        <w:rPr>
          <w:color w:val="000000"/>
        </w:rPr>
        <w:t>3</w:t>
      </w:r>
    </w:p>
    <w:p w14:paraId="5BB23AF5" w14:textId="77777777" w:rsidR="005603CB" w:rsidRPr="000B378D" w:rsidRDefault="005603CB" w:rsidP="005603CB">
      <w:pPr>
        <w:spacing w:line="276" w:lineRule="auto"/>
        <w:jc w:val="both"/>
        <w:rPr>
          <w:color w:val="000000"/>
        </w:rPr>
      </w:pPr>
      <w:r w:rsidRPr="000B378D">
        <w:rPr>
          <w:color w:val="000000"/>
        </w:rPr>
        <w:t xml:space="preserve">- P. Cassia, J.-C. Bonichot et B. Poujade, </w:t>
      </w:r>
      <w:r w:rsidRPr="000B378D">
        <w:rPr>
          <w:i/>
          <w:iCs/>
          <w:color w:val="000000"/>
        </w:rPr>
        <w:t>Les grands arrêts du contentieux administratif</w:t>
      </w:r>
      <w:r w:rsidRPr="000B378D">
        <w:rPr>
          <w:color w:val="000000"/>
        </w:rPr>
        <w:t xml:space="preserve">, Dalloz, </w:t>
      </w:r>
      <w:r w:rsidR="006515B5" w:rsidRPr="000B378D">
        <w:rPr>
          <w:color w:val="000000"/>
        </w:rPr>
        <w:t>9</w:t>
      </w:r>
      <w:r w:rsidRPr="000B378D">
        <w:rPr>
          <w:color w:val="000000"/>
        </w:rPr>
        <w:t>e éd., 202</w:t>
      </w:r>
      <w:r w:rsidR="006515B5" w:rsidRPr="000B378D">
        <w:rPr>
          <w:color w:val="000000"/>
        </w:rPr>
        <w:t>4</w:t>
      </w:r>
      <w:r w:rsidRPr="000B378D">
        <w:rPr>
          <w:color w:val="000000"/>
        </w:rPr>
        <w:t> </w:t>
      </w:r>
    </w:p>
    <w:p w14:paraId="5F8CB99F" w14:textId="77777777" w:rsidR="00BC7C88" w:rsidRPr="000B378D" w:rsidRDefault="00BC7C88" w:rsidP="00BC7C88">
      <w:pPr>
        <w:spacing w:line="276" w:lineRule="auto"/>
      </w:pPr>
    </w:p>
    <w:p w14:paraId="34B9E2D4" w14:textId="77777777" w:rsidR="0016116B" w:rsidRPr="000B378D" w:rsidRDefault="0016116B">
      <w:pPr>
        <w:rPr>
          <w:b/>
        </w:rPr>
      </w:pPr>
      <w:r w:rsidRPr="000B378D">
        <w:rPr>
          <w:b/>
        </w:rPr>
        <w:t xml:space="preserve">Dictionnaires </w:t>
      </w:r>
    </w:p>
    <w:p w14:paraId="5A3F9F3A" w14:textId="77777777" w:rsidR="00EF60D2" w:rsidRPr="000B378D" w:rsidRDefault="00EF60D2" w:rsidP="00EF60D2">
      <w:pPr>
        <w:spacing w:line="276" w:lineRule="auto"/>
        <w:rPr>
          <w:b/>
          <w:sz w:val="10"/>
          <w:szCs w:val="10"/>
        </w:rPr>
      </w:pPr>
    </w:p>
    <w:p w14:paraId="55CC6775" w14:textId="77777777" w:rsidR="005603CB" w:rsidRPr="000B378D" w:rsidRDefault="005603CB" w:rsidP="005603CB">
      <w:pPr>
        <w:spacing w:line="276" w:lineRule="auto"/>
        <w:jc w:val="both"/>
        <w:rPr>
          <w:color w:val="000000"/>
          <w:szCs w:val="22"/>
        </w:rPr>
      </w:pPr>
      <w:r w:rsidRPr="000B378D">
        <w:rPr>
          <w:color w:val="000000"/>
          <w:szCs w:val="22"/>
        </w:rPr>
        <w:t xml:space="preserve">- G. Cornu (dir.), </w:t>
      </w:r>
      <w:r w:rsidRPr="000B378D">
        <w:rPr>
          <w:i/>
          <w:iCs/>
          <w:color w:val="000000"/>
          <w:szCs w:val="22"/>
        </w:rPr>
        <w:t>Vocabulaire juridique</w:t>
      </w:r>
      <w:r w:rsidRPr="000B378D">
        <w:rPr>
          <w:color w:val="000000"/>
          <w:szCs w:val="22"/>
        </w:rPr>
        <w:t>, PUF, 1</w:t>
      </w:r>
      <w:r w:rsidR="006515B5" w:rsidRPr="000B378D">
        <w:rPr>
          <w:color w:val="000000"/>
          <w:szCs w:val="22"/>
        </w:rPr>
        <w:t>5</w:t>
      </w:r>
      <w:r w:rsidRPr="000B378D">
        <w:rPr>
          <w:color w:val="000000"/>
          <w:szCs w:val="22"/>
          <w:vertAlign w:val="superscript"/>
        </w:rPr>
        <w:t>e</w:t>
      </w:r>
      <w:r w:rsidRPr="000B378D">
        <w:rPr>
          <w:color w:val="000000"/>
          <w:szCs w:val="22"/>
        </w:rPr>
        <w:t>, 20</w:t>
      </w:r>
      <w:r w:rsidR="00DB16F1" w:rsidRPr="000B378D">
        <w:rPr>
          <w:color w:val="000000"/>
          <w:szCs w:val="22"/>
        </w:rPr>
        <w:t>2</w:t>
      </w:r>
      <w:r w:rsidR="006515B5" w:rsidRPr="000B378D">
        <w:rPr>
          <w:color w:val="000000"/>
          <w:szCs w:val="22"/>
        </w:rPr>
        <w:t>4</w:t>
      </w:r>
    </w:p>
    <w:p w14:paraId="1DA9E938" w14:textId="77777777" w:rsidR="005603CB" w:rsidRPr="000B378D" w:rsidRDefault="005603CB" w:rsidP="005603CB">
      <w:pPr>
        <w:spacing w:line="276" w:lineRule="auto"/>
        <w:jc w:val="both"/>
        <w:rPr>
          <w:color w:val="000000"/>
          <w:szCs w:val="22"/>
        </w:rPr>
      </w:pPr>
      <w:r w:rsidRPr="000B378D">
        <w:rPr>
          <w:color w:val="000000"/>
          <w:szCs w:val="22"/>
        </w:rPr>
        <w:t xml:space="preserve">- </w:t>
      </w:r>
      <w:r w:rsidR="00DB16F1" w:rsidRPr="000B378D">
        <w:rPr>
          <w:color w:val="000000"/>
          <w:szCs w:val="22"/>
        </w:rPr>
        <w:t xml:space="preserve">G. Gondouin et </w:t>
      </w:r>
      <w:r w:rsidRPr="000B378D">
        <w:rPr>
          <w:color w:val="000000"/>
          <w:szCs w:val="22"/>
        </w:rPr>
        <w:t xml:space="preserve">A Van Lang, </w:t>
      </w:r>
      <w:r w:rsidRPr="000B378D">
        <w:rPr>
          <w:i/>
          <w:iCs/>
          <w:color w:val="000000"/>
          <w:szCs w:val="22"/>
        </w:rPr>
        <w:t>Dictionnaire de Droit administratif</w:t>
      </w:r>
      <w:r w:rsidRPr="000B378D">
        <w:rPr>
          <w:color w:val="000000"/>
          <w:szCs w:val="22"/>
        </w:rPr>
        <w:t xml:space="preserve">, Sirey, </w:t>
      </w:r>
      <w:r w:rsidR="006515B5" w:rsidRPr="000B378D">
        <w:rPr>
          <w:color w:val="000000"/>
          <w:szCs w:val="22"/>
        </w:rPr>
        <w:t>9</w:t>
      </w:r>
      <w:r w:rsidRPr="000B378D">
        <w:rPr>
          <w:color w:val="000000"/>
          <w:szCs w:val="22"/>
        </w:rPr>
        <w:t>e, 20</w:t>
      </w:r>
      <w:r w:rsidR="00DB16F1" w:rsidRPr="000B378D">
        <w:rPr>
          <w:color w:val="000000"/>
          <w:szCs w:val="22"/>
        </w:rPr>
        <w:t>2</w:t>
      </w:r>
      <w:r w:rsidR="006515B5" w:rsidRPr="000B378D">
        <w:rPr>
          <w:color w:val="000000"/>
          <w:szCs w:val="22"/>
        </w:rPr>
        <w:t>4</w:t>
      </w:r>
    </w:p>
    <w:p w14:paraId="1A64CA89" w14:textId="77777777" w:rsidR="00750B4C" w:rsidRPr="000B378D" w:rsidRDefault="00750B4C" w:rsidP="00750B4C">
      <w:pPr>
        <w:spacing w:line="276" w:lineRule="auto"/>
        <w:jc w:val="both"/>
        <w:rPr>
          <w:color w:val="000000"/>
          <w:szCs w:val="22"/>
        </w:rPr>
      </w:pPr>
      <w:r w:rsidRPr="000B378D">
        <w:rPr>
          <w:color w:val="000000"/>
          <w:szCs w:val="22"/>
        </w:rPr>
        <w:t xml:space="preserve">- M. Touzeil-Divina (dir.), </w:t>
      </w:r>
      <w:r w:rsidRPr="000B378D">
        <w:rPr>
          <w:i/>
          <w:iCs/>
          <w:color w:val="000000"/>
          <w:szCs w:val="22"/>
        </w:rPr>
        <w:t>Dictionnaire de droit public interne</w:t>
      </w:r>
      <w:r w:rsidRPr="000B378D">
        <w:rPr>
          <w:color w:val="000000"/>
          <w:szCs w:val="22"/>
        </w:rPr>
        <w:t>, LexisNexis, 1e, 2017</w:t>
      </w:r>
    </w:p>
    <w:p w14:paraId="27BA9E4C" w14:textId="77777777" w:rsidR="006E07B4" w:rsidRPr="000B378D" w:rsidRDefault="00750B4C" w:rsidP="006E07B4">
      <w:r w:rsidRPr="000B378D">
        <w:t xml:space="preserve"> </w:t>
      </w:r>
    </w:p>
    <w:p w14:paraId="3D5789C0" w14:textId="77777777" w:rsidR="005603CB" w:rsidRPr="000B378D" w:rsidRDefault="005603CB" w:rsidP="005603CB">
      <w:pPr>
        <w:jc w:val="both"/>
        <w:rPr>
          <w:color w:val="000000"/>
          <w:szCs w:val="22"/>
        </w:rPr>
      </w:pPr>
      <w:r w:rsidRPr="000B378D">
        <w:rPr>
          <w:b/>
          <w:bCs/>
          <w:color w:val="000000"/>
          <w:szCs w:val="22"/>
        </w:rPr>
        <w:t>Bases de données juridiques </w:t>
      </w:r>
    </w:p>
    <w:p w14:paraId="624C50CE" w14:textId="77777777" w:rsidR="005603CB" w:rsidRPr="000B378D" w:rsidRDefault="005603CB" w:rsidP="005603CB">
      <w:pPr>
        <w:rPr>
          <w:color w:val="000000"/>
          <w:sz w:val="12"/>
          <w:szCs w:val="12"/>
        </w:rPr>
      </w:pPr>
    </w:p>
    <w:p w14:paraId="24C4E8AC" w14:textId="77777777" w:rsidR="005603CB" w:rsidRPr="000B378D" w:rsidRDefault="005603CB" w:rsidP="005603CB">
      <w:pPr>
        <w:spacing w:line="276" w:lineRule="auto"/>
        <w:jc w:val="both"/>
        <w:rPr>
          <w:color w:val="000000"/>
          <w:szCs w:val="22"/>
        </w:rPr>
      </w:pPr>
      <w:r w:rsidRPr="000B378D">
        <w:rPr>
          <w:color w:val="000000"/>
          <w:szCs w:val="22"/>
        </w:rPr>
        <w:t>- Légifrance</w:t>
      </w:r>
    </w:p>
    <w:p w14:paraId="311ECF4C" w14:textId="77777777" w:rsidR="005603CB" w:rsidRPr="000B378D" w:rsidRDefault="005603CB" w:rsidP="005603CB">
      <w:pPr>
        <w:spacing w:line="276" w:lineRule="auto"/>
        <w:jc w:val="both"/>
        <w:rPr>
          <w:color w:val="000000"/>
          <w:szCs w:val="22"/>
        </w:rPr>
      </w:pPr>
      <w:r w:rsidRPr="000B378D">
        <w:rPr>
          <w:color w:val="000000"/>
          <w:szCs w:val="22"/>
        </w:rPr>
        <w:t>- Dalloz.fr</w:t>
      </w:r>
    </w:p>
    <w:p w14:paraId="06037506" w14:textId="77777777" w:rsidR="005603CB" w:rsidRPr="000B378D" w:rsidRDefault="005603CB" w:rsidP="005603CB">
      <w:pPr>
        <w:spacing w:line="276" w:lineRule="auto"/>
        <w:jc w:val="both"/>
        <w:rPr>
          <w:color w:val="000000"/>
          <w:szCs w:val="22"/>
        </w:rPr>
      </w:pPr>
      <w:r w:rsidRPr="000B378D">
        <w:rPr>
          <w:color w:val="000000"/>
          <w:szCs w:val="22"/>
        </w:rPr>
        <w:t>- Lexis 360</w:t>
      </w:r>
    </w:p>
    <w:p w14:paraId="4DAD158F" w14:textId="77777777" w:rsidR="0092439F" w:rsidRPr="000B378D" w:rsidRDefault="00DB16F1" w:rsidP="00BE0B61">
      <w:pPr>
        <w:spacing w:line="276" w:lineRule="auto"/>
        <w:jc w:val="both"/>
        <w:rPr>
          <w:color w:val="000000"/>
          <w:szCs w:val="22"/>
        </w:rPr>
      </w:pPr>
      <w:r w:rsidRPr="000B378D">
        <w:rPr>
          <w:color w:val="000000"/>
          <w:szCs w:val="22"/>
        </w:rPr>
        <w:t>- Lextenso</w:t>
      </w:r>
    </w:p>
    <w:p w14:paraId="0420F980" w14:textId="77777777" w:rsidR="002E3EF2" w:rsidRPr="000B378D" w:rsidRDefault="0092439F" w:rsidP="00043B6B">
      <w:pPr>
        <w:pStyle w:val="Titolo1"/>
        <w:jc w:val="center"/>
        <w:rPr>
          <w:bCs w:val="0"/>
          <w:color w:val="000000"/>
          <w:sz w:val="28"/>
          <w:szCs w:val="26"/>
        </w:rPr>
      </w:pPr>
      <w:r w:rsidRPr="000B378D">
        <w:rPr>
          <w:sz w:val="28"/>
          <w:szCs w:val="26"/>
        </w:rPr>
        <w:br w:type="column"/>
      </w:r>
      <w:r w:rsidR="002E3EF2" w:rsidRPr="000B378D">
        <w:rPr>
          <w:bCs w:val="0"/>
          <w:color w:val="000000"/>
          <w:sz w:val="28"/>
          <w:szCs w:val="26"/>
        </w:rPr>
        <w:lastRenderedPageBreak/>
        <w:t>Système de notation</w:t>
      </w:r>
    </w:p>
    <w:p w14:paraId="00106238" w14:textId="77777777" w:rsidR="002E3EF2" w:rsidRPr="000B378D" w:rsidRDefault="002E3EF2" w:rsidP="002E3EF2"/>
    <w:p w14:paraId="0F94B319" w14:textId="77777777" w:rsidR="00BE0B61" w:rsidRPr="000B378D" w:rsidRDefault="00BE0B61" w:rsidP="002E3EF2"/>
    <w:p w14:paraId="56A774C3" w14:textId="77777777" w:rsidR="002E3EF2" w:rsidRPr="000B378D" w:rsidRDefault="002E3EF2" w:rsidP="002E3EF2">
      <w:pPr>
        <w:pStyle w:val="NormaleWeb"/>
        <w:spacing w:before="0" w:beforeAutospacing="0" w:after="0" w:afterAutospacing="0"/>
        <w:ind w:firstLine="720"/>
        <w:jc w:val="both"/>
        <w:rPr>
          <w:color w:val="000000"/>
        </w:rPr>
      </w:pPr>
      <w:r w:rsidRPr="000B378D">
        <w:rPr>
          <w:color w:val="000000"/>
        </w:rPr>
        <w:t xml:space="preserve">La note de droit administratif général sera composée à 50% de la note de TD et à 50% de la note </w:t>
      </w:r>
      <w:r w:rsidR="00715CF4" w:rsidRPr="000B378D">
        <w:rPr>
          <w:color w:val="000000"/>
        </w:rPr>
        <w:t>obtenue à</w:t>
      </w:r>
      <w:r w:rsidR="00DF300F" w:rsidRPr="000B378D">
        <w:rPr>
          <w:color w:val="000000"/>
        </w:rPr>
        <w:t xml:space="preserve"> </w:t>
      </w:r>
      <w:r w:rsidR="0057107B" w:rsidRPr="000B378D">
        <w:rPr>
          <w:color w:val="000000"/>
        </w:rPr>
        <w:t>l</w:t>
      </w:r>
      <w:r w:rsidRPr="000B378D">
        <w:rPr>
          <w:color w:val="000000"/>
        </w:rPr>
        <w:t>’examen final. </w:t>
      </w:r>
    </w:p>
    <w:p w14:paraId="71374A8D" w14:textId="77777777" w:rsidR="002E3EF2" w:rsidRPr="000B378D" w:rsidRDefault="002E3EF2" w:rsidP="002E3EF2">
      <w:pPr>
        <w:rPr>
          <w:color w:val="000000"/>
        </w:rPr>
      </w:pPr>
    </w:p>
    <w:p w14:paraId="7133F88F" w14:textId="77777777" w:rsidR="002E3EF2" w:rsidRPr="000B378D" w:rsidRDefault="002E3EF2" w:rsidP="002E3EF2">
      <w:pPr>
        <w:pStyle w:val="NormaleWeb"/>
        <w:spacing w:before="0" w:beforeAutospacing="0" w:after="0" w:afterAutospacing="0"/>
        <w:ind w:firstLine="720"/>
        <w:jc w:val="both"/>
        <w:rPr>
          <w:color w:val="000000"/>
        </w:rPr>
      </w:pPr>
      <w:r w:rsidRPr="000B378D">
        <w:rPr>
          <w:b/>
          <w:bCs/>
          <w:color w:val="000000"/>
        </w:rPr>
        <w:t>La note de TD sera composée :</w:t>
      </w:r>
    </w:p>
    <w:p w14:paraId="71D37105" w14:textId="77777777" w:rsidR="002E3EF2" w:rsidRPr="000B378D" w:rsidRDefault="002E3EF2" w:rsidP="002E3EF2">
      <w:pPr>
        <w:rPr>
          <w:color w:val="000000"/>
        </w:rPr>
      </w:pPr>
    </w:p>
    <w:p w14:paraId="57A3BC62" w14:textId="77777777" w:rsidR="002E3EF2" w:rsidRPr="000B378D" w:rsidRDefault="002E3EF2" w:rsidP="002E3EF2">
      <w:pPr>
        <w:pStyle w:val="NormaleWeb"/>
        <w:numPr>
          <w:ilvl w:val="0"/>
          <w:numId w:val="17"/>
        </w:numPr>
        <w:spacing w:before="0" w:beforeAutospacing="0" w:after="0" w:afterAutospacing="0"/>
        <w:ind w:left="1440"/>
        <w:jc w:val="both"/>
        <w:textAlignment w:val="baseline"/>
        <w:rPr>
          <w:color w:val="000000"/>
        </w:rPr>
      </w:pPr>
      <w:r w:rsidRPr="000B378D">
        <w:rPr>
          <w:color w:val="000000"/>
        </w:rPr>
        <w:t>pour ⅓ de la note d</w:t>
      </w:r>
      <w:r w:rsidR="0091792A" w:rsidRPr="000B378D">
        <w:rPr>
          <w:color w:val="000000"/>
        </w:rPr>
        <w:t>u</w:t>
      </w:r>
      <w:r w:rsidRPr="000B378D">
        <w:rPr>
          <w:color w:val="000000"/>
        </w:rPr>
        <w:t xml:space="preserve"> galop</w:t>
      </w:r>
      <w:r w:rsidR="00C31588" w:rsidRPr="000B378D">
        <w:rPr>
          <w:color w:val="000000"/>
        </w:rPr>
        <w:t xml:space="preserve"> d’essai</w:t>
      </w:r>
      <w:r w:rsidRPr="000B378D">
        <w:rPr>
          <w:color w:val="000000"/>
        </w:rPr>
        <w:t xml:space="preserve"> ; </w:t>
      </w:r>
    </w:p>
    <w:p w14:paraId="3F7EE746" w14:textId="61DE0744" w:rsidR="002E3EF2" w:rsidRPr="000B378D" w:rsidRDefault="002E3EF2" w:rsidP="002E3EF2">
      <w:pPr>
        <w:pStyle w:val="NormaleWeb"/>
        <w:numPr>
          <w:ilvl w:val="0"/>
          <w:numId w:val="17"/>
        </w:numPr>
        <w:spacing w:before="0" w:beforeAutospacing="0" w:after="0" w:afterAutospacing="0"/>
        <w:ind w:left="1440"/>
        <w:jc w:val="both"/>
        <w:textAlignment w:val="baseline"/>
        <w:rPr>
          <w:color w:val="000000"/>
        </w:rPr>
      </w:pPr>
      <w:r w:rsidRPr="000B378D">
        <w:rPr>
          <w:color w:val="000000"/>
        </w:rPr>
        <w:t>pour ⅓ de la note de</w:t>
      </w:r>
      <w:r w:rsidR="009E14B9">
        <w:rPr>
          <w:color w:val="000000"/>
        </w:rPr>
        <w:t xml:space="preserve"> participation </w:t>
      </w:r>
      <w:r w:rsidRPr="000B378D">
        <w:rPr>
          <w:color w:val="000000"/>
        </w:rPr>
        <w:t>; </w:t>
      </w:r>
    </w:p>
    <w:p w14:paraId="027B42F2" w14:textId="46408D17" w:rsidR="002E3EF2" w:rsidRPr="000B378D" w:rsidRDefault="002E3EF2" w:rsidP="002E3EF2">
      <w:pPr>
        <w:pStyle w:val="NormaleWeb"/>
        <w:numPr>
          <w:ilvl w:val="0"/>
          <w:numId w:val="17"/>
        </w:numPr>
        <w:spacing w:before="0" w:beforeAutospacing="0" w:after="0" w:afterAutospacing="0"/>
        <w:ind w:left="1440"/>
        <w:jc w:val="both"/>
        <w:textAlignment w:val="baseline"/>
        <w:rPr>
          <w:color w:val="000000"/>
        </w:rPr>
      </w:pPr>
      <w:r w:rsidRPr="000B378D">
        <w:rPr>
          <w:color w:val="000000"/>
        </w:rPr>
        <w:t>pour ⅓ de la note de</w:t>
      </w:r>
      <w:r w:rsidR="00351DE3">
        <w:rPr>
          <w:color w:val="000000"/>
        </w:rPr>
        <w:t xml:space="preserve"> la</w:t>
      </w:r>
      <w:r w:rsidRPr="000B378D">
        <w:rPr>
          <w:color w:val="000000"/>
        </w:rPr>
        <w:t xml:space="preserve"> fiche d’arrêt sur table. </w:t>
      </w:r>
    </w:p>
    <w:p w14:paraId="59FA4810" w14:textId="77777777" w:rsidR="002E3EF2" w:rsidRPr="000B378D" w:rsidRDefault="002E3EF2" w:rsidP="002E3EF2">
      <w:pPr>
        <w:rPr>
          <w:color w:val="000000"/>
        </w:rPr>
      </w:pPr>
    </w:p>
    <w:p w14:paraId="71AB7895" w14:textId="77777777" w:rsidR="002E3EF2" w:rsidRPr="000B378D" w:rsidRDefault="002E3EF2" w:rsidP="005C6D6B">
      <w:pPr>
        <w:pStyle w:val="NormaleWeb"/>
        <w:spacing w:before="0" w:beforeAutospacing="0" w:after="0" w:afterAutospacing="0"/>
        <w:ind w:left="1418"/>
        <w:jc w:val="both"/>
        <w:rPr>
          <w:color w:val="000000"/>
        </w:rPr>
      </w:pPr>
      <w:r w:rsidRPr="000B378D">
        <w:rPr>
          <w:b/>
          <w:bCs/>
          <w:color w:val="000000"/>
        </w:rPr>
        <w:t xml:space="preserve">→ </w:t>
      </w:r>
      <w:r w:rsidRPr="000B378D">
        <w:rPr>
          <w:b/>
          <w:bCs/>
          <w:color w:val="000000"/>
          <w:u w:val="single"/>
        </w:rPr>
        <w:t>ATTENTION</w:t>
      </w:r>
      <w:r w:rsidRPr="000B378D">
        <w:rPr>
          <w:b/>
          <w:bCs/>
          <w:color w:val="000000"/>
        </w:rPr>
        <w:t xml:space="preserve"> : Aucun de ces devoirs, sauf justificatif, ne sera rattrapable. </w:t>
      </w:r>
    </w:p>
    <w:p w14:paraId="6852DFB9" w14:textId="77777777" w:rsidR="002E3EF2" w:rsidRPr="000B378D" w:rsidRDefault="002E3EF2" w:rsidP="00A8502A">
      <w:pPr>
        <w:jc w:val="both"/>
        <w:rPr>
          <w:bCs/>
          <w:iCs/>
        </w:rPr>
      </w:pPr>
    </w:p>
    <w:p w14:paraId="4E5DBAC3" w14:textId="77777777" w:rsidR="00FE5094" w:rsidRPr="000B378D" w:rsidRDefault="00FE5094" w:rsidP="00FC03F5">
      <w:pPr>
        <w:jc w:val="both"/>
        <w:rPr>
          <w:color w:val="000000" w:themeColor="text1"/>
        </w:rPr>
      </w:pPr>
    </w:p>
    <w:p w14:paraId="7CD29CA8" w14:textId="77777777" w:rsidR="002E3EF2" w:rsidRPr="000B378D" w:rsidRDefault="002E3EF2" w:rsidP="00043B6B">
      <w:pPr>
        <w:pStyle w:val="Titolo1"/>
        <w:jc w:val="center"/>
        <w:rPr>
          <w:bCs w:val="0"/>
          <w:iCs/>
        </w:rPr>
      </w:pPr>
      <w:r w:rsidRPr="000B378D">
        <w:rPr>
          <w:color w:val="000000"/>
          <w:sz w:val="28"/>
          <w:szCs w:val="26"/>
        </w:rPr>
        <w:t>Documents reproduits</w:t>
      </w:r>
    </w:p>
    <w:p w14:paraId="36D0E6B9" w14:textId="77777777" w:rsidR="002E3EF2" w:rsidRPr="000B378D" w:rsidRDefault="002E3EF2" w:rsidP="002E3EF2">
      <w:pPr>
        <w:spacing w:after="240"/>
        <w:rPr>
          <w:color w:val="000000"/>
        </w:rPr>
      </w:pPr>
    </w:p>
    <w:p w14:paraId="07300D45" w14:textId="77777777" w:rsidR="002E3EF2" w:rsidRPr="000B378D" w:rsidRDefault="002E3EF2" w:rsidP="002E3EF2">
      <w:pPr>
        <w:pStyle w:val="NormaleWeb"/>
        <w:spacing w:before="0" w:beforeAutospacing="0" w:after="0" w:afterAutospacing="0"/>
        <w:jc w:val="both"/>
        <w:rPr>
          <w:color w:val="000000"/>
        </w:rPr>
      </w:pPr>
      <w:r w:rsidRPr="000B378D">
        <w:rPr>
          <w:b/>
          <w:color w:val="000000"/>
        </w:rPr>
        <w:t>- Document n° 1 :</w:t>
      </w:r>
      <w:r w:rsidRPr="000B378D">
        <w:rPr>
          <w:color w:val="000000"/>
        </w:rPr>
        <w:t xml:space="preserve"> F. Melleray, « Le droit administratif doit-il redevenir jurisprudentiel ? Remarques sur le déclin paradoxal de son caractère jurisprudentiel », AJDA, 2005, p. 637</w:t>
      </w:r>
    </w:p>
    <w:p w14:paraId="5979BD2C" w14:textId="77777777" w:rsidR="002E3EF2" w:rsidRPr="000B378D" w:rsidRDefault="002E3EF2" w:rsidP="002E3EF2">
      <w:pPr>
        <w:rPr>
          <w:color w:val="000000"/>
        </w:rPr>
      </w:pPr>
    </w:p>
    <w:p w14:paraId="2E5B2829" w14:textId="77777777" w:rsidR="002E3EF2" w:rsidRPr="000B378D" w:rsidRDefault="002E3EF2" w:rsidP="002E3EF2">
      <w:pPr>
        <w:pStyle w:val="NormaleWeb"/>
        <w:spacing w:before="0" w:beforeAutospacing="0" w:after="0" w:afterAutospacing="0"/>
        <w:jc w:val="both"/>
        <w:rPr>
          <w:color w:val="000000"/>
        </w:rPr>
      </w:pPr>
      <w:r w:rsidRPr="000B378D">
        <w:rPr>
          <w:b/>
          <w:color w:val="000000"/>
        </w:rPr>
        <w:t>- Document n° 2 :</w:t>
      </w:r>
      <w:r w:rsidRPr="000B378D">
        <w:rPr>
          <w:color w:val="000000"/>
        </w:rPr>
        <w:t xml:space="preserve"> CE Ass., 8 décembre 1978, </w:t>
      </w:r>
      <w:r w:rsidRPr="000B378D">
        <w:rPr>
          <w:i/>
          <w:iCs/>
          <w:color w:val="000000"/>
        </w:rPr>
        <w:t xml:space="preserve">GISTI, CFDT, CGT, </w:t>
      </w:r>
      <w:r w:rsidRPr="000B378D">
        <w:rPr>
          <w:color w:val="000000"/>
        </w:rPr>
        <w:t>req. n</w:t>
      </w:r>
      <w:r w:rsidRPr="000B378D">
        <w:rPr>
          <w:color w:val="000000"/>
          <w:sz w:val="14"/>
          <w:szCs w:val="14"/>
          <w:vertAlign w:val="superscript"/>
        </w:rPr>
        <w:t>os</w:t>
      </w:r>
      <w:r w:rsidRPr="000B378D">
        <w:rPr>
          <w:color w:val="000000"/>
        </w:rPr>
        <w:t xml:space="preserve"> 10097, 10677 et</w:t>
      </w:r>
    </w:p>
    <w:p w14:paraId="7A208B4D" w14:textId="77777777" w:rsidR="002E3EF2" w:rsidRPr="000B378D" w:rsidRDefault="002E3EF2" w:rsidP="002E3EF2">
      <w:pPr>
        <w:pStyle w:val="NormaleWeb"/>
        <w:spacing w:before="0" w:beforeAutospacing="0" w:after="0" w:afterAutospacing="0"/>
        <w:jc w:val="both"/>
        <w:rPr>
          <w:color w:val="000000"/>
        </w:rPr>
      </w:pPr>
      <w:r w:rsidRPr="000B378D">
        <w:rPr>
          <w:color w:val="000000"/>
        </w:rPr>
        <w:t>10679 </w:t>
      </w:r>
    </w:p>
    <w:p w14:paraId="4D8D0414" w14:textId="77777777" w:rsidR="00DB5510" w:rsidRPr="000B378D" w:rsidRDefault="00DB5510"/>
    <w:p w14:paraId="35E25DE4" w14:textId="77777777" w:rsidR="00DB16F1" w:rsidRPr="000B378D" w:rsidRDefault="00DB16F1"/>
    <w:p w14:paraId="4838B983" w14:textId="77777777" w:rsidR="007D69CE" w:rsidRPr="000B378D" w:rsidRDefault="007D69CE"/>
    <w:p w14:paraId="4331AD95" w14:textId="77777777" w:rsidR="002E3EF2" w:rsidRPr="000B378D" w:rsidRDefault="002E3EF2"/>
    <w:p w14:paraId="63DD028C" w14:textId="77777777" w:rsidR="00DB16F1" w:rsidRPr="000B378D" w:rsidRDefault="00DB16F1" w:rsidP="00DB16F1">
      <w:pPr>
        <w:pBdr>
          <w:top w:val="single" w:sz="4" w:space="1" w:color="auto"/>
          <w:left w:val="single" w:sz="4" w:space="4" w:color="auto"/>
          <w:bottom w:val="single" w:sz="4" w:space="1" w:color="auto"/>
          <w:right w:val="single" w:sz="4" w:space="4" w:color="auto"/>
        </w:pBdr>
        <w:jc w:val="center"/>
        <w:rPr>
          <w:b/>
        </w:rPr>
      </w:pPr>
      <w:r w:rsidRPr="000B378D">
        <w:rPr>
          <w:b/>
        </w:rPr>
        <w:t>Document n° 1 :</w:t>
      </w:r>
    </w:p>
    <w:p w14:paraId="30B79166" w14:textId="77777777" w:rsidR="00DB16F1" w:rsidRPr="000B378D" w:rsidRDefault="00DB16F1" w:rsidP="00DB16F1">
      <w:pPr>
        <w:jc w:val="both"/>
        <w:rPr>
          <w:rFonts w:ascii="Arial" w:eastAsia="Arial" w:hAnsi="Arial" w:cs="Arial"/>
          <w:color w:val="1B1B1B"/>
        </w:rPr>
      </w:pPr>
    </w:p>
    <w:p w14:paraId="0D51B60C" w14:textId="77777777" w:rsidR="00DB16F1" w:rsidRPr="000B378D" w:rsidRDefault="00DB16F1"/>
    <w:tbl>
      <w:tblPr>
        <w:tblStyle w:val="docContenttabCommentPopupNDC"/>
        <w:tblW w:w="5322" w:type="pct"/>
        <w:tblCellSpacing w:w="0" w:type="dxa"/>
        <w:tblInd w:w="-284" w:type="dxa"/>
        <w:tblBorders>
          <w:insideH w:val="nil"/>
          <w:insideV w:val="nil"/>
        </w:tblBorders>
        <w:tblCellMar>
          <w:left w:w="0" w:type="dxa"/>
          <w:right w:w="0" w:type="dxa"/>
        </w:tblCellMar>
        <w:tblLook w:val="05E0" w:firstRow="1" w:lastRow="1" w:firstColumn="1" w:lastColumn="1" w:noHBand="0" w:noVBand="1"/>
      </w:tblPr>
      <w:tblGrid>
        <w:gridCol w:w="9650"/>
      </w:tblGrid>
      <w:tr w:rsidR="001F4010" w:rsidRPr="000B378D" w14:paraId="29832466" w14:textId="77777777" w:rsidTr="001F4010">
        <w:trPr>
          <w:trHeight w:val="300"/>
          <w:tblCellSpacing w:w="0" w:type="dxa"/>
        </w:trPr>
        <w:tc>
          <w:tcPr>
            <w:tcW w:w="5000" w:type="pct"/>
            <w:shd w:val="clear" w:color="auto" w:fill="EFEFEF"/>
            <w:tcMar>
              <w:top w:w="75" w:type="dxa"/>
              <w:left w:w="150" w:type="dxa"/>
              <w:bottom w:w="60" w:type="dxa"/>
              <w:right w:w="150" w:type="dxa"/>
            </w:tcMar>
            <w:vAlign w:val="center"/>
          </w:tcPr>
          <w:p w14:paraId="12C1A27C" w14:textId="77777777" w:rsidR="001F4010" w:rsidRPr="000B378D" w:rsidRDefault="001F4010" w:rsidP="007F6FE9">
            <w:pPr>
              <w:shd w:val="clear" w:color="auto" w:fill="EFEFEF"/>
              <w:jc w:val="both"/>
              <w:rPr>
                <w:rFonts w:ascii="Verdana" w:eastAsia="Verdana" w:hAnsi="Verdana" w:cs="Verdana"/>
                <w:b/>
                <w:bCs/>
                <w:color w:val="000000"/>
              </w:rPr>
            </w:pPr>
            <w:r w:rsidRPr="000B378D">
              <w:rPr>
                <w:rFonts w:ascii="Verdana" w:eastAsia="Verdana" w:hAnsi="Verdana" w:cs="Verdana"/>
                <w:b/>
                <w:bCs/>
                <w:color w:val="000000"/>
              </w:rPr>
              <w:t>AJDA 2005 p.637</w:t>
            </w:r>
          </w:p>
        </w:tc>
      </w:tr>
      <w:tr w:rsidR="001F4010" w:rsidRPr="000B378D" w14:paraId="282DDBB9" w14:textId="77777777" w:rsidTr="001F4010">
        <w:trPr>
          <w:tblCellSpacing w:w="0" w:type="dxa"/>
        </w:trPr>
        <w:tc>
          <w:tcPr>
            <w:tcW w:w="5000" w:type="pct"/>
            <w:tcBorders>
              <w:bottom w:val="single" w:sz="12" w:space="0" w:color="EFEFEF"/>
            </w:tcBorders>
            <w:shd w:val="clear" w:color="auto" w:fill="FBFBFB"/>
            <w:tcMar>
              <w:top w:w="150" w:type="dxa"/>
              <w:left w:w="150" w:type="dxa"/>
              <w:bottom w:w="90" w:type="dxa"/>
              <w:right w:w="0" w:type="dxa"/>
            </w:tcMar>
            <w:vAlign w:val="center"/>
          </w:tcPr>
          <w:p w14:paraId="27181D1F" w14:textId="77777777" w:rsidR="001F4010" w:rsidRPr="000B378D" w:rsidRDefault="001F4010" w:rsidP="007F6FE9">
            <w:pPr>
              <w:pStyle w:val="docContentchronTITRE"/>
              <w:shd w:val="clear" w:color="auto" w:fill="FBFBFB"/>
              <w:jc w:val="both"/>
              <w:rPr>
                <w:rFonts w:ascii="Verdana" w:eastAsia="Verdana" w:hAnsi="Verdana" w:cs="Verdana"/>
                <w:sz w:val="18"/>
                <w:szCs w:val="18"/>
              </w:rPr>
            </w:pPr>
            <w:r w:rsidRPr="000B378D">
              <w:rPr>
                <w:rFonts w:ascii="Verdana" w:eastAsia="Verdana" w:hAnsi="Verdana" w:cs="Verdana"/>
                <w:sz w:val="18"/>
                <w:szCs w:val="18"/>
              </w:rPr>
              <w:t>Le droit administratif doit-il redevenir jurisprudentiel ?</w:t>
            </w:r>
          </w:p>
          <w:p w14:paraId="6321ED59" w14:textId="77777777" w:rsidR="001F4010" w:rsidRPr="000B378D" w:rsidRDefault="001F4010" w:rsidP="007F6FE9">
            <w:pPr>
              <w:pStyle w:val="docContentchronSTITRE"/>
              <w:shd w:val="clear" w:color="auto" w:fill="FBFBFB"/>
              <w:jc w:val="both"/>
              <w:rPr>
                <w:rFonts w:ascii="Verdana" w:eastAsia="Verdana" w:hAnsi="Verdana" w:cs="Verdana"/>
                <w:color w:val="000000"/>
                <w:sz w:val="18"/>
                <w:szCs w:val="18"/>
              </w:rPr>
            </w:pPr>
            <w:r w:rsidRPr="000B378D">
              <w:rPr>
                <w:rFonts w:ascii="Verdana" w:eastAsia="Verdana" w:hAnsi="Verdana" w:cs="Verdana"/>
                <w:color w:val="000000"/>
                <w:sz w:val="18"/>
                <w:szCs w:val="18"/>
              </w:rPr>
              <w:t>Remarques sur le déclin paradoxal de son caractère jurisprudentiel</w:t>
            </w:r>
          </w:p>
          <w:p w14:paraId="279B6D4A" w14:textId="77777777" w:rsidR="001F4010" w:rsidRPr="000B378D" w:rsidRDefault="001F4010" w:rsidP="007F6FE9">
            <w:pPr>
              <w:shd w:val="clear" w:color="auto" w:fill="FBFBFB"/>
              <w:jc w:val="both"/>
              <w:rPr>
                <w:rFonts w:ascii="Verdana" w:eastAsia="Verdana" w:hAnsi="Verdana" w:cs="Verdana"/>
                <w:color w:val="000000"/>
              </w:rPr>
            </w:pPr>
          </w:p>
          <w:p w14:paraId="10BC7053" w14:textId="77777777" w:rsidR="001F4010" w:rsidRPr="000B378D" w:rsidRDefault="001F4010" w:rsidP="007F6FE9">
            <w:pPr>
              <w:pStyle w:val="docContentchronSIGNATURE"/>
              <w:shd w:val="clear" w:color="auto" w:fill="FBFBFB"/>
              <w:jc w:val="both"/>
              <w:rPr>
                <w:rFonts w:ascii="Verdana" w:eastAsia="Verdana" w:hAnsi="Verdana" w:cs="Verdana"/>
              </w:rPr>
            </w:pPr>
            <w:r w:rsidRPr="000B378D">
              <w:rPr>
                <w:rFonts w:ascii="Verdana" w:eastAsia="Verdana" w:hAnsi="Verdana" w:cs="Verdana"/>
              </w:rPr>
              <w:t>Fabrice Melleray, Professeur à l'université Montesquieu-Bordeaux IV (CERCCLE)</w:t>
            </w:r>
          </w:p>
        </w:tc>
      </w:tr>
      <w:tr w:rsidR="001F4010" w:rsidRPr="000B378D" w14:paraId="46E13F7A" w14:textId="77777777" w:rsidTr="001F4010">
        <w:trPr>
          <w:trHeight w:val="405"/>
          <w:tblCellSpacing w:w="0" w:type="dxa"/>
        </w:trPr>
        <w:tc>
          <w:tcPr>
            <w:tcW w:w="5000" w:type="pct"/>
            <w:tcMar>
              <w:top w:w="0" w:type="dxa"/>
              <w:left w:w="0" w:type="dxa"/>
              <w:bottom w:w="0" w:type="dxa"/>
              <w:right w:w="0" w:type="dxa"/>
            </w:tcMar>
            <w:vAlign w:val="center"/>
          </w:tcPr>
          <w:p w14:paraId="02530B32" w14:textId="77777777" w:rsidR="001F4010" w:rsidRPr="000B378D" w:rsidRDefault="001F4010" w:rsidP="007F6FE9">
            <w:pPr>
              <w:jc w:val="both"/>
              <w:rPr>
                <w:rFonts w:ascii="Verdana" w:eastAsia="Verdana" w:hAnsi="Verdana" w:cs="Verdana"/>
                <w:color w:val="000000"/>
                <w:sz w:val="14"/>
                <w:szCs w:val="14"/>
              </w:rPr>
            </w:pPr>
          </w:p>
        </w:tc>
      </w:tr>
      <w:tr w:rsidR="001F4010" w:rsidRPr="000B378D" w14:paraId="02A25A90" w14:textId="77777777" w:rsidTr="001F4010">
        <w:trPr>
          <w:tblCellSpacing w:w="0" w:type="dxa"/>
        </w:trPr>
        <w:tc>
          <w:tcPr>
            <w:tcW w:w="5000" w:type="pct"/>
            <w:tcMar>
              <w:top w:w="0" w:type="dxa"/>
              <w:left w:w="0" w:type="dxa"/>
              <w:bottom w:w="0" w:type="dxa"/>
              <w:right w:w="0" w:type="dxa"/>
            </w:tcMar>
            <w:vAlign w:val="center"/>
          </w:tcPr>
          <w:p w14:paraId="4A4CFBA5" w14:textId="77777777" w:rsidR="001F4010" w:rsidRPr="000B378D" w:rsidRDefault="001F4010" w:rsidP="007F6FE9">
            <w:pPr>
              <w:jc w:val="both"/>
              <w:rPr>
                <w:rFonts w:ascii="Verdana" w:eastAsia="Verdana" w:hAnsi="Verdana" w:cs="Verdana"/>
                <w:color w:val="000000"/>
                <w:sz w:val="14"/>
                <w:szCs w:val="14"/>
              </w:rPr>
            </w:pPr>
          </w:p>
          <w:p w14:paraId="065ECEFF" w14:textId="77777777" w:rsidR="001F4010" w:rsidRPr="000B378D" w:rsidRDefault="001F4010" w:rsidP="007F6FE9">
            <w:pPr>
              <w:pStyle w:val="docContentRESUFRAN"/>
              <w:ind w:left="150" w:right="150"/>
              <w:jc w:val="both"/>
              <w:rPr>
                <w:rFonts w:eastAsia="Verdana"/>
                <w:sz w:val="22"/>
                <w:szCs w:val="22"/>
              </w:rPr>
            </w:pPr>
            <w:r w:rsidRPr="000B378D">
              <w:rPr>
                <w:rStyle w:val="docContentRESUFRANtitre"/>
                <w:rFonts w:eastAsia="Verdana"/>
                <w:sz w:val="22"/>
                <w:szCs w:val="22"/>
                <w:shd w:val="clear" w:color="auto" w:fill="auto"/>
              </w:rPr>
              <w:t>L'essentiel</w:t>
            </w:r>
          </w:p>
          <w:p w14:paraId="7E37CF3F" w14:textId="77777777" w:rsidR="001F4010" w:rsidRPr="000B378D" w:rsidRDefault="001F4010" w:rsidP="007F6FE9">
            <w:pPr>
              <w:pStyle w:val="docContentfontsize10"/>
              <w:shd w:val="clear" w:color="auto" w:fill="EFEFEF"/>
              <w:spacing w:after="150"/>
              <w:ind w:left="150" w:right="150"/>
              <w:jc w:val="both"/>
              <w:rPr>
                <w:rFonts w:ascii="Verdana" w:eastAsia="Verdana" w:hAnsi="Verdana" w:cs="Verdana"/>
                <w:color w:val="000000"/>
              </w:rPr>
            </w:pPr>
            <w:r w:rsidRPr="000B378D">
              <w:rPr>
                <w:rFonts w:eastAsia="Verdana"/>
                <w:color w:val="000000"/>
                <w:sz w:val="22"/>
                <w:szCs w:val="22"/>
              </w:rPr>
              <w:t>Alors qu'il y a vingt-cinq ans le doyen Georges Vedel plaidait pour une remise en cause du caractère jurisprudentiel du droit administratif afin de le rendre moins hermétique, plus accessible, le droit administratif est désormais de moins en moins jurisprudentiel, notamment sous l'effet de la politique actuelle dite de simplification du droit. Mais il est pourtant malheureusement de plus en plus secret</w:t>
            </w:r>
            <w:r w:rsidRPr="000B378D">
              <w:rPr>
                <w:rFonts w:ascii="Verdana" w:eastAsia="Verdana" w:hAnsi="Verdana" w:cs="Verdana"/>
                <w:color w:val="000000"/>
              </w:rPr>
              <w:t>...</w:t>
            </w:r>
            <w:r w:rsidRPr="000B378D">
              <w:rPr>
                <w:rFonts w:ascii="Verdana" w:eastAsia="Verdana" w:hAnsi="Verdana" w:cs="Verdana"/>
                <w:color w:val="000000"/>
              </w:rPr>
              <w:br/>
            </w:r>
          </w:p>
          <w:p w14:paraId="3E169015" w14:textId="77777777" w:rsidR="001F4010" w:rsidRPr="000B378D" w:rsidRDefault="001F4010" w:rsidP="007F6FE9">
            <w:pPr>
              <w:jc w:val="both"/>
              <w:rPr>
                <w:rFonts w:ascii="Verdana" w:eastAsia="Verdana" w:hAnsi="Verdana" w:cs="Verdana"/>
                <w:color w:val="000000"/>
                <w:sz w:val="14"/>
                <w:szCs w:val="14"/>
              </w:rPr>
            </w:pPr>
          </w:p>
        </w:tc>
      </w:tr>
      <w:tr w:rsidR="001F4010" w:rsidRPr="000B378D" w14:paraId="0371F672" w14:textId="77777777" w:rsidTr="001F4010">
        <w:trPr>
          <w:tblCellSpacing w:w="0" w:type="dxa"/>
        </w:trPr>
        <w:tc>
          <w:tcPr>
            <w:tcW w:w="5000" w:type="pct"/>
            <w:tcMar>
              <w:top w:w="150" w:type="dxa"/>
              <w:left w:w="150" w:type="dxa"/>
              <w:bottom w:w="300" w:type="dxa"/>
              <w:right w:w="0" w:type="dxa"/>
            </w:tcMar>
            <w:vAlign w:val="center"/>
          </w:tcPr>
          <w:p w14:paraId="2978ED21" w14:textId="77777777" w:rsidR="003D1303" w:rsidRPr="000B378D" w:rsidRDefault="001F4010" w:rsidP="007F6FE9">
            <w:pPr>
              <w:jc w:val="both"/>
              <w:rPr>
                <w:rFonts w:eastAsia="Verdana"/>
                <w:color w:val="000000"/>
                <w:sz w:val="22"/>
                <w:szCs w:val="22"/>
              </w:rPr>
            </w:pPr>
            <w:r w:rsidRPr="000B378D">
              <w:rPr>
                <w:rFonts w:eastAsia="Verdana"/>
                <w:color w:val="000000"/>
                <w:sz w:val="22"/>
                <w:szCs w:val="22"/>
              </w:rPr>
              <w:t xml:space="preserve">Tout change et pourtant rien ne change. Telle pourrait être la réaction d'un lecteur lisant aujourd'hui successivement la célèbre étude consacrée par Georges Vedel au caractère jurisprudentiel du droit </w:t>
            </w:r>
            <w:r w:rsidRPr="000B378D">
              <w:rPr>
                <w:rFonts w:eastAsia="Verdana"/>
                <w:color w:val="000000"/>
                <w:sz w:val="22"/>
                <w:szCs w:val="22"/>
              </w:rPr>
              <w:lastRenderedPageBreak/>
              <w:t>administratif (Le droit administratif peut-il être indéfiniment jurisprudentiel ?, EDCE, 1979-1980, n° 31, p.</w:t>
            </w:r>
            <w:r w:rsidR="0030175B" w:rsidRPr="000B378D">
              <w:rPr>
                <w:rFonts w:eastAsia="Verdana"/>
                <w:color w:val="000000"/>
                <w:sz w:val="22"/>
                <w:szCs w:val="22"/>
              </w:rPr>
              <w:t> </w:t>
            </w:r>
            <w:r w:rsidRPr="000B378D">
              <w:rPr>
                <w:rFonts w:eastAsia="Verdana"/>
                <w:color w:val="000000"/>
                <w:sz w:val="22"/>
                <w:szCs w:val="22"/>
              </w:rPr>
              <w:t xml:space="preserve">31) puis feuilletant la plupart des manuels ou traités (v. notamment R. Chapus, </w:t>
            </w:r>
            <w:r w:rsidRPr="000B378D">
              <w:rPr>
                <w:rFonts w:eastAsia="Verdana"/>
                <w:i/>
                <w:iCs/>
                <w:color w:val="000000"/>
                <w:sz w:val="22"/>
                <w:szCs w:val="22"/>
              </w:rPr>
              <w:t>Droit administratif général</w:t>
            </w:r>
            <w:r w:rsidRPr="000B378D">
              <w:rPr>
                <w:rFonts w:eastAsia="Verdana"/>
                <w:color w:val="000000"/>
                <w:sz w:val="22"/>
                <w:szCs w:val="22"/>
              </w:rPr>
              <w:t>, Montchrestien, tome 1, 15</w:t>
            </w:r>
            <w:r w:rsidRPr="000B378D">
              <w:rPr>
                <w:rFonts w:eastAsia="Verdana"/>
                <w:color w:val="000000"/>
                <w:sz w:val="22"/>
                <w:szCs w:val="22"/>
                <w:vertAlign w:val="superscript"/>
              </w:rPr>
              <w:t>e</w:t>
            </w:r>
            <w:r w:rsidRPr="000B378D">
              <w:rPr>
                <w:rFonts w:eastAsia="Verdana"/>
                <w:color w:val="000000"/>
                <w:sz w:val="22"/>
                <w:szCs w:val="22"/>
              </w:rPr>
              <w:t xml:space="preserve"> éd., 2001, n° 11 ; P.-L. Frier, </w:t>
            </w:r>
            <w:r w:rsidRPr="000B378D">
              <w:rPr>
                <w:rFonts w:eastAsia="Verdana"/>
                <w:i/>
                <w:iCs/>
                <w:color w:val="000000"/>
                <w:sz w:val="22"/>
                <w:szCs w:val="22"/>
              </w:rPr>
              <w:t>Précis de droit administratif</w:t>
            </w:r>
            <w:r w:rsidRPr="000B378D">
              <w:rPr>
                <w:rFonts w:eastAsia="Verdana"/>
                <w:color w:val="000000"/>
                <w:sz w:val="22"/>
                <w:szCs w:val="22"/>
              </w:rPr>
              <w:t>, Montchrestien, 3</w:t>
            </w:r>
            <w:r w:rsidRPr="000B378D">
              <w:rPr>
                <w:rFonts w:eastAsia="Verdana"/>
                <w:color w:val="000000"/>
                <w:sz w:val="22"/>
                <w:szCs w:val="22"/>
                <w:vertAlign w:val="superscript"/>
              </w:rPr>
              <w:t>e</w:t>
            </w:r>
            <w:r w:rsidRPr="000B378D">
              <w:rPr>
                <w:rFonts w:eastAsia="Verdana"/>
                <w:color w:val="000000"/>
                <w:sz w:val="22"/>
                <w:szCs w:val="22"/>
              </w:rPr>
              <w:t xml:space="preserve"> éd., 2004, n° 143 ; Y. Gaudemet, </w:t>
            </w:r>
            <w:r w:rsidRPr="000B378D">
              <w:rPr>
                <w:rFonts w:eastAsia="Verdana"/>
                <w:i/>
                <w:iCs/>
                <w:color w:val="000000"/>
                <w:sz w:val="22"/>
                <w:szCs w:val="22"/>
              </w:rPr>
              <w:t>Traité de droit administratif</w:t>
            </w:r>
            <w:r w:rsidRPr="000B378D">
              <w:rPr>
                <w:rFonts w:eastAsia="Verdana"/>
                <w:color w:val="000000"/>
                <w:sz w:val="22"/>
                <w:szCs w:val="22"/>
              </w:rPr>
              <w:t>, LGDJ, tome 1, 16</w:t>
            </w:r>
            <w:r w:rsidRPr="000B378D">
              <w:rPr>
                <w:rFonts w:eastAsia="Verdana"/>
                <w:color w:val="000000"/>
                <w:sz w:val="22"/>
                <w:szCs w:val="22"/>
                <w:vertAlign w:val="superscript"/>
              </w:rPr>
              <w:t>e</w:t>
            </w:r>
            <w:r w:rsidRPr="000B378D">
              <w:rPr>
                <w:rFonts w:eastAsia="Verdana"/>
                <w:color w:val="000000"/>
                <w:sz w:val="22"/>
                <w:szCs w:val="22"/>
              </w:rPr>
              <w:t xml:space="preserve"> éd., 2001, n° 8 ; B. Seiller, </w:t>
            </w:r>
            <w:r w:rsidRPr="000B378D">
              <w:rPr>
                <w:rFonts w:eastAsia="Verdana"/>
                <w:i/>
                <w:iCs/>
                <w:color w:val="000000"/>
                <w:sz w:val="22"/>
                <w:szCs w:val="22"/>
              </w:rPr>
              <w:t>Droit administratif</w:t>
            </w:r>
            <w:r w:rsidRPr="000B378D">
              <w:rPr>
                <w:rFonts w:eastAsia="Verdana"/>
                <w:color w:val="000000"/>
                <w:sz w:val="22"/>
                <w:szCs w:val="22"/>
              </w:rPr>
              <w:t>, Flammarion, tome 1, 2</w:t>
            </w:r>
            <w:r w:rsidRPr="000B378D">
              <w:rPr>
                <w:rFonts w:eastAsia="Verdana"/>
                <w:color w:val="000000"/>
                <w:sz w:val="22"/>
                <w:szCs w:val="22"/>
                <w:vertAlign w:val="superscript"/>
              </w:rPr>
              <w:t>e</w:t>
            </w:r>
            <w:r w:rsidRPr="000B378D">
              <w:rPr>
                <w:rFonts w:eastAsia="Verdana"/>
                <w:color w:val="000000"/>
                <w:sz w:val="22"/>
                <w:szCs w:val="22"/>
              </w:rPr>
              <w:t xml:space="preserve"> éd., 2004, p. 27-28) et autres articles les plus récents (v. par exemple O. Gohin, La contribution des juges au droit des collectivités locales, JCP A 2004, 1825, ou S.</w:t>
            </w:r>
            <w:r w:rsidR="0030175B" w:rsidRPr="000B378D">
              <w:rPr>
                <w:rFonts w:eastAsia="Verdana"/>
                <w:color w:val="000000"/>
                <w:sz w:val="22"/>
                <w:szCs w:val="22"/>
              </w:rPr>
              <w:t> </w:t>
            </w:r>
            <w:r w:rsidRPr="000B378D">
              <w:rPr>
                <w:rFonts w:eastAsia="Verdana"/>
                <w:color w:val="000000"/>
                <w:sz w:val="22"/>
                <w:szCs w:val="22"/>
              </w:rPr>
              <w:t>Théron, La substitution de la loi à la jurisprudence administrative : la jurisprudence codifiée ou remise en cause par la loi, RFDA 2004, p. 230</w:t>
            </w:r>
            <w:r w:rsidRPr="000B378D">
              <w:rPr>
                <w:rFonts w:eastAsia="Verdana"/>
                <w:noProof/>
                <w:color w:val="000000"/>
                <w:sz w:val="22"/>
                <w:szCs w:val="22"/>
              </w:rPr>
              <w:drawing>
                <wp:inline distT="0" distB="0" distL="0" distR="0" wp14:anchorId="3E600748" wp14:editId="050424CF">
                  <wp:extent cx="127000" cy="127000"/>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Le droit administratif français serait encore « fondamentalement », « essentiellement » jurisprudentiel.</w:t>
            </w:r>
          </w:p>
          <w:p w14:paraId="1F2DC1EA" w14:textId="77777777" w:rsidR="007D69CE" w:rsidRPr="000B378D" w:rsidRDefault="001F4010" w:rsidP="007F6FE9">
            <w:pPr>
              <w:jc w:val="both"/>
              <w:rPr>
                <w:rFonts w:eastAsia="Verdana"/>
                <w:color w:val="000000"/>
                <w:sz w:val="22"/>
                <w:szCs w:val="22"/>
              </w:rPr>
            </w:pPr>
            <w:r w:rsidRPr="000B378D">
              <w:rPr>
                <w:rFonts w:eastAsia="Verdana"/>
                <w:color w:val="000000"/>
                <w:sz w:val="22"/>
                <w:szCs w:val="22"/>
              </w:rPr>
              <w:br/>
              <w:t xml:space="preserve">Cette analyse quasiment unanime (v. cependant J. Rivero et J. Waline, </w:t>
            </w:r>
            <w:r w:rsidRPr="000B378D">
              <w:rPr>
                <w:rFonts w:eastAsia="Verdana"/>
                <w:i/>
                <w:iCs/>
                <w:color w:val="000000"/>
                <w:sz w:val="22"/>
                <w:szCs w:val="22"/>
              </w:rPr>
              <w:t>Droit administratif</w:t>
            </w:r>
            <w:r w:rsidRPr="000B378D">
              <w:rPr>
                <w:rFonts w:eastAsia="Verdana"/>
                <w:color w:val="000000"/>
                <w:sz w:val="22"/>
                <w:szCs w:val="22"/>
              </w:rPr>
              <w:t>, Dalloz, 20</w:t>
            </w:r>
            <w:r w:rsidRPr="000B378D">
              <w:rPr>
                <w:rFonts w:eastAsia="Verdana"/>
                <w:color w:val="000000"/>
                <w:sz w:val="22"/>
                <w:szCs w:val="22"/>
                <w:vertAlign w:val="superscript"/>
              </w:rPr>
              <w:t>e</w:t>
            </w:r>
            <w:r w:rsidRPr="000B378D">
              <w:rPr>
                <w:rFonts w:eastAsia="Verdana"/>
                <w:color w:val="000000"/>
                <w:sz w:val="22"/>
                <w:szCs w:val="22"/>
              </w:rPr>
              <w:t xml:space="preserve"> éd., 2004, n° 12) se concilie en apparence malaisément avec un autre constat fait par tous les auteurs : celui de la spectaculaire transformation des sources du droit administratif ces dernières années, spécialement depuis les années 1970 (v. C. Debbasch, Les sources du droit administratif. Permanence et novation, D. 1971, chron.</w:t>
            </w:r>
            <w:r w:rsidR="00EF5DAE" w:rsidRPr="000B378D">
              <w:rPr>
                <w:rFonts w:eastAsia="Verdana"/>
                <w:color w:val="000000"/>
                <w:sz w:val="22"/>
                <w:szCs w:val="22"/>
              </w:rPr>
              <w:t> </w:t>
            </w:r>
            <w:r w:rsidRPr="000B378D">
              <w:rPr>
                <w:rFonts w:eastAsia="Verdana"/>
                <w:color w:val="000000"/>
                <w:sz w:val="22"/>
                <w:szCs w:val="22"/>
              </w:rPr>
              <w:t>p.</w:t>
            </w:r>
            <w:r w:rsidR="0030175B" w:rsidRPr="000B378D">
              <w:rPr>
                <w:rFonts w:eastAsia="Verdana"/>
                <w:color w:val="000000"/>
                <w:sz w:val="22"/>
                <w:szCs w:val="22"/>
              </w:rPr>
              <w:t> </w:t>
            </w:r>
            <w:r w:rsidRPr="000B378D">
              <w:rPr>
                <w:rFonts w:eastAsia="Verdana"/>
                <w:color w:val="000000"/>
                <w:sz w:val="22"/>
                <w:szCs w:val="22"/>
              </w:rPr>
              <w:t xml:space="preserve">255). </w:t>
            </w:r>
            <w:r w:rsidRPr="000B378D">
              <w:rPr>
                <w:rFonts w:eastAsia="Verdana"/>
                <w:b/>
                <w:color w:val="000000"/>
                <w:sz w:val="22"/>
                <w:szCs w:val="22"/>
              </w:rPr>
              <w:t>L'heure est depuis cette époque notamment au « rééquilibrage des sources écrites et jurisprudentielles internes du droit administratif »</w:t>
            </w:r>
            <w:r w:rsidRPr="000B378D">
              <w:rPr>
                <w:rFonts w:eastAsia="Verdana"/>
                <w:color w:val="000000"/>
                <w:sz w:val="22"/>
                <w:szCs w:val="22"/>
              </w:rPr>
              <w:t xml:space="preserve"> (T. Larzul, </w:t>
            </w:r>
            <w:r w:rsidRPr="000B378D">
              <w:rPr>
                <w:rFonts w:eastAsia="Verdana"/>
                <w:i/>
                <w:iCs/>
                <w:color w:val="000000"/>
                <w:sz w:val="22"/>
                <w:szCs w:val="22"/>
              </w:rPr>
              <w:t>Les mutations des sources du droit administratif</w:t>
            </w:r>
            <w:r w:rsidRPr="000B378D">
              <w:rPr>
                <w:rFonts w:eastAsia="Verdana"/>
                <w:color w:val="000000"/>
                <w:sz w:val="22"/>
                <w:szCs w:val="22"/>
              </w:rPr>
              <w:t>, L'Hermès, 1994, p. 275).</w:t>
            </w:r>
          </w:p>
          <w:p w14:paraId="3974FDF5" w14:textId="77777777" w:rsidR="008C7EC3" w:rsidRPr="000B378D" w:rsidRDefault="001F4010" w:rsidP="007F6FE9">
            <w:pPr>
              <w:jc w:val="both"/>
              <w:rPr>
                <w:rFonts w:eastAsia="Verdana"/>
                <w:color w:val="000000"/>
                <w:sz w:val="22"/>
                <w:szCs w:val="22"/>
              </w:rPr>
            </w:pPr>
            <w:r w:rsidRPr="000B378D">
              <w:rPr>
                <w:rFonts w:eastAsia="Verdana"/>
                <w:b/>
                <w:color w:val="000000"/>
                <w:sz w:val="22"/>
                <w:szCs w:val="22"/>
              </w:rPr>
              <w:t>Ainsi, nous espérons ne pas trahir la pensée de la doctrine dominante en énonçant les deux propositions suivantes. Le droit administratif est de plus en plus un droit écrit. Le droit administratif est toujours un droit fondamentalement jurisprudentiel</w:t>
            </w:r>
            <w:r w:rsidRPr="000B378D">
              <w:rPr>
                <w:rFonts w:eastAsia="Verdana"/>
                <w:color w:val="000000"/>
                <w:sz w:val="22"/>
                <w:szCs w:val="22"/>
              </w:rPr>
              <w:t xml:space="preserve"> (J.-M. Maillot, </w:t>
            </w:r>
            <w:r w:rsidRPr="000B378D">
              <w:rPr>
                <w:rFonts w:eastAsia="Verdana"/>
                <w:i/>
                <w:iCs/>
                <w:color w:val="000000"/>
                <w:sz w:val="22"/>
                <w:szCs w:val="22"/>
              </w:rPr>
              <w:t>La théorie administrativiste des principes généraux du droit. Continuité et modernité</w:t>
            </w:r>
            <w:r w:rsidRPr="000B378D">
              <w:rPr>
                <w:rFonts w:eastAsia="Verdana"/>
                <w:color w:val="000000"/>
                <w:sz w:val="22"/>
                <w:szCs w:val="22"/>
              </w:rPr>
              <w:t xml:space="preserve">, Dalloz, 2003, p. 503). </w:t>
            </w:r>
            <w:r w:rsidRPr="000B378D">
              <w:rPr>
                <w:rFonts w:eastAsia="Verdana"/>
                <w:b/>
                <w:color w:val="000000"/>
                <w:sz w:val="22"/>
                <w:szCs w:val="22"/>
              </w:rPr>
              <w:t xml:space="preserve">Deux possibilités sont alors ouvertes à l'interprète. Soit il considère que l'expression droit administratif est utilisée exactement dans le même sens dans les deux affirmations. Et l'on peut alors raisonnablement soutenir que ces dernières sont quelque peu contradictoires. Soit il admet, et telle est notre position, que cette expression revêt des significations légèrement différentes dans l'un et l'autre cas. Il nous semble, en effet, qu'elle désigne dans la première formule </w:t>
            </w:r>
            <w:r w:rsidRPr="000B378D">
              <w:rPr>
                <w:rFonts w:eastAsia="Verdana"/>
                <w:b/>
                <w:color w:val="000000"/>
                <w:sz w:val="22"/>
                <w:szCs w:val="22"/>
                <w:u w:val="single"/>
              </w:rPr>
              <w:t>l'ensemble des normes spéciales applicables à l'administration</w:t>
            </w:r>
            <w:r w:rsidRPr="000B378D">
              <w:rPr>
                <w:rFonts w:eastAsia="Verdana"/>
                <w:b/>
                <w:color w:val="000000"/>
                <w:sz w:val="22"/>
                <w:szCs w:val="22"/>
              </w:rPr>
              <w:t xml:space="preserve">, le droit positif. En revanche, elle vise dans la seconde formule les </w:t>
            </w:r>
            <w:r w:rsidRPr="000B378D">
              <w:rPr>
                <w:rFonts w:eastAsia="Verdana"/>
                <w:b/>
                <w:color w:val="000000"/>
                <w:sz w:val="22"/>
                <w:szCs w:val="22"/>
                <w:u w:val="single"/>
              </w:rPr>
              <w:t>notions de base, les cadres essentiels d'appréhension et de compréhension de la matière</w:t>
            </w:r>
            <w:r w:rsidRPr="000B378D">
              <w:rPr>
                <w:rFonts w:eastAsia="Verdana"/>
                <w:b/>
                <w:color w:val="000000"/>
                <w:sz w:val="22"/>
                <w:szCs w:val="22"/>
              </w:rPr>
              <w:t xml:space="preserve">. Et l'apparent paradoxe se dissipe alors. Le droit administratif est de plus en plus écrit, au sens où l'on y use dans la pratique de plus en plus de textes et de moins en moins de constructions jurisprudentielles autres que d'interprétation du droit écrit et il est pourtant toujours jurisprudentiel dans la mesure où, pour le comprendre, pour l'enseigner et en appréhender la logique il convient encore de se plonger sans modération dans la lecture des grands arrêts </w:t>
            </w:r>
            <w:r w:rsidRPr="000B378D">
              <w:rPr>
                <w:rFonts w:eastAsia="Verdana"/>
                <w:color w:val="000000"/>
                <w:sz w:val="22"/>
                <w:szCs w:val="22"/>
              </w:rPr>
              <w:t>(</w:t>
            </w:r>
            <w:r w:rsidRPr="000B378D">
              <w:rPr>
                <w:rFonts w:eastAsia="Verdana"/>
                <w:i/>
                <w:iCs/>
                <w:color w:val="000000"/>
                <w:sz w:val="22"/>
                <w:szCs w:val="22"/>
              </w:rPr>
              <w:t>Les Grands arrêts de la jurisprudence administrative</w:t>
            </w:r>
            <w:r w:rsidRPr="000B378D">
              <w:rPr>
                <w:rFonts w:eastAsia="Verdana"/>
                <w:color w:val="000000"/>
                <w:sz w:val="22"/>
                <w:szCs w:val="22"/>
              </w:rPr>
              <w:t>, Dalloz, 14</w:t>
            </w:r>
            <w:r w:rsidRPr="000B378D">
              <w:rPr>
                <w:rFonts w:eastAsia="Verdana"/>
                <w:color w:val="000000"/>
                <w:sz w:val="22"/>
                <w:szCs w:val="22"/>
                <w:vertAlign w:val="superscript"/>
              </w:rPr>
              <w:t>e</w:t>
            </w:r>
            <w:r w:rsidRPr="000B378D">
              <w:rPr>
                <w:rFonts w:eastAsia="Verdana"/>
                <w:color w:val="000000"/>
                <w:sz w:val="22"/>
                <w:szCs w:val="22"/>
              </w:rPr>
              <w:t xml:space="preserve"> éd., 2003) et autres grandes décisions (J.-F. Lachaume, </w:t>
            </w:r>
            <w:r w:rsidRPr="000B378D">
              <w:rPr>
                <w:rFonts w:eastAsia="Verdana"/>
                <w:i/>
                <w:iCs/>
                <w:color w:val="000000"/>
                <w:sz w:val="22"/>
                <w:szCs w:val="22"/>
              </w:rPr>
              <w:t>Droit administratif. Les grandes décisions de la jurisprudence</w:t>
            </w:r>
            <w:r w:rsidRPr="000B378D">
              <w:rPr>
                <w:rFonts w:eastAsia="Verdana"/>
                <w:color w:val="000000"/>
                <w:sz w:val="22"/>
                <w:szCs w:val="22"/>
              </w:rPr>
              <w:t>, PUF, 13</w:t>
            </w:r>
            <w:r w:rsidRPr="000B378D">
              <w:rPr>
                <w:rFonts w:eastAsia="Verdana"/>
                <w:color w:val="000000"/>
                <w:sz w:val="22"/>
                <w:szCs w:val="22"/>
                <w:vertAlign w:val="superscript"/>
              </w:rPr>
              <w:t>e</w:t>
            </w:r>
            <w:r w:rsidRPr="000B378D">
              <w:rPr>
                <w:rFonts w:eastAsia="Verdana"/>
                <w:color w:val="000000"/>
                <w:sz w:val="22"/>
                <w:szCs w:val="22"/>
              </w:rPr>
              <w:t xml:space="preserve"> éd., 2002). S'opposent ainsi en quelque sorte une logique quantitative et une démarche plus qualitative et l'amateur de droit administratif se doit aujourd'hui comme hier d'être « arrestophile » (B. Pacteau, La jurisprudence, une chance du droit administratif ?, Rev. adm., numéro spécial 6-1999, p. 70).</w:t>
            </w:r>
          </w:p>
          <w:p w14:paraId="583F7293"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t xml:space="preserve">L'on pourrait presque s'arrêter là. Pourtant, il n'est peut-être pas inintéressant de pousser le raisonnement un peu plus avant, non sans immédiatement préciser quelques éléments essentiels. Tout d'abord, on se doit de reconnaître, à l'instar du président Daniel Labetoulle (Le juge administratif et la jurisprudence, Rev. adm., numéro spécial 5-1999, p. 59), que l'heure n'est plus actuellement à un débat relatif au déclin du pouvoir jurisprudentiel du juge administratif, débat qui a été l'occasion d'une intéressante controverse dans les colonnes de l'AJDA il y a près de vingt-cinq ans (D. Linotte, Déclin du pouvoir jurisprudentiel et ascension du pouvoir juridictionnel en droit administratif, AJDA 1980, p. 632 ; S. Rials, Sur une distinction contestable et un trop réel déclin. A propos d'un récent article sur le pouvoir normatif du juge, AJDA 1981, p. 115 ; D. Linotte et S. Rials, Conclusion d'une controverse, AJDA 1981, p. 202). </w:t>
            </w:r>
            <w:r w:rsidRPr="000B378D">
              <w:rPr>
                <w:rFonts w:eastAsia="Verdana"/>
                <w:b/>
                <w:color w:val="000000"/>
                <w:sz w:val="22"/>
                <w:szCs w:val="22"/>
              </w:rPr>
              <w:t>Depuis plus de quinze ans, le Conseil d'Etat a incontestablement renoué avec la créativité.</w:t>
            </w:r>
            <w:r w:rsidRPr="000B378D">
              <w:rPr>
                <w:rFonts w:eastAsia="Verdana"/>
                <w:color w:val="000000"/>
                <w:sz w:val="22"/>
                <w:szCs w:val="22"/>
              </w:rPr>
              <w:t xml:space="preserve"> </w:t>
            </w:r>
            <w:r w:rsidRPr="000B378D">
              <w:rPr>
                <w:rFonts w:eastAsia="Verdana"/>
                <w:b/>
                <w:color w:val="000000"/>
                <w:sz w:val="22"/>
                <w:szCs w:val="22"/>
              </w:rPr>
              <w:t>Il n'y a d'ailleurs guère lieu de s'en étonner. L'histoire de l'institution est en effet riche de périodes d'activisme, d'innovation jurisprudentielle (que l'on songe par exemple aux années 1860, au début du XX</w:t>
            </w:r>
            <w:r w:rsidRPr="000B378D">
              <w:rPr>
                <w:rFonts w:eastAsia="Verdana"/>
                <w:b/>
                <w:color w:val="000000"/>
                <w:sz w:val="22"/>
                <w:szCs w:val="22"/>
                <w:vertAlign w:val="superscript"/>
              </w:rPr>
              <w:t>e</w:t>
            </w:r>
            <w:r w:rsidRPr="000B378D">
              <w:rPr>
                <w:rFonts w:eastAsia="Verdana"/>
                <w:b/>
                <w:color w:val="000000"/>
                <w:sz w:val="22"/>
                <w:szCs w:val="22"/>
              </w:rPr>
              <w:t xml:space="preserve"> siècle ou encore au milieu des années 1950) et à l'inverse de périodes de pause, de stabilité</w:t>
            </w:r>
            <w:r w:rsidRPr="000B378D">
              <w:rPr>
                <w:rFonts w:eastAsia="Verdana"/>
                <w:color w:val="000000"/>
                <w:sz w:val="22"/>
                <w:szCs w:val="22"/>
              </w:rPr>
              <w:t xml:space="preserve"> (la vice-présidence d'Edouard Laferrière est, à cet égard, assez exemplaire, tout comme les années 1970 et le début des années 1980). </w:t>
            </w:r>
            <w:r w:rsidRPr="000B378D">
              <w:rPr>
                <w:rFonts w:eastAsia="Verdana"/>
                <w:b/>
                <w:color w:val="000000"/>
                <w:sz w:val="22"/>
                <w:szCs w:val="22"/>
              </w:rPr>
              <w:t xml:space="preserve">Différents facteurs peuvent expliquer ces variations, certains étant extérieurs à la juridiction </w:t>
            </w:r>
            <w:r w:rsidRPr="000B378D">
              <w:rPr>
                <w:rFonts w:eastAsia="Verdana"/>
                <w:b/>
                <w:color w:val="000000"/>
                <w:sz w:val="22"/>
                <w:szCs w:val="22"/>
              </w:rPr>
              <w:lastRenderedPageBreak/>
              <w:t>administrative (les situations sociale, économique et politique peuvent être plus ou moins propices à de grandes politiques jurisprudentielles) et d'autres lui étant propres. Il est ainsi probable, comme le soulignent Jean Massot et Thierry-Xavier Girardot, que la réforme législative du 31 décembre 1987 créant les cours administratives d'appel a soulagé le Conseil d'Etat « du flot qui menaçait de l'engloutir</w:t>
            </w:r>
            <w:r w:rsidR="00EF5DAE" w:rsidRPr="000B378D">
              <w:rPr>
                <w:rFonts w:eastAsia="Verdana"/>
                <w:b/>
                <w:color w:val="000000"/>
                <w:sz w:val="22"/>
                <w:szCs w:val="22"/>
              </w:rPr>
              <w:t> </w:t>
            </w:r>
            <w:r w:rsidRPr="000B378D">
              <w:rPr>
                <w:rFonts w:eastAsia="Verdana"/>
                <w:b/>
                <w:color w:val="000000"/>
                <w:sz w:val="22"/>
                <w:szCs w:val="22"/>
              </w:rPr>
              <w:t>» et « lui a rendu la sérénité qui est nécessaire au travail d'une Cour suprême »</w:t>
            </w:r>
            <w:r w:rsidRPr="000B378D">
              <w:rPr>
                <w:rFonts w:eastAsia="Verdana"/>
                <w:color w:val="000000"/>
                <w:sz w:val="22"/>
                <w:szCs w:val="22"/>
              </w:rPr>
              <w:t xml:space="preserve"> (</w:t>
            </w:r>
            <w:r w:rsidRPr="000B378D">
              <w:rPr>
                <w:rFonts w:eastAsia="Verdana"/>
                <w:i/>
                <w:iCs/>
                <w:color w:val="000000"/>
                <w:sz w:val="22"/>
                <w:szCs w:val="22"/>
              </w:rPr>
              <w:t>Le Conseil d'Etat</w:t>
            </w:r>
            <w:r w:rsidRPr="000B378D">
              <w:rPr>
                <w:rFonts w:eastAsia="Verdana"/>
                <w:color w:val="000000"/>
                <w:sz w:val="22"/>
                <w:szCs w:val="22"/>
              </w:rPr>
              <w:t>, Doc. fr., 1999, p. 142).</w:t>
            </w:r>
          </w:p>
          <w:p w14:paraId="151B51B0"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t xml:space="preserve">Ajoutons, même si cela peut paraître évident, que cette jurisprudence, qui est désormais essentiellement, mais pas seulement, une « jurisprudence d'interprétation » (formule utilisée par Daniel Labetoulle pour désigner la jurisprudence permettant de préciser le sens du droit écrit et qui amène parfois le juge à quasiment le réécrire comme l'illustre par exemple CE sect. 15 juillet 2004, </w:t>
            </w:r>
            <w:r w:rsidRPr="000B378D">
              <w:rPr>
                <w:rFonts w:eastAsia="Verdana"/>
                <w:i/>
                <w:iCs/>
                <w:color w:val="000000"/>
                <w:sz w:val="22"/>
                <w:szCs w:val="22"/>
              </w:rPr>
              <w:t>Leroy</w:t>
            </w:r>
            <w:r w:rsidRPr="000B378D">
              <w:rPr>
                <w:rFonts w:eastAsia="Verdana"/>
                <w:color w:val="000000"/>
                <w:sz w:val="22"/>
                <w:szCs w:val="22"/>
              </w:rPr>
              <w:t>, AJDA 2004, p. 1923, chron. C. Landais et F. Lenica</w:t>
            </w:r>
            <w:r w:rsidRPr="000B378D">
              <w:rPr>
                <w:rFonts w:eastAsia="Verdana"/>
                <w:noProof/>
                <w:color w:val="000000"/>
                <w:sz w:val="22"/>
                <w:szCs w:val="22"/>
              </w:rPr>
              <w:drawing>
                <wp:inline distT="0" distB="0" distL="0" distR="0" wp14:anchorId="0B04CFE7" wp14:editId="52A874F5">
                  <wp:extent cx="127000" cy="1270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est une donnée indépassable. </w:t>
            </w:r>
            <w:r w:rsidRPr="000B378D">
              <w:rPr>
                <w:rFonts w:eastAsia="Verdana"/>
                <w:b/>
                <w:color w:val="000000"/>
                <w:sz w:val="22"/>
                <w:szCs w:val="22"/>
              </w:rPr>
              <w:t>Si la créativité, l'inventivité, l'audace du juge varient suivant les époques, existe une constante : on ne peut véritablement lire et appliquer avec certitude le droit écrit que lorsque le juge, qui en est l'interprète authentique, a précisé le sens qu'il en retenait ou qu'il lui attribuait. Et l'on sait au moins depuis Portalis qu'« on ne peut pas plus se passer de jurisprudence que de lois »</w:t>
            </w:r>
            <w:r w:rsidRPr="000B378D">
              <w:rPr>
                <w:rFonts w:eastAsia="Verdana"/>
                <w:color w:val="000000"/>
                <w:sz w:val="22"/>
                <w:szCs w:val="22"/>
              </w:rPr>
              <w:t xml:space="preserve"> (Portalis, </w:t>
            </w:r>
            <w:r w:rsidRPr="000B378D">
              <w:rPr>
                <w:rFonts w:eastAsia="Verdana"/>
                <w:i/>
                <w:iCs/>
                <w:color w:val="000000"/>
                <w:sz w:val="22"/>
                <w:szCs w:val="22"/>
              </w:rPr>
              <w:t>Discours préliminaire sur le projet de code civil</w:t>
            </w:r>
            <w:r w:rsidRPr="000B378D">
              <w:rPr>
                <w:rFonts w:eastAsia="Verdana"/>
                <w:color w:val="000000"/>
                <w:sz w:val="22"/>
                <w:szCs w:val="22"/>
              </w:rPr>
              <w:t xml:space="preserve">, notamment reproduit in </w:t>
            </w:r>
            <w:r w:rsidRPr="000B378D">
              <w:rPr>
                <w:rFonts w:eastAsia="Verdana"/>
                <w:i/>
                <w:iCs/>
                <w:color w:val="000000"/>
                <w:sz w:val="22"/>
                <w:szCs w:val="22"/>
              </w:rPr>
              <w:t>Ecrits et discours juridiques et politiques</w:t>
            </w:r>
            <w:r w:rsidRPr="000B378D">
              <w:rPr>
                <w:rFonts w:eastAsia="Verdana"/>
                <w:color w:val="000000"/>
                <w:sz w:val="22"/>
                <w:szCs w:val="22"/>
              </w:rPr>
              <w:t>, PUAM, 1988, p. 30).</w:t>
            </w:r>
          </w:p>
          <w:p w14:paraId="54199013" w14:textId="77777777" w:rsidR="008C7EC3" w:rsidRPr="000B378D" w:rsidRDefault="001F4010" w:rsidP="007F6FE9">
            <w:pPr>
              <w:jc w:val="both"/>
              <w:rPr>
                <w:rFonts w:eastAsia="Verdana"/>
                <w:color w:val="000000"/>
                <w:sz w:val="22"/>
                <w:szCs w:val="22"/>
              </w:rPr>
            </w:pPr>
            <w:r w:rsidRPr="000B378D">
              <w:rPr>
                <w:rFonts w:eastAsia="Verdana"/>
                <w:b/>
                <w:color w:val="000000"/>
                <w:sz w:val="22"/>
                <w:szCs w:val="22"/>
              </w:rPr>
              <w:t>Précisons enfin que la question de la codification du droit administratif, entendue non comme une compilation à droit constant de textes épars mais comme l'élaboration d'un ensemble structuré portant sur les éléments essentiels de la matière, a connu une histoire que l'on peut schématiquement résumer en trois temps</w:t>
            </w:r>
            <w:r w:rsidRPr="000B378D">
              <w:rPr>
                <w:rFonts w:eastAsia="Verdana"/>
                <w:color w:val="000000"/>
                <w:sz w:val="22"/>
                <w:szCs w:val="22"/>
              </w:rPr>
              <w:t xml:space="preserve"> (pour une étude historique approfondie, v. G. J. Guglielmi, </w:t>
            </w:r>
            <w:r w:rsidRPr="000B378D">
              <w:rPr>
                <w:rFonts w:eastAsia="Verdana"/>
                <w:i/>
                <w:iCs/>
                <w:color w:val="000000"/>
                <w:sz w:val="22"/>
                <w:szCs w:val="22"/>
              </w:rPr>
              <w:t>L'idée de codification dans la construction du droit administratif français au 19</w:t>
            </w:r>
            <w:r w:rsidRPr="000B378D">
              <w:rPr>
                <w:rFonts w:eastAsia="Verdana"/>
                <w:i/>
                <w:iCs/>
                <w:color w:val="000000"/>
                <w:sz w:val="22"/>
                <w:szCs w:val="22"/>
                <w:vertAlign w:val="superscript"/>
              </w:rPr>
              <w:t>e</w:t>
            </w:r>
            <w:r w:rsidRPr="000B378D">
              <w:rPr>
                <w:rFonts w:eastAsia="Verdana"/>
                <w:i/>
                <w:iCs/>
                <w:color w:val="000000"/>
                <w:sz w:val="22"/>
                <w:szCs w:val="22"/>
              </w:rPr>
              <w:t xml:space="preserve"> siècle</w:t>
            </w:r>
            <w:r w:rsidRPr="000B378D">
              <w:rPr>
                <w:rFonts w:eastAsia="Verdana"/>
                <w:color w:val="000000"/>
                <w:sz w:val="22"/>
                <w:szCs w:val="22"/>
              </w:rPr>
              <w:t xml:space="preserve">, Annuaire d'histoire administrative européenne, vol. 8, 1996, p. 109). </w:t>
            </w:r>
            <w:r w:rsidRPr="000B378D">
              <w:rPr>
                <w:rFonts w:eastAsia="Verdana"/>
                <w:b/>
                <w:color w:val="000000"/>
                <w:sz w:val="22"/>
                <w:szCs w:val="22"/>
              </w:rPr>
              <w:t>Le premier est celui d'une forte tentation codificatrice</w:t>
            </w:r>
            <w:r w:rsidRPr="000B378D">
              <w:rPr>
                <w:rFonts w:eastAsia="Verdana"/>
                <w:color w:val="000000"/>
                <w:sz w:val="22"/>
                <w:szCs w:val="22"/>
              </w:rPr>
              <w:t xml:space="preserve">. </w:t>
            </w:r>
            <w:r w:rsidRPr="000B378D">
              <w:rPr>
                <w:rFonts w:eastAsia="Verdana"/>
                <w:b/>
                <w:color w:val="000000"/>
                <w:sz w:val="22"/>
                <w:szCs w:val="22"/>
              </w:rPr>
              <w:t>A l'heure où la science du droit administratif apparaît (pour faire simple sous la Restauration et la Monarchie de Juillet), elle ne peut que développer un complexe d'infériorité à l'égard du droit civil et du monument alors considéré comme indépassable que constitue le code Napoléon.</w:t>
            </w:r>
            <w:r w:rsidRPr="000B378D">
              <w:rPr>
                <w:rFonts w:eastAsia="Verdana"/>
                <w:color w:val="000000"/>
                <w:sz w:val="22"/>
                <w:szCs w:val="22"/>
              </w:rPr>
              <w:t xml:space="preserve"> </w:t>
            </w:r>
            <w:r w:rsidRPr="000B378D">
              <w:rPr>
                <w:rFonts w:eastAsia="Verdana"/>
                <w:b/>
                <w:color w:val="000000"/>
                <w:sz w:val="22"/>
                <w:szCs w:val="22"/>
              </w:rPr>
              <w:t>Il faut, pour que les administrativistes soient de vrais juristes, qu'ils aient eux aussi leur code</w:t>
            </w:r>
            <w:r w:rsidRPr="000B378D">
              <w:rPr>
                <w:rFonts w:eastAsia="Verdana"/>
                <w:color w:val="000000"/>
                <w:sz w:val="22"/>
                <w:szCs w:val="22"/>
              </w:rPr>
              <w:t xml:space="preserve"> (qu'on songe ainsi au travail de l'un des « pères fondateurs » de la discipline, Gérando, élaborant sous la Restauration des </w:t>
            </w:r>
            <w:r w:rsidRPr="000B378D">
              <w:rPr>
                <w:rFonts w:eastAsia="Verdana"/>
                <w:i/>
                <w:iCs/>
                <w:color w:val="000000"/>
                <w:sz w:val="22"/>
                <w:szCs w:val="22"/>
              </w:rPr>
              <w:t>Institutes</w:t>
            </w:r>
            <w:r w:rsidRPr="000B378D">
              <w:rPr>
                <w:rFonts w:eastAsia="Verdana"/>
                <w:color w:val="000000"/>
                <w:sz w:val="22"/>
                <w:szCs w:val="22"/>
              </w:rPr>
              <w:t xml:space="preserve"> du droit administratif ou </w:t>
            </w:r>
            <w:r w:rsidRPr="000B378D">
              <w:rPr>
                <w:rFonts w:eastAsia="Verdana"/>
                <w:i/>
                <w:iCs/>
                <w:color w:val="000000"/>
                <w:sz w:val="22"/>
                <w:szCs w:val="22"/>
              </w:rPr>
              <w:t>élémens</w:t>
            </w:r>
            <w:r w:rsidRPr="000B378D">
              <w:rPr>
                <w:rFonts w:eastAsia="Verdana"/>
                <w:color w:val="000000"/>
                <w:sz w:val="22"/>
                <w:szCs w:val="22"/>
              </w:rPr>
              <w:t xml:space="preserve"> du code administratif réunis et mis en ordre). </w:t>
            </w:r>
            <w:r w:rsidRPr="000B378D">
              <w:rPr>
                <w:rFonts w:eastAsia="Verdana"/>
                <w:b/>
                <w:color w:val="000000"/>
                <w:sz w:val="22"/>
                <w:szCs w:val="22"/>
              </w:rPr>
              <w:t>Puis, deuxième temps avec lequel nous n'avons encore que partiellement rompu, à partir du moment où le droit administratif commence à conquérir son indépendance académique, la codification est tenue pour impossible</w:t>
            </w:r>
            <w:r w:rsidRPr="000B378D">
              <w:rPr>
                <w:rFonts w:eastAsia="Verdana"/>
                <w:color w:val="000000"/>
                <w:sz w:val="22"/>
                <w:szCs w:val="22"/>
              </w:rPr>
              <w:t xml:space="preserve"> (G. J. Guglielmi fait remonter cette « reconnaissance d'une impossibilité » aux années 1860). </w:t>
            </w:r>
            <w:r w:rsidRPr="000B378D">
              <w:rPr>
                <w:rFonts w:eastAsia="Verdana"/>
                <w:b/>
                <w:color w:val="000000"/>
                <w:sz w:val="22"/>
                <w:szCs w:val="22"/>
              </w:rPr>
              <w:t xml:space="preserve">Les membres du Conseil d'Etat n'en veulent pas, craignant soit que cette codification soit parcellaire donc vaine, soit qu'elle soit complète mais restreigne alors d'autant leur pouvoir créateur et fige leur oeuvre, </w:t>
            </w:r>
            <w:r w:rsidRPr="000B378D">
              <w:rPr>
                <w:rFonts w:eastAsia="Verdana"/>
                <w:b/>
                <w:color w:val="000000"/>
                <w:sz w:val="22"/>
                <w:szCs w:val="22"/>
                <w:u w:val="single"/>
              </w:rPr>
              <w:t>la cristallise et menace de la scléroser.</w:t>
            </w:r>
            <w:r w:rsidRPr="000B378D">
              <w:rPr>
                <w:rFonts w:eastAsia="Verdana"/>
                <w:color w:val="000000"/>
                <w:sz w:val="22"/>
                <w:szCs w:val="22"/>
              </w:rPr>
              <w:t xml:space="preserve"> Ainsi, à l'analyse d'Edouard Laferrière affirmant que le droit administratif n'est, à l'inverse du droit civil, pas codifié et qu'« il est douteux qu'il puisse l'être » (</w:t>
            </w:r>
            <w:r w:rsidRPr="000B378D">
              <w:rPr>
                <w:rFonts w:eastAsia="Verdana"/>
                <w:i/>
                <w:iCs/>
                <w:color w:val="000000"/>
                <w:sz w:val="22"/>
                <w:szCs w:val="22"/>
              </w:rPr>
              <w:t>Traité de la juridiction administrative et des recours contentieux</w:t>
            </w:r>
            <w:r w:rsidRPr="000B378D">
              <w:rPr>
                <w:rFonts w:eastAsia="Verdana"/>
                <w:color w:val="000000"/>
                <w:sz w:val="22"/>
                <w:szCs w:val="22"/>
              </w:rPr>
              <w:t>, Berger-Levrault, tome 1, 1</w:t>
            </w:r>
            <w:r w:rsidRPr="000B378D">
              <w:rPr>
                <w:rFonts w:eastAsia="Verdana"/>
                <w:color w:val="000000"/>
                <w:sz w:val="22"/>
                <w:szCs w:val="22"/>
                <w:vertAlign w:val="superscript"/>
              </w:rPr>
              <w:t>re</w:t>
            </w:r>
            <w:r w:rsidRPr="000B378D">
              <w:rPr>
                <w:rFonts w:eastAsia="Verdana"/>
                <w:color w:val="000000"/>
                <w:sz w:val="22"/>
                <w:szCs w:val="22"/>
              </w:rPr>
              <w:t xml:space="preserve"> éd., 1887, p. VII), fait écho huit décennies plus tard celle de Raymond Odent écrivant qu'une telle entreprise codificatrice serait « vaine » (</w:t>
            </w:r>
            <w:r w:rsidRPr="000B378D">
              <w:rPr>
                <w:rFonts w:eastAsia="Verdana"/>
                <w:i/>
                <w:iCs/>
                <w:color w:val="000000"/>
                <w:sz w:val="22"/>
                <w:szCs w:val="22"/>
              </w:rPr>
              <w:t>Contentieux administratif</w:t>
            </w:r>
            <w:r w:rsidRPr="000B378D">
              <w:rPr>
                <w:rFonts w:eastAsia="Verdana"/>
                <w:color w:val="000000"/>
                <w:sz w:val="22"/>
                <w:szCs w:val="22"/>
              </w:rPr>
              <w:t xml:space="preserve">, fasc. I, Les cours de droit, 1970-1971, p. 21 ; v. également M. Letourneur, Quelques réflexions sur la codification du droit administratif, in </w:t>
            </w:r>
            <w:r w:rsidRPr="000B378D">
              <w:rPr>
                <w:rFonts w:eastAsia="Verdana"/>
                <w:i/>
                <w:iCs/>
                <w:color w:val="000000"/>
                <w:sz w:val="22"/>
                <w:szCs w:val="22"/>
              </w:rPr>
              <w:t>Etudes juridiques offertes à Léon Julliot de la Morandière</w:t>
            </w:r>
            <w:r w:rsidRPr="000B378D">
              <w:rPr>
                <w:rFonts w:eastAsia="Verdana"/>
                <w:color w:val="000000"/>
                <w:sz w:val="22"/>
                <w:szCs w:val="22"/>
              </w:rPr>
              <w:t>, Dalloz, 1964, p. 277).</w:t>
            </w:r>
          </w:p>
          <w:p w14:paraId="73B8F926"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t xml:space="preserve">Quant à la doctrine universitaire, tout à son émerveillement envers le Conseil d'Etat, elle ne peut que regarder avec méfiance, sauf rares exceptions, toute idée de codification de la matière que le Conseil d'Etat a créée, développée et dont il a assuré le rayonnement dans le monde entier et, croit-on alors, pour longtemps. </w:t>
            </w:r>
            <w:r w:rsidRPr="000B378D">
              <w:rPr>
                <w:rFonts w:eastAsia="Verdana"/>
                <w:b/>
                <w:color w:val="000000"/>
                <w:sz w:val="22"/>
                <w:szCs w:val="22"/>
              </w:rPr>
              <w:t>Ce n'est, dès lors, que l'article si justement célèbre du doyen Georges Vedel qui marque véritablement le début du troisième temps de cette histoire. L'heure est à cette date à la critique du laconisme des arrêts qui entretiennent « l'incommunicabilité » du droit administratif</w:t>
            </w:r>
            <w:r w:rsidRPr="000B378D">
              <w:rPr>
                <w:rFonts w:eastAsia="Verdana"/>
                <w:color w:val="000000"/>
                <w:sz w:val="22"/>
                <w:szCs w:val="22"/>
              </w:rPr>
              <w:t xml:space="preserve"> (A. de Laubadère, Le Conseil d'Etat et l'incommunicabilité, EDCE, 1979-1980, n° 31, p. 17). </w:t>
            </w:r>
            <w:r w:rsidRPr="000B378D">
              <w:rPr>
                <w:rFonts w:eastAsia="Verdana"/>
                <w:b/>
                <w:color w:val="000000"/>
                <w:sz w:val="22"/>
                <w:szCs w:val="22"/>
              </w:rPr>
              <w:t xml:space="preserve">Et à la voix du doyen Vedel affirmant qu'il convient de rendre le droit administratif plus accessible, moins aristocratique, moins secret et qui plaide pour la codification de ses principes jurisprudentiels essentiels, exemple concret à l'appui (son article reproduit </w:t>
            </w:r>
            <w:r w:rsidRPr="000B378D">
              <w:rPr>
                <w:rFonts w:eastAsia="Verdana"/>
                <w:b/>
                <w:i/>
                <w:iCs/>
                <w:color w:val="000000"/>
                <w:sz w:val="22"/>
                <w:szCs w:val="22"/>
              </w:rPr>
              <w:t>in fine</w:t>
            </w:r>
            <w:r w:rsidRPr="000B378D">
              <w:rPr>
                <w:rFonts w:eastAsia="Verdana"/>
                <w:b/>
                <w:color w:val="000000"/>
                <w:sz w:val="22"/>
                <w:szCs w:val="22"/>
              </w:rPr>
              <w:t xml:space="preserve"> une loi monégasque sur la responsabilité civile des agents publics qui constitue la codification des règles jurisprudentielles françaises), s'est ajoutée celle du professeur René Chapus qui </w:t>
            </w:r>
            <w:r w:rsidRPr="000B378D">
              <w:rPr>
                <w:rFonts w:eastAsia="Verdana"/>
                <w:b/>
                <w:color w:val="000000"/>
                <w:sz w:val="22"/>
                <w:szCs w:val="22"/>
              </w:rPr>
              <w:lastRenderedPageBreak/>
              <w:t>considère qu'il y a dans la question de la codification des grands principes jurisprudentiels du droit administratif « une grande affaire pour les années qui viennent »</w:t>
            </w:r>
            <w:r w:rsidRPr="000B378D">
              <w:rPr>
                <w:rFonts w:eastAsia="Verdana"/>
                <w:color w:val="000000"/>
                <w:sz w:val="22"/>
                <w:szCs w:val="22"/>
              </w:rPr>
              <w:t xml:space="preserve"> (</w:t>
            </w:r>
            <w:r w:rsidRPr="000B378D">
              <w:rPr>
                <w:rFonts w:eastAsia="Verdana"/>
                <w:i/>
                <w:iCs/>
                <w:color w:val="000000"/>
                <w:sz w:val="22"/>
                <w:szCs w:val="22"/>
              </w:rPr>
              <w:t>Droit administratif général</w:t>
            </w:r>
            <w:r w:rsidRPr="000B378D">
              <w:rPr>
                <w:rFonts w:eastAsia="Verdana"/>
                <w:color w:val="000000"/>
                <w:sz w:val="22"/>
                <w:szCs w:val="22"/>
              </w:rPr>
              <w:t>, préc., n°</w:t>
            </w:r>
            <w:r w:rsidR="007D69CE" w:rsidRPr="000B378D">
              <w:rPr>
                <w:rFonts w:eastAsia="Verdana"/>
                <w:color w:val="000000"/>
                <w:sz w:val="22"/>
                <w:szCs w:val="22"/>
              </w:rPr>
              <w:t> </w:t>
            </w:r>
            <w:r w:rsidRPr="000B378D">
              <w:rPr>
                <w:rFonts w:eastAsia="Verdana"/>
                <w:color w:val="000000"/>
                <w:sz w:val="22"/>
                <w:szCs w:val="22"/>
              </w:rPr>
              <w:t>163).</w:t>
            </w:r>
          </w:p>
          <w:p w14:paraId="1A3B1540"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t>Il n'est dès lors peut-être ni incongru ni inutile d'analyser quelques transformations récentes du droit administratif français, spécialement les principales mesures adoptées ou à adopter sur la base des textes législatifs dits de simplification du droit, qu'il s'agisse de la loi n° 2003-591 du 2 juillet 2003 (P. Gonod, La simplification du droit par ordonnances, AJDA 2003, p. 1652</w:t>
            </w:r>
            <w:r w:rsidRPr="000B378D">
              <w:rPr>
                <w:rFonts w:eastAsia="Verdana"/>
                <w:noProof/>
                <w:color w:val="000000"/>
                <w:sz w:val="22"/>
                <w:szCs w:val="22"/>
              </w:rPr>
              <w:drawing>
                <wp:inline distT="0" distB="0" distL="0" distR="0" wp14:anchorId="239BC302" wp14:editId="2994DBB3">
                  <wp:extent cx="127000" cy="1270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ou de celle du 9 décembre 2004 (Les principales dispositions de la loi du 9 décembre 2004, JCP A 2004, 1855), à la lumière de l'étude précitée de Georges Vedel. </w:t>
            </w:r>
            <w:r w:rsidRPr="000B378D">
              <w:rPr>
                <w:rFonts w:eastAsia="Verdana"/>
                <w:b/>
                <w:color w:val="000000"/>
                <w:sz w:val="22"/>
                <w:szCs w:val="22"/>
              </w:rPr>
              <w:t>Lire ces lois et autres ordonnances les plus récentes en ayant à l'esprit le raisonnement de l'éminent auteur conduit en effet à une conclusion apparemment paradoxale</w:t>
            </w:r>
            <w:r w:rsidRPr="000B378D">
              <w:rPr>
                <w:rFonts w:eastAsia="Verdana"/>
                <w:color w:val="000000"/>
                <w:sz w:val="22"/>
                <w:szCs w:val="22"/>
              </w:rPr>
              <w:t>. Le doyen Vedel affirmait qu'il convenait de codifier la jurisprudence administrative (ou plus précisément ses éléments essentiels, structurants) afin de rendre ce droit moins secret, plus accessible. Or, c'est justement l'inverse qui semble actuellement se produire. Le droit administratif est aujourd'hui de moins en moins jurisprudentiel et il est pourtant de plus en plus secret. Ce déclin du caractère jurisprudentiel de la matière est accéléré par la politique de simplification du droit. Perceptible dans la plupart des branches du droit administratif, il contribue malheureusement à la complexification de ce dernier.</w:t>
            </w:r>
          </w:p>
          <w:p w14:paraId="67AB080C" w14:textId="77777777" w:rsidR="001F4010" w:rsidRPr="000B378D" w:rsidRDefault="001F4010" w:rsidP="007F6FE9">
            <w:pPr>
              <w:pStyle w:val="docContentchronTITRE"/>
              <w:jc w:val="both"/>
              <w:rPr>
                <w:rFonts w:eastAsia="Verdana"/>
                <w:sz w:val="22"/>
                <w:szCs w:val="22"/>
              </w:rPr>
            </w:pPr>
            <w:r w:rsidRPr="000B378D">
              <w:rPr>
                <w:rFonts w:eastAsia="Verdana"/>
                <w:sz w:val="22"/>
                <w:szCs w:val="22"/>
              </w:rPr>
              <w:t>Un déclin accéléré par la politique de simplification du droit</w:t>
            </w:r>
          </w:p>
          <w:p w14:paraId="27609F5C" w14:textId="77777777" w:rsidR="007D69CE" w:rsidRPr="000B378D" w:rsidRDefault="007D69CE" w:rsidP="007F6FE9">
            <w:pPr>
              <w:jc w:val="both"/>
              <w:rPr>
                <w:rFonts w:eastAsia="Verdana"/>
                <w:color w:val="000000"/>
                <w:sz w:val="22"/>
                <w:szCs w:val="22"/>
              </w:rPr>
            </w:pPr>
          </w:p>
          <w:p w14:paraId="40CE4E95"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t xml:space="preserve">Commentant dans les années 1920 l'arrêt </w:t>
            </w:r>
            <w:r w:rsidRPr="000B378D">
              <w:rPr>
                <w:rFonts w:eastAsia="Verdana"/>
                <w:i/>
                <w:iCs/>
                <w:color w:val="000000"/>
                <w:sz w:val="22"/>
                <w:szCs w:val="22"/>
              </w:rPr>
              <w:t>Dame Cachet</w:t>
            </w:r>
            <w:r w:rsidRPr="000B378D">
              <w:rPr>
                <w:rFonts w:eastAsia="Verdana"/>
                <w:color w:val="000000"/>
                <w:sz w:val="22"/>
                <w:szCs w:val="22"/>
              </w:rPr>
              <w:t xml:space="preserve">, Maurice Hauriou pouvait écrire que le régime du retrait des actes administratifs était « un des exemples les plus nets du pouvoir créateur du Conseil d'Etat » (S. 1925, III, p. 9). Une telle analyse sera bientôt obsolète, </w:t>
            </w:r>
            <w:r w:rsidRPr="000B378D">
              <w:rPr>
                <w:rFonts w:eastAsia="Verdana"/>
                <w:b/>
                <w:color w:val="000000"/>
                <w:sz w:val="22"/>
                <w:szCs w:val="22"/>
              </w:rPr>
              <w:t>l'article 2 de la loi n° 2004-1343 du 9 décembre 2004 habilitant le gouvernement « à prendre par ordonnance les mesures nécessaires pour harmoniser les règles de retrait des actes administratifs, dans un objectif de simplification et de sécurité juridique</w:t>
            </w:r>
            <w:r w:rsidR="00FA1163" w:rsidRPr="000B378D">
              <w:rPr>
                <w:rFonts w:eastAsia="Verdana"/>
                <w:b/>
                <w:color w:val="000000"/>
                <w:sz w:val="22"/>
                <w:szCs w:val="22"/>
              </w:rPr>
              <w:t> </w:t>
            </w:r>
            <w:r w:rsidRPr="000B378D">
              <w:rPr>
                <w:rFonts w:eastAsia="Verdana"/>
                <w:b/>
                <w:color w:val="000000"/>
                <w:sz w:val="22"/>
                <w:szCs w:val="22"/>
              </w:rPr>
              <w:t>». Cet exemple nous semble très révélateur d'un mouvement dépassant le simple cas du retrait des actes administratifs. On codifie désormais le droit administratif pour le simplifier, le moderniser.</w:t>
            </w:r>
            <w:r w:rsidRPr="000B378D">
              <w:rPr>
                <w:rFonts w:eastAsia="Verdana"/>
                <w:color w:val="000000"/>
                <w:sz w:val="22"/>
                <w:szCs w:val="22"/>
              </w:rPr>
              <w:t xml:space="preserve"> Et il n'y a à première vue guère lieu de s'en étonner. La critique des défauts du droit jurisprudentiel est en effet trop connue pour qu'on y insiste, certains auteurs allant même jusqu'à affirmer que la jurisprudence est « la principale faiblesse du droit administratif » (J.-F. Brisson et A. Rouyère, </w:t>
            </w:r>
            <w:r w:rsidRPr="000B378D">
              <w:rPr>
                <w:rFonts w:eastAsia="Verdana"/>
                <w:i/>
                <w:iCs/>
                <w:color w:val="000000"/>
                <w:sz w:val="22"/>
                <w:szCs w:val="22"/>
              </w:rPr>
              <w:t>Droit administratif</w:t>
            </w:r>
            <w:r w:rsidRPr="000B378D">
              <w:rPr>
                <w:rFonts w:eastAsia="Verdana"/>
                <w:color w:val="000000"/>
                <w:sz w:val="22"/>
                <w:szCs w:val="22"/>
              </w:rPr>
              <w:t xml:space="preserve">, Montchrestien, 2004, p. 17). </w:t>
            </w:r>
            <w:r w:rsidRPr="000B378D">
              <w:rPr>
                <w:rFonts w:eastAsia="Verdana"/>
                <w:b/>
                <w:color w:val="000000"/>
                <w:sz w:val="22"/>
                <w:szCs w:val="22"/>
              </w:rPr>
              <w:t>La jurisprudence, outre son caractère intrinsèquement rétroactif (dont on sait qu'il est aujourd'hui très critiqué au nom de la sécurité juridique ;</w:t>
            </w:r>
            <w:r w:rsidRPr="000B378D">
              <w:rPr>
                <w:rFonts w:eastAsia="Verdana"/>
                <w:color w:val="000000"/>
                <w:sz w:val="22"/>
                <w:szCs w:val="22"/>
              </w:rPr>
              <w:t xml:space="preserve"> v. ainsi le rapport Molfessis, </w:t>
            </w:r>
            <w:r w:rsidRPr="000B378D">
              <w:rPr>
                <w:rFonts w:eastAsia="Verdana"/>
                <w:i/>
                <w:iCs/>
                <w:color w:val="000000"/>
                <w:sz w:val="22"/>
                <w:szCs w:val="22"/>
              </w:rPr>
              <w:t>Les revirements de jurisprudence</w:t>
            </w:r>
            <w:r w:rsidRPr="000B378D">
              <w:rPr>
                <w:rFonts w:eastAsia="Verdana"/>
                <w:color w:val="000000"/>
                <w:sz w:val="22"/>
                <w:szCs w:val="22"/>
              </w:rPr>
              <w:t xml:space="preserve">, Litec, 2005), </w:t>
            </w:r>
            <w:r w:rsidRPr="000B378D">
              <w:rPr>
                <w:rFonts w:eastAsia="Verdana"/>
                <w:b/>
                <w:color w:val="000000"/>
                <w:sz w:val="22"/>
                <w:szCs w:val="22"/>
              </w:rPr>
              <w:t>présente pour principal défaut d'être trop souvent hermétique au profane, réservée à l'initié</w:t>
            </w:r>
            <w:r w:rsidRPr="000B378D">
              <w:rPr>
                <w:rFonts w:eastAsia="Verdana"/>
                <w:color w:val="000000"/>
                <w:sz w:val="22"/>
                <w:szCs w:val="22"/>
              </w:rPr>
              <w:t>.</w:t>
            </w:r>
          </w:p>
          <w:p w14:paraId="45A992E1" w14:textId="77777777" w:rsidR="008C7EC3" w:rsidRPr="000B378D" w:rsidRDefault="001F4010" w:rsidP="007F6FE9">
            <w:pPr>
              <w:jc w:val="both"/>
              <w:rPr>
                <w:rFonts w:eastAsia="Verdana"/>
                <w:b/>
                <w:color w:val="000000"/>
                <w:sz w:val="22"/>
                <w:szCs w:val="22"/>
              </w:rPr>
            </w:pPr>
            <w:r w:rsidRPr="000B378D">
              <w:rPr>
                <w:rFonts w:eastAsia="Verdana"/>
                <w:color w:val="000000"/>
                <w:sz w:val="22"/>
                <w:szCs w:val="22"/>
              </w:rPr>
              <w:br/>
            </w:r>
            <w:r w:rsidRPr="000B378D">
              <w:rPr>
                <w:rFonts w:eastAsia="Verdana"/>
                <w:b/>
                <w:color w:val="000000"/>
                <w:sz w:val="22"/>
                <w:szCs w:val="22"/>
              </w:rPr>
              <w:t xml:space="preserve">De la même manière, des textes éparpillés rendent inévitablement l'accès au droit plus délicat et même souvent aléatoire. </w:t>
            </w:r>
            <w:r w:rsidRPr="000B378D">
              <w:rPr>
                <w:rFonts w:eastAsia="Verdana"/>
                <w:color w:val="000000"/>
                <w:sz w:val="22"/>
                <w:szCs w:val="22"/>
              </w:rPr>
              <w:t xml:space="preserve">Et c'est évidemment dans cette perspective qu'a eu lieu la relance de la codification à la fin des années 1980. </w:t>
            </w:r>
            <w:r w:rsidRPr="000B378D">
              <w:rPr>
                <w:rFonts w:eastAsia="Verdana"/>
                <w:b/>
                <w:color w:val="000000"/>
                <w:sz w:val="22"/>
                <w:szCs w:val="22"/>
              </w:rPr>
              <w:t>Or ce qui est justement spectaculaire dans les textes de 2003 et 2004 est qu'ils inaugurent « une nouvelle forme de codification : la codification dynamique »</w:t>
            </w:r>
            <w:r w:rsidRPr="000B378D">
              <w:rPr>
                <w:rFonts w:eastAsia="Verdana"/>
                <w:color w:val="000000"/>
                <w:sz w:val="22"/>
                <w:szCs w:val="22"/>
              </w:rPr>
              <w:t xml:space="preserve"> (N. Molfessis, RTD civ. 2004, p. 159</w:t>
            </w:r>
            <w:r w:rsidRPr="000B378D">
              <w:rPr>
                <w:rFonts w:eastAsia="Verdana"/>
                <w:noProof/>
                <w:color w:val="000000"/>
                <w:sz w:val="22"/>
                <w:szCs w:val="22"/>
              </w:rPr>
              <w:drawing>
                <wp:inline distT="0" distB="0" distL="0" distR="0" wp14:anchorId="4EBD2FCD" wp14:editId="4ADFBA24">
                  <wp:extent cx="127000" cy="12700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Rappelons brièvement les grands traits des étapes précédentes, postérieures à la Seconde Guerre mondiale. La première est celle d'une codification entièrement administrative à la suite du décret du 10 mai 1948 (C. Ettori, Les codifications administratives, EDCE, 1956, n° 10, p. 41). </w:t>
            </w:r>
            <w:r w:rsidRPr="000B378D">
              <w:rPr>
                <w:rFonts w:eastAsia="Verdana"/>
                <w:b/>
                <w:color w:val="000000"/>
                <w:sz w:val="22"/>
                <w:szCs w:val="22"/>
              </w:rPr>
              <w:t>Les codes sont adoptés par décret, qu'il s'agisse de leur partie législative ou de leurs dispositions réglementaires.</w:t>
            </w:r>
          </w:p>
          <w:p w14:paraId="15749908"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r>
            <w:r w:rsidRPr="000B378D">
              <w:rPr>
                <w:rFonts w:eastAsia="Verdana"/>
                <w:b/>
                <w:color w:val="000000"/>
                <w:sz w:val="22"/>
                <w:szCs w:val="22"/>
              </w:rPr>
              <w:t>Cette méthode, qui avait pour mérite d'assurer une certaine rapidité, n'était pas sans risques et sans inconvénients puisque les lois codifiées n'étaient pas abrogées (le pouvoir réglementaire étant dans l'impossibilité de le faire) et que cette juxtaposition pouvait poser problème</w:t>
            </w:r>
            <w:r w:rsidRPr="000B378D">
              <w:rPr>
                <w:rFonts w:eastAsia="Verdana"/>
                <w:color w:val="000000"/>
                <w:sz w:val="22"/>
                <w:szCs w:val="22"/>
              </w:rPr>
              <w:t xml:space="preserve">. </w:t>
            </w:r>
            <w:r w:rsidRPr="000B378D">
              <w:rPr>
                <w:rFonts w:eastAsia="Verdana"/>
                <w:b/>
                <w:color w:val="000000"/>
                <w:sz w:val="22"/>
                <w:szCs w:val="22"/>
                <w:u w:val="single"/>
              </w:rPr>
              <w:t>De plus, le juge a parfois fait montre d'un certain dédain vis-à-vis des dispositions innovantes de certains codes</w:t>
            </w:r>
            <w:r w:rsidRPr="000B378D">
              <w:rPr>
                <w:rFonts w:eastAsia="Verdana"/>
                <w:b/>
                <w:color w:val="000000"/>
                <w:sz w:val="22"/>
                <w:szCs w:val="22"/>
              </w:rPr>
              <w:t>.</w:t>
            </w:r>
            <w:r w:rsidRPr="000B378D">
              <w:rPr>
                <w:rFonts w:eastAsia="Verdana"/>
                <w:color w:val="000000"/>
                <w:sz w:val="22"/>
                <w:szCs w:val="22"/>
              </w:rPr>
              <w:t xml:space="preserve"> Par exemple, c'est dans l'indifférence générale que le code du domaine de l'Etat élaboré en 1957 pose une définition en creux du domaine public, affirmant qu'il est constitué des biens publics « qui ne sont pas susceptibles d'une propriété privée en raison de leur nature ou de la destination qui leur est donnée » (art. L. 2, toujours en vigueur sur ce point, du code du domaine de l'Etat). Comme le soulignait le doyen Jean-Marie Auby, « ce code de 1957 a été l'oeuvre des fonctionnaires du ministère des Finances et du service des Domaines, qui avaient été élevés dans les facultés de droit dans le souvenir des domanistes du XIX</w:t>
            </w:r>
            <w:r w:rsidRPr="000B378D">
              <w:rPr>
                <w:rFonts w:eastAsia="Verdana"/>
                <w:color w:val="000000"/>
                <w:sz w:val="22"/>
                <w:szCs w:val="22"/>
                <w:vertAlign w:val="superscript"/>
              </w:rPr>
              <w:t>e</w:t>
            </w:r>
            <w:r w:rsidRPr="000B378D">
              <w:rPr>
                <w:rFonts w:eastAsia="Verdana"/>
                <w:color w:val="000000"/>
                <w:sz w:val="22"/>
                <w:szCs w:val="22"/>
              </w:rPr>
              <w:t xml:space="preserve"> siècle et aussi de </w:t>
            </w:r>
            <w:r w:rsidRPr="000B378D">
              <w:rPr>
                <w:rFonts w:eastAsia="Verdana"/>
                <w:color w:val="000000"/>
                <w:sz w:val="22"/>
                <w:szCs w:val="22"/>
              </w:rPr>
              <w:lastRenderedPageBreak/>
              <w:t>Berthélemy » (intervention au colloque domaine public et activités économiques, CJEG, hors-série, 1991,</w:t>
            </w:r>
            <w:r w:rsidR="00EF5DAE" w:rsidRPr="000B378D">
              <w:rPr>
                <w:rFonts w:eastAsia="Verdana"/>
                <w:color w:val="000000"/>
                <w:sz w:val="22"/>
                <w:szCs w:val="22"/>
              </w:rPr>
              <w:t> </w:t>
            </w:r>
            <w:r w:rsidRPr="000B378D">
              <w:rPr>
                <w:rFonts w:eastAsia="Verdana"/>
                <w:color w:val="000000"/>
                <w:sz w:val="22"/>
                <w:szCs w:val="22"/>
              </w:rPr>
              <w:t>p.</w:t>
            </w:r>
            <w:r w:rsidR="0030175B" w:rsidRPr="000B378D">
              <w:rPr>
                <w:rFonts w:eastAsia="Verdana"/>
                <w:color w:val="000000"/>
                <w:sz w:val="22"/>
                <w:szCs w:val="22"/>
              </w:rPr>
              <w:t> </w:t>
            </w:r>
            <w:r w:rsidRPr="000B378D">
              <w:rPr>
                <w:rFonts w:eastAsia="Verdana"/>
                <w:color w:val="000000"/>
                <w:sz w:val="22"/>
                <w:szCs w:val="22"/>
              </w:rPr>
              <w:t xml:space="preserve">21) et cela explique sans doute que le juge, qui venait d'affiner son critère jurisprudentiel (CE sect. 19 octobre 1956, </w:t>
            </w:r>
            <w:r w:rsidRPr="000B378D">
              <w:rPr>
                <w:rFonts w:eastAsia="Verdana"/>
                <w:i/>
                <w:iCs/>
                <w:color w:val="000000"/>
                <w:sz w:val="22"/>
                <w:szCs w:val="22"/>
              </w:rPr>
              <w:t>Société « Le Béton »</w:t>
            </w:r>
            <w:r w:rsidRPr="000B378D">
              <w:rPr>
                <w:rFonts w:eastAsia="Verdana"/>
                <w:color w:val="000000"/>
                <w:sz w:val="22"/>
                <w:szCs w:val="22"/>
              </w:rPr>
              <w:t>, Lebon p. 375 ; AJDA 1956, II, p. 472, concl. M. Long et p. 488, chron. J. Fournier et G. Braibant), s'en soit notoirement désintéressé.</w:t>
            </w:r>
          </w:p>
          <w:p w14:paraId="351F92D6" w14:textId="77777777" w:rsidR="008C7EC3" w:rsidRPr="000B378D" w:rsidRDefault="001F4010" w:rsidP="007F6FE9">
            <w:pPr>
              <w:jc w:val="both"/>
              <w:rPr>
                <w:rFonts w:eastAsia="Verdana"/>
                <w:b/>
                <w:color w:val="000000"/>
                <w:sz w:val="22"/>
                <w:szCs w:val="22"/>
              </w:rPr>
            </w:pPr>
            <w:r w:rsidRPr="000B378D">
              <w:rPr>
                <w:rFonts w:eastAsia="Verdana"/>
                <w:color w:val="000000"/>
                <w:sz w:val="22"/>
                <w:szCs w:val="22"/>
              </w:rPr>
              <w:br/>
            </w:r>
            <w:r w:rsidRPr="000B378D">
              <w:rPr>
                <w:rFonts w:eastAsia="Verdana"/>
                <w:b/>
                <w:color w:val="000000"/>
                <w:sz w:val="22"/>
                <w:szCs w:val="22"/>
              </w:rPr>
              <w:t xml:space="preserve">L'étape suivante a également été initiée par un texte réglementaire, le décret n° 89-647 du 12 septembre 1989 relatif à la composition et au fonctionnement de la commission supérieure de codification </w:t>
            </w:r>
            <w:r w:rsidRPr="000B378D">
              <w:rPr>
                <w:rFonts w:eastAsia="Verdana"/>
                <w:color w:val="000000"/>
                <w:sz w:val="22"/>
                <w:szCs w:val="22"/>
              </w:rPr>
              <w:t>(G.</w:t>
            </w:r>
            <w:r w:rsidR="00EF5DAE" w:rsidRPr="000B378D">
              <w:rPr>
                <w:rFonts w:eastAsia="Verdana"/>
                <w:color w:val="000000"/>
                <w:sz w:val="22"/>
                <w:szCs w:val="22"/>
              </w:rPr>
              <w:t> </w:t>
            </w:r>
            <w:r w:rsidRPr="000B378D">
              <w:rPr>
                <w:rFonts w:eastAsia="Verdana"/>
                <w:color w:val="000000"/>
                <w:sz w:val="22"/>
                <w:szCs w:val="22"/>
              </w:rPr>
              <w:t>Braibant et A. Zaradny, L'action de la commission supérieure de codification, AJDA 2004, p. 1856</w:t>
            </w:r>
            <w:r w:rsidRPr="000B378D">
              <w:rPr>
                <w:rFonts w:eastAsia="Verdana"/>
                <w:noProof/>
                <w:color w:val="000000"/>
                <w:sz w:val="22"/>
                <w:szCs w:val="22"/>
              </w:rPr>
              <w:drawing>
                <wp:inline distT="0" distB="0" distL="0" distR="0" wp14:anchorId="03F4DBC9" wp14:editId="63A0664A">
                  <wp:extent cx="127000" cy="12700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w:t>
            </w:r>
            <w:r w:rsidRPr="000B378D">
              <w:rPr>
                <w:rFonts w:eastAsia="Verdana"/>
                <w:b/>
                <w:color w:val="000000"/>
                <w:sz w:val="22"/>
                <w:szCs w:val="22"/>
              </w:rPr>
              <w:t>Il s'agit uniquement d'opérer une codification du droit écrit d'origine interne, et ce à droit constant. Les codes sont préparés par la commission et leur partie législative adoptée par le législateur afin de les sécuriser</w:t>
            </w:r>
            <w:r w:rsidRPr="000B378D">
              <w:rPr>
                <w:rFonts w:eastAsia="Verdana"/>
                <w:color w:val="000000"/>
                <w:sz w:val="22"/>
                <w:szCs w:val="22"/>
              </w:rPr>
              <w:t xml:space="preserve">. </w:t>
            </w:r>
            <w:r w:rsidRPr="000B378D">
              <w:rPr>
                <w:rFonts w:eastAsia="Verdana"/>
                <w:b/>
                <w:color w:val="000000"/>
                <w:sz w:val="22"/>
                <w:szCs w:val="22"/>
              </w:rPr>
              <w:t xml:space="preserve">Mais il est vite apparu, malgré quelques réalisations d'ampleur </w:t>
            </w:r>
            <w:r w:rsidRPr="000B378D">
              <w:rPr>
                <w:rFonts w:eastAsia="Verdana"/>
                <w:color w:val="000000"/>
                <w:sz w:val="22"/>
                <w:szCs w:val="22"/>
              </w:rPr>
              <w:t xml:space="preserve">(en particulier le code général des collectivités territoriales dont la partie législative a été adoptée par la loi du 21 février 1996), </w:t>
            </w:r>
            <w:r w:rsidRPr="000B378D">
              <w:rPr>
                <w:rFonts w:eastAsia="Verdana"/>
                <w:b/>
                <w:color w:val="000000"/>
                <w:sz w:val="22"/>
                <w:szCs w:val="22"/>
              </w:rPr>
              <w:t>que l'encombrement du calendrier parlementaire se révélait un obstacle considérable. La commission préparait des codes qui étaient en partie frappés d'obsolescence avant même d'être avalisés par le Parlement et donc d'entrer en vigueur.</w:t>
            </w:r>
          </w:p>
          <w:p w14:paraId="1750E7CC" w14:textId="77777777" w:rsidR="007D69CE" w:rsidRPr="000B378D" w:rsidRDefault="007D69CE" w:rsidP="007F6FE9">
            <w:pPr>
              <w:jc w:val="both"/>
              <w:rPr>
                <w:rFonts w:eastAsia="Verdana"/>
                <w:color w:val="000000"/>
                <w:sz w:val="22"/>
                <w:szCs w:val="22"/>
              </w:rPr>
            </w:pPr>
          </w:p>
          <w:p w14:paraId="15D93E99" w14:textId="77777777" w:rsidR="008C7EC3" w:rsidRPr="000B378D" w:rsidRDefault="001F4010" w:rsidP="007F6FE9">
            <w:pPr>
              <w:jc w:val="both"/>
              <w:rPr>
                <w:rFonts w:eastAsia="Verdana"/>
                <w:b/>
                <w:color w:val="000000"/>
                <w:sz w:val="22"/>
                <w:szCs w:val="22"/>
              </w:rPr>
            </w:pPr>
            <w:r w:rsidRPr="000B378D">
              <w:rPr>
                <w:rFonts w:eastAsia="Verdana"/>
                <w:color w:val="000000"/>
                <w:sz w:val="22"/>
                <w:szCs w:val="22"/>
              </w:rPr>
              <w:t>En réaction à ce blocage, il a été décidé d'habiliter le gouvernement sur la base de l'article 38 de la Constitution à adopter la partie législative de certains codes (loi du 16 décembre 1999), le Conseil constitutionnel admettant et même encourageant une telle entreprise au nom de l'objectif de valeur constitutionnelle d'accessibilité et d'intelligibilité de la loi (Cons. const. 16 décembre 1999, n° 99-421 DC, AJDA 2000, p. 31, note J.-E. Schoettl</w:t>
            </w:r>
            <w:r w:rsidRPr="000B378D">
              <w:rPr>
                <w:rFonts w:eastAsia="Verdana"/>
                <w:noProof/>
                <w:color w:val="000000"/>
                <w:sz w:val="22"/>
                <w:szCs w:val="22"/>
              </w:rPr>
              <w:drawing>
                <wp:inline distT="0" distB="0" distL="0" distR="0" wp14:anchorId="1B810E89" wp14:editId="41175597">
                  <wp:extent cx="127000" cy="1270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 v. pour une étude d'ensemble de la manière dont le juge constitutionnel appréhende la codification, M. Verpeaux, La codification devant le Conseil constitutionnel, AJDA 2004, p. 1849</w:t>
            </w:r>
            <w:r w:rsidRPr="000B378D">
              <w:rPr>
                <w:rFonts w:eastAsia="Verdana"/>
                <w:noProof/>
                <w:color w:val="000000"/>
                <w:sz w:val="22"/>
                <w:szCs w:val="22"/>
              </w:rPr>
              <w:drawing>
                <wp:inline distT="0" distB="0" distL="0" distR="0" wp14:anchorId="373B680F" wp14:editId="7D13D7FE">
                  <wp:extent cx="127000" cy="12700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 et sur cet objectif de valeur constitutionnelle P. de Montalivet, La « juridicisation » de la légistique, in </w:t>
            </w:r>
            <w:r w:rsidRPr="000B378D">
              <w:rPr>
                <w:rFonts w:eastAsia="Verdana"/>
                <w:i/>
                <w:iCs/>
                <w:color w:val="000000"/>
                <w:sz w:val="22"/>
                <w:szCs w:val="22"/>
              </w:rPr>
              <w:t>La confection de la loi</w:t>
            </w:r>
            <w:r w:rsidRPr="000B378D">
              <w:rPr>
                <w:rFonts w:eastAsia="Verdana"/>
                <w:color w:val="000000"/>
                <w:sz w:val="22"/>
                <w:szCs w:val="22"/>
              </w:rPr>
              <w:t>, Roland Drago, dir., PUF, 2005, p. 99).</w:t>
            </w:r>
            <w:r w:rsidRPr="000B378D">
              <w:rPr>
                <w:rFonts w:eastAsia="Verdana"/>
                <w:color w:val="000000"/>
                <w:sz w:val="22"/>
                <w:szCs w:val="22"/>
              </w:rPr>
              <w:br/>
            </w:r>
            <w:r w:rsidRPr="000B378D">
              <w:rPr>
                <w:rFonts w:eastAsia="Verdana"/>
                <w:color w:val="000000"/>
                <w:sz w:val="22"/>
                <w:szCs w:val="22"/>
              </w:rPr>
              <w:br/>
            </w:r>
            <w:r w:rsidRPr="000B378D">
              <w:rPr>
                <w:rFonts w:eastAsia="Verdana"/>
                <w:b/>
                <w:color w:val="000000"/>
                <w:sz w:val="22"/>
                <w:szCs w:val="22"/>
              </w:rPr>
              <w:t>La troisième génération de la codification est ainsi celle de la codification par ordonnances, le législateur ayant pris soin de préciser la définition de la codification à droit constant, que ce soit dans la loi du 16 décembre 1999 ou dans celle du 12 avril 2000 relative aux droits des citoyens dans leurs relations avec les administrations dont l'article 3 dispose que « la codification législative rassemble et classe dans des codes thématiques l'ensemble des lois en vigueur à la date d'adoption de ces codes. Cette codification se fait à droit constant, sous réserve des modifications nécessaires pour améliorer la cohérence rédactionnelle des textes rassemblés, assurer le respect de la hiérarchie des normes et harmoniser l'état du droit ». Et c'est notamment sur cette base qu'a été adoptée la partie législative du code de justice administrative (ordonnance n° 2000-387 du 4 mai 2000).</w:t>
            </w:r>
          </w:p>
          <w:p w14:paraId="4A4343FB"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t xml:space="preserve">A les lire cursivement, les lois du 2 juillet 2003 et du 9 décembre 2004 semblent s'inscrire dans la droite ligne de celle du 16 décembre 1999. Elles habilitent également le gouvernement à adopter la partie législative de différents codes. Mais à les étudier de plus près, on s'aperçoit que certaines des hypothèses qu'elles visent ne se limitent pas à permettre une codification à droit constant mais au contraire invitent le gouvernement à réformer les branches du droit en cause. Ainsi l'article 89 de la loi du 9 décembre 2004 prolonge-t-il de six mois l'habilitation permettant au gouvernement d'adopter le code des propriétés publiques et de modifier, s'il le souhaite, ce chapitre essentiel du droit administratif. Le gouvernement pourra rien moins que prendre « les mesures législatives nécessaires pour modifier et compléter les dispositions relatives à la définition, à l'administration, à la protection et au contentieux du domaine public et du domaine privé, mobilier comme immobilier, de l'Etat, des collectivités territoriales et des établissements publics, à l'authentification des actes passés par ces personnes publiques, au régime des redevances et des produits domaniaux, tant en ce qui concerne leur institution que leur recouvrement, ainsi que celles relatives à la réalisation et au contrôle des opérations immobilières poursuivies par ces collectivités, afin de les simplifier, de les préciser, de les harmoniser, d'améliorer la gestion domaniale et de les codifier ». </w:t>
            </w:r>
            <w:r w:rsidRPr="000B378D">
              <w:rPr>
                <w:rFonts w:eastAsia="Verdana"/>
                <w:b/>
                <w:color w:val="000000"/>
                <w:sz w:val="22"/>
                <w:szCs w:val="22"/>
              </w:rPr>
              <w:t>Bref, le gouvernement pourra transformer le droit des propriétés publiques, sous réserve évidemment de contraintes constitutionnelles qui ne sont certes pas négligeables</w:t>
            </w:r>
            <w:r w:rsidRPr="000B378D">
              <w:rPr>
                <w:rFonts w:eastAsia="Verdana"/>
                <w:color w:val="000000"/>
                <w:sz w:val="22"/>
                <w:szCs w:val="22"/>
              </w:rPr>
              <w:t xml:space="preserve"> (E. Fatôme, A propos des bases constitutionnelles du droit du domaine public, AJDA 2003, p. 1192</w:t>
            </w:r>
            <w:r w:rsidRPr="000B378D">
              <w:rPr>
                <w:rFonts w:eastAsia="Verdana"/>
                <w:noProof/>
                <w:color w:val="000000"/>
                <w:sz w:val="22"/>
                <w:szCs w:val="22"/>
              </w:rPr>
              <w:drawing>
                <wp:inline distT="0" distB="0" distL="0" distR="0" wp14:anchorId="7D523596" wp14:editId="55DEC788">
                  <wp:extent cx="127000" cy="12700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et A propos des bases constitutionnelles du droit du </w:t>
            </w:r>
            <w:r w:rsidRPr="000B378D">
              <w:rPr>
                <w:rFonts w:eastAsia="Verdana"/>
                <w:color w:val="000000"/>
                <w:sz w:val="22"/>
                <w:szCs w:val="22"/>
              </w:rPr>
              <w:lastRenderedPageBreak/>
              <w:t>domaine public (suite), AJDA 2003, p. 1404</w:t>
            </w:r>
            <w:r w:rsidRPr="000B378D">
              <w:rPr>
                <w:rFonts w:eastAsia="Verdana"/>
                <w:noProof/>
                <w:color w:val="000000"/>
                <w:sz w:val="22"/>
                <w:szCs w:val="22"/>
              </w:rPr>
              <w:drawing>
                <wp:inline distT="0" distB="0" distL="0" distR="0" wp14:anchorId="5E9998FA" wp14:editId="458E903A">
                  <wp:extent cx="127000" cy="1270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 H.-G. Hubrecht, L'inaliénabilité. Passé et avenir d'un principe de droit constitutionnel, in </w:t>
            </w:r>
            <w:r w:rsidRPr="000B378D">
              <w:rPr>
                <w:rFonts w:eastAsia="Verdana"/>
                <w:i/>
                <w:iCs/>
                <w:color w:val="000000"/>
                <w:sz w:val="22"/>
                <w:szCs w:val="22"/>
              </w:rPr>
              <w:t>Mélanges en l'honneur de Dmitri Georges Lavroff</w:t>
            </w:r>
            <w:r w:rsidRPr="000B378D">
              <w:rPr>
                <w:rFonts w:eastAsia="Verdana"/>
                <w:color w:val="000000"/>
                <w:sz w:val="22"/>
                <w:szCs w:val="22"/>
              </w:rPr>
              <w:t>, Dalloz, 2005, p. 417).</w:t>
            </w:r>
          </w:p>
          <w:p w14:paraId="1193CA34"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t>De même, il est habilité à adopter, cette fois-ci à droit constant, la partie législative du code de l'administration, du code de la commande publique ou encore du code général de la fonction publique (art.</w:t>
            </w:r>
            <w:r w:rsidR="00EF5DAE" w:rsidRPr="000B378D">
              <w:rPr>
                <w:rFonts w:eastAsia="Verdana"/>
                <w:color w:val="000000"/>
                <w:sz w:val="22"/>
                <w:szCs w:val="22"/>
              </w:rPr>
              <w:t> </w:t>
            </w:r>
            <w:r w:rsidRPr="000B378D">
              <w:rPr>
                <w:rFonts w:eastAsia="Verdana"/>
                <w:color w:val="000000"/>
                <w:sz w:val="22"/>
                <w:szCs w:val="22"/>
              </w:rPr>
              <w:t xml:space="preserve">84) et ce dans un délai de dix-huit mois. Ces codifications ne sont ainsi que la dernière étape du développement de la place du droit écrit en droit administratif. </w:t>
            </w:r>
            <w:r w:rsidRPr="000B378D">
              <w:rPr>
                <w:rFonts w:eastAsia="Verdana"/>
                <w:b/>
                <w:color w:val="000000"/>
                <w:sz w:val="22"/>
                <w:szCs w:val="22"/>
              </w:rPr>
              <w:t>Les normes législatives et réglementaires y sont désormais tellement nombreuses qu'il devient impératif de les rassembler afin, sinon de véritablement simplifier le droit, d'éviter d'entretenir « l'indigestion du corps social »</w:t>
            </w:r>
            <w:r w:rsidRPr="000B378D">
              <w:rPr>
                <w:rFonts w:eastAsia="Verdana"/>
                <w:color w:val="000000"/>
                <w:sz w:val="22"/>
                <w:szCs w:val="22"/>
              </w:rPr>
              <w:t xml:space="preserve"> (R. Savatier, L'inflation législative et l'indigestion du corps social, D. 1977, chron. p. 43). Et ces codifications ne sont ainsi, même lorsqu'elles se font à droit constant, que le révélateur du déclin du caractère jurisprudentiel du droit administratif (car si les textes ne jouaient pas un rôle essentiel il n'y aurait guère besoin de les codifier), déclin perceptible dans la plupart des branches du droit administratif.</w:t>
            </w:r>
          </w:p>
          <w:p w14:paraId="6DC0F472" w14:textId="77777777" w:rsidR="007D69CE" w:rsidRPr="000B378D" w:rsidRDefault="007D69CE" w:rsidP="007F6FE9">
            <w:pPr>
              <w:jc w:val="both"/>
              <w:rPr>
                <w:rFonts w:eastAsia="Verdana"/>
                <w:color w:val="000000"/>
                <w:sz w:val="22"/>
                <w:szCs w:val="22"/>
              </w:rPr>
            </w:pPr>
          </w:p>
          <w:p w14:paraId="1E6EA52A" w14:textId="77777777" w:rsidR="007D69CE" w:rsidRPr="000B378D" w:rsidRDefault="007D69CE" w:rsidP="007F6FE9">
            <w:pPr>
              <w:jc w:val="both"/>
              <w:rPr>
                <w:rFonts w:eastAsia="Verdana"/>
                <w:color w:val="000000"/>
                <w:sz w:val="22"/>
                <w:szCs w:val="22"/>
              </w:rPr>
            </w:pPr>
          </w:p>
          <w:p w14:paraId="15C2F761" w14:textId="77777777" w:rsidR="007D69CE" w:rsidRPr="000B378D" w:rsidRDefault="007D69CE" w:rsidP="007F6FE9">
            <w:pPr>
              <w:jc w:val="both"/>
              <w:rPr>
                <w:rFonts w:eastAsia="Verdana"/>
                <w:color w:val="000000"/>
                <w:sz w:val="22"/>
                <w:szCs w:val="22"/>
              </w:rPr>
            </w:pPr>
          </w:p>
          <w:p w14:paraId="739903C6" w14:textId="77777777" w:rsidR="001F4010" w:rsidRPr="000B378D" w:rsidRDefault="001F4010" w:rsidP="007F6FE9">
            <w:pPr>
              <w:jc w:val="both"/>
              <w:rPr>
                <w:rFonts w:eastAsia="Verdana"/>
                <w:color w:val="000000"/>
                <w:sz w:val="22"/>
                <w:szCs w:val="22"/>
              </w:rPr>
            </w:pPr>
          </w:p>
          <w:p w14:paraId="5032C455" w14:textId="77777777" w:rsidR="001F4010" w:rsidRPr="000B378D" w:rsidRDefault="001F4010" w:rsidP="007F6FE9">
            <w:pPr>
              <w:pStyle w:val="docContentchronTITRE"/>
              <w:jc w:val="both"/>
              <w:rPr>
                <w:rFonts w:eastAsia="Verdana"/>
                <w:sz w:val="22"/>
                <w:szCs w:val="22"/>
              </w:rPr>
            </w:pPr>
            <w:r w:rsidRPr="000B378D">
              <w:rPr>
                <w:rFonts w:eastAsia="Verdana"/>
                <w:sz w:val="22"/>
                <w:szCs w:val="22"/>
              </w:rPr>
              <w:t>Un déclin perceptible dans la plupart des branches du droit administratif</w:t>
            </w:r>
          </w:p>
          <w:p w14:paraId="46A2BF07" w14:textId="77777777" w:rsidR="007D69CE" w:rsidRPr="000B378D" w:rsidRDefault="007D69CE" w:rsidP="007F6FE9">
            <w:pPr>
              <w:pStyle w:val="docContentchronTITRE"/>
              <w:jc w:val="both"/>
              <w:rPr>
                <w:rFonts w:eastAsia="Verdana"/>
                <w:sz w:val="22"/>
                <w:szCs w:val="22"/>
              </w:rPr>
            </w:pPr>
          </w:p>
          <w:p w14:paraId="6C875AB0" w14:textId="77777777" w:rsidR="004E6086" w:rsidRPr="000B378D" w:rsidRDefault="001F4010" w:rsidP="007F6FE9">
            <w:pPr>
              <w:jc w:val="both"/>
              <w:rPr>
                <w:rFonts w:eastAsia="Verdana"/>
                <w:color w:val="000000"/>
                <w:sz w:val="22"/>
                <w:szCs w:val="22"/>
              </w:rPr>
            </w:pPr>
            <w:r w:rsidRPr="000B378D">
              <w:rPr>
                <w:rFonts w:eastAsia="Verdana"/>
                <w:color w:val="000000"/>
                <w:sz w:val="22"/>
                <w:szCs w:val="22"/>
              </w:rPr>
              <w:t>Il ne saurait évidemment être ici question d'évoquer toutes les branches de la matière pas plus que celles dont le caractère essentiellement écrit n'est pas contesté. Il en est ainsi du droit de la fonction publique, et ce au moins depuis l'adoption du statut de 1946 (le si attendu code général de la fonction publique ne fera dès lors que réaliser une synthèse depuis trop longtemps laissée à la seule charge des éditeurs privés). Il en va de même des branches les plus récentes de la matière, qu'on songe au droit de l'urbanisme ou encore au droit de l'environnement, dont nul ne semble d'ailleurs affirmer le caractère essentiellement jurisprudentiel et qui sont respectivement dotés d'un code depuis 1972 pour le premier et 2000 pour le second. Mieux vaut sans doute se concentrer sur quelques exemples généralement considérés comme les fleurons du caractère jurisprudentiel du droit administratif. On en évoquera notamment deux dont Pierre-Laurent Frier considère qu'ils « restent, pour l'essentiel, fondés sur les grands arrêts du Conseil d'Etat » (</w:t>
            </w:r>
            <w:r w:rsidRPr="000B378D">
              <w:rPr>
                <w:rFonts w:eastAsia="Verdana"/>
                <w:i/>
                <w:iCs/>
                <w:color w:val="000000"/>
                <w:sz w:val="22"/>
                <w:szCs w:val="22"/>
              </w:rPr>
              <w:t>Précis de droit administratif</w:t>
            </w:r>
            <w:r w:rsidRPr="000B378D">
              <w:rPr>
                <w:rFonts w:eastAsia="Verdana"/>
                <w:color w:val="000000"/>
                <w:sz w:val="22"/>
                <w:szCs w:val="22"/>
              </w:rPr>
              <w:t>, préc., n° 143) : le droit des contrats administratifs et le régime de l'acte administratif.</w:t>
            </w:r>
          </w:p>
          <w:p w14:paraId="1FAF0867"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r>
            <w:r w:rsidRPr="000B378D">
              <w:rPr>
                <w:rFonts w:eastAsia="Verdana"/>
                <w:b/>
                <w:color w:val="000000"/>
                <w:sz w:val="22"/>
                <w:szCs w:val="22"/>
              </w:rPr>
              <w:t xml:space="preserve">Commençons par le droit des contrats administratifs. La négation de son caractère essentiellement jurisprudentiel a été opérée en des termes qui restent d'une grande actualité par François Llorens il y a déjà vingt ans </w:t>
            </w:r>
            <w:r w:rsidRPr="000B378D">
              <w:rPr>
                <w:rFonts w:eastAsia="Verdana"/>
                <w:color w:val="000000"/>
                <w:sz w:val="22"/>
                <w:szCs w:val="22"/>
              </w:rPr>
              <w:t xml:space="preserve">(Le droit des contrats administratifs est-il un droit essentiellement jurisprudentiel ?, in </w:t>
            </w:r>
            <w:r w:rsidRPr="000B378D">
              <w:rPr>
                <w:rFonts w:eastAsia="Verdana"/>
                <w:i/>
                <w:iCs/>
                <w:color w:val="000000"/>
                <w:sz w:val="22"/>
                <w:szCs w:val="22"/>
              </w:rPr>
              <w:t>Mélanges Max Cluseau</w:t>
            </w:r>
            <w:r w:rsidRPr="000B378D">
              <w:rPr>
                <w:rFonts w:eastAsia="Verdana"/>
                <w:color w:val="000000"/>
                <w:sz w:val="22"/>
                <w:szCs w:val="22"/>
              </w:rPr>
              <w:t xml:space="preserve">, Presses de l'IEP de Toulouse, 1985, p. 377). </w:t>
            </w:r>
            <w:r w:rsidRPr="000B378D">
              <w:rPr>
                <w:rFonts w:eastAsia="Verdana"/>
                <w:b/>
                <w:color w:val="000000"/>
                <w:sz w:val="22"/>
                <w:szCs w:val="22"/>
              </w:rPr>
              <w:t xml:space="preserve">Et la démonstration est assurément facilitée par les évolutions postérieures du droit positif. </w:t>
            </w:r>
            <w:r w:rsidRPr="000B378D">
              <w:rPr>
                <w:rFonts w:eastAsia="Verdana"/>
                <w:color w:val="000000"/>
                <w:sz w:val="22"/>
                <w:szCs w:val="22"/>
              </w:rPr>
              <w:t xml:space="preserve">François Llorens mettait en particulier en évidence que </w:t>
            </w:r>
            <w:r w:rsidRPr="000B378D">
              <w:rPr>
                <w:rFonts w:eastAsia="Verdana"/>
                <w:b/>
                <w:color w:val="000000"/>
                <w:sz w:val="22"/>
                <w:szCs w:val="22"/>
              </w:rPr>
              <w:t>les règles jurisprudentielles ne jouaient qu'un rôle subsidiaire en matière contractuelle, l'essentiel des questions étant réglées soit par la législation ou la réglementation en vigueur soit par les stipulations contractuelles.</w:t>
            </w:r>
            <w:r w:rsidRPr="000B378D">
              <w:rPr>
                <w:rFonts w:eastAsia="Verdana"/>
                <w:color w:val="000000"/>
                <w:sz w:val="22"/>
                <w:szCs w:val="22"/>
              </w:rPr>
              <w:t xml:space="preserve"> Et l'auteur de démontrer que « les théories jurisprudentielles les plus célèbres se révèlent enfin pour ce qu'elles sont et qu'elles n'auraient jamais dû cesser d'apparaître : des règles subsidiaires, d'application limitée, destinées à corriger les effets du contrat dans des hypothèses exceptionnelles » (préc., p. 391). En effet, la « théorie générale du contrat administratif » (F. Brenet, La théorie du contrat administratif. Evolutions récentes, AJDA 2003, p. 919</w:t>
            </w:r>
            <w:r w:rsidRPr="000B378D">
              <w:rPr>
                <w:rFonts w:eastAsia="Verdana"/>
                <w:noProof/>
                <w:color w:val="000000"/>
                <w:sz w:val="22"/>
                <w:szCs w:val="22"/>
              </w:rPr>
              <w:drawing>
                <wp:inline distT="0" distB="0" distL="0" distR="0" wp14:anchorId="093FE002" wp14:editId="72816585">
                  <wp:extent cx="127000" cy="1270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est d'un usage fort limité. L'essentiel du droit des contrats administratifs, d'un point de vue quantitatif comme qualitatif, se trouve dans la loi ou le règlement (pour une critique de la place laissée jusqu'à présent au pouvoir réglementaire en matière de contrats administratifs, v. notamment Y. Gaudemet, Le contrat administratif, un contrat hors la loi, Cah. Cons. const. 2004, n° 17, p. 91). </w:t>
            </w:r>
            <w:r w:rsidRPr="000B378D">
              <w:rPr>
                <w:rFonts w:eastAsia="Verdana"/>
                <w:b/>
                <w:color w:val="000000"/>
                <w:sz w:val="22"/>
                <w:szCs w:val="22"/>
              </w:rPr>
              <w:t>Le régime de la concession de service public était largement jurisprudentiel. Le régime et la notion même de convention de délégation de service public sont aujourd'hui en grande partie prévus par des dispositions écrites depuis les lois du 29 janvier 1993 et du 11 décembre 2001.</w:t>
            </w:r>
            <w:r w:rsidRPr="000B378D">
              <w:rPr>
                <w:rFonts w:eastAsia="Verdana"/>
                <w:color w:val="000000"/>
                <w:sz w:val="22"/>
                <w:szCs w:val="22"/>
              </w:rPr>
              <w:t xml:space="preserve"> Un bon exemple de cette importance du droit écrit est également offert par le contrat de partenariat de l'ordonnance du 17 juin 2004. Non seulement la notion est précisée (certes de manière imparfaite) par l'ordonnance, tout comme ses modalités de passation, mais les rédacteurs de l'ordonnance ont en quelque sorte contractualisé les pouvoirs généraux dont dispose l'administration à l'égard de ses </w:t>
            </w:r>
            <w:r w:rsidRPr="000B378D">
              <w:rPr>
                <w:rFonts w:eastAsia="Verdana"/>
                <w:color w:val="000000"/>
                <w:sz w:val="22"/>
                <w:szCs w:val="22"/>
              </w:rPr>
              <w:lastRenderedPageBreak/>
              <w:t>cocontractants. L'ordonnance pose en effet dans son article 11 (ainsi que dans l'article L. 1414-12 du code général des collectivités territoriales) que le contrat doit comprendre une importante série de clauses obligatoires. Et le contrat doit ainsi contenir des clauses relatives aux modalités de contrôle et de direction, au pouvoir de sanction, au pouvoir de modification unilatérale ou encore au pouvoir de résiliation unilatérale. A quoi sert dès lors la théorie générale sauf cas exceptionnel si les questions qu'elle règle le sont déjà par le contrat ?</w:t>
            </w:r>
          </w:p>
          <w:p w14:paraId="18E211A4" w14:textId="77777777" w:rsidR="008C7EC3" w:rsidRPr="000B378D" w:rsidRDefault="001F4010" w:rsidP="007F6FE9">
            <w:pPr>
              <w:jc w:val="both"/>
              <w:rPr>
                <w:rFonts w:eastAsia="Verdana"/>
                <w:b/>
                <w:color w:val="000000"/>
                <w:sz w:val="22"/>
                <w:szCs w:val="22"/>
              </w:rPr>
            </w:pPr>
            <w:r w:rsidRPr="000B378D">
              <w:rPr>
                <w:rFonts w:eastAsia="Verdana"/>
                <w:color w:val="000000"/>
                <w:sz w:val="22"/>
                <w:szCs w:val="22"/>
              </w:rPr>
              <w:br/>
            </w:r>
            <w:r w:rsidRPr="000B378D">
              <w:rPr>
                <w:rFonts w:eastAsia="Verdana"/>
                <w:b/>
                <w:color w:val="000000"/>
                <w:sz w:val="22"/>
                <w:szCs w:val="22"/>
              </w:rPr>
              <w:t>Le cas de la procédure administrative non juridictionnelle est également très révélateur. Outre la codification annoncée de la jurisprudence relative au retrait, la perspective de l'édiction d'un code de l'administration</w:t>
            </w:r>
            <w:r w:rsidRPr="000B378D">
              <w:rPr>
                <w:rFonts w:eastAsia="Verdana"/>
                <w:color w:val="000000"/>
                <w:sz w:val="22"/>
                <w:szCs w:val="22"/>
              </w:rPr>
              <w:t xml:space="preserve"> (R. Schwartz, Le code de l'administration, AJDA 2004, p. 1860</w:t>
            </w:r>
            <w:r w:rsidRPr="000B378D">
              <w:rPr>
                <w:rFonts w:eastAsia="Verdana"/>
                <w:noProof/>
                <w:color w:val="000000"/>
                <w:sz w:val="22"/>
                <w:szCs w:val="22"/>
              </w:rPr>
              <w:drawing>
                <wp:inline distT="0" distB="0" distL="0" distR="0" wp14:anchorId="69209361" wp14:editId="21C2D804">
                  <wp:extent cx="127000" cy="1270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w:t>
            </w:r>
            <w:r w:rsidRPr="000B378D">
              <w:rPr>
                <w:rFonts w:eastAsia="Verdana"/>
                <w:b/>
                <w:color w:val="000000"/>
                <w:sz w:val="22"/>
                <w:szCs w:val="22"/>
              </w:rPr>
              <w:t>n'est que la conséquence logique du développement spectaculaire du droit écrit en la matière depuis les grandes lois de la fin des années 1970. Est-il besoin d'insister ? Qu'il s'agisse de la motivation des actes administratifs, de leur communication ou même désormais plus largement des relations entre l'administration et les administrés-citoyens les règles essentielles sont désormais écrites.</w:t>
            </w:r>
            <w:r w:rsidRPr="000B378D">
              <w:rPr>
                <w:rFonts w:eastAsia="Verdana"/>
                <w:color w:val="000000"/>
                <w:sz w:val="22"/>
                <w:szCs w:val="22"/>
              </w:rPr>
              <w:t xml:space="preserve"> Le code de l'administration, s'il intervient, réglera ainsi probablement une question lancinante (v. sur ce point par exemple la synthèse d'Y. Gaudemet, La codification de la procédure administrative non contentieuse en France, D. 1986, chron. p. 107). </w:t>
            </w:r>
            <w:r w:rsidRPr="000B378D">
              <w:rPr>
                <w:rFonts w:eastAsia="Verdana"/>
                <w:b/>
                <w:color w:val="000000"/>
                <w:sz w:val="22"/>
                <w:szCs w:val="22"/>
              </w:rPr>
              <w:t>En effet, depuis la fin des années 1960, une partie de la doctrine réclamait, en s'inspirant en particulier des enseignements du droit comparé</w:t>
            </w:r>
            <w:r w:rsidRPr="000B378D">
              <w:rPr>
                <w:rFonts w:eastAsia="Verdana"/>
                <w:color w:val="000000"/>
                <w:sz w:val="22"/>
                <w:szCs w:val="22"/>
              </w:rPr>
              <w:t xml:space="preserve"> (v. notamment G. Isaac, </w:t>
            </w:r>
            <w:r w:rsidRPr="000B378D">
              <w:rPr>
                <w:rFonts w:eastAsia="Verdana"/>
                <w:i/>
                <w:iCs/>
                <w:color w:val="000000"/>
                <w:sz w:val="22"/>
                <w:szCs w:val="22"/>
              </w:rPr>
              <w:t>La procédure administrative non contentieuse</w:t>
            </w:r>
            <w:r w:rsidRPr="000B378D">
              <w:rPr>
                <w:rFonts w:eastAsia="Verdana"/>
                <w:color w:val="000000"/>
                <w:sz w:val="22"/>
                <w:szCs w:val="22"/>
              </w:rPr>
              <w:t xml:space="preserve">, LGDJ, 1968, p. 671), </w:t>
            </w:r>
            <w:r w:rsidRPr="000B378D">
              <w:rPr>
                <w:rFonts w:eastAsia="Verdana"/>
                <w:b/>
                <w:color w:val="000000"/>
                <w:sz w:val="22"/>
                <w:szCs w:val="22"/>
              </w:rPr>
              <w:t>une telle codification. Et différents projets en ce sens avaient échoué, notamment au début des années 1980, sans doute car le droit écrit était alors trop lacunaire. Tel ne semble justement plus être le cas.</w:t>
            </w:r>
          </w:p>
          <w:p w14:paraId="33CB793A" w14:textId="77777777" w:rsidR="00397CCA" w:rsidRPr="000B378D" w:rsidRDefault="001F4010" w:rsidP="007F6FE9">
            <w:pPr>
              <w:jc w:val="both"/>
              <w:rPr>
                <w:rFonts w:eastAsia="Verdana"/>
                <w:color w:val="000000"/>
                <w:sz w:val="22"/>
                <w:szCs w:val="22"/>
              </w:rPr>
            </w:pPr>
            <w:r w:rsidRPr="000B378D">
              <w:rPr>
                <w:rFonts w:eastAsia="Verdana"/>
                <w:color w:val="000000"/>
                <w:sz w:val="22"/>
                <w:szCs w:val="22"/>
              </w:rPr>
              <w:br/>
            </w:r>
            <w:r w:rsidRPr="000B378D">
              <w:rPr>
                <w:rFonts w:eastAsia="Verdana"/>
                <w:b/>
                <w:color w:val="000000"/>
                <w:sz w:val="22"/>
                <w:szCs w:val="22"/>
              </w:rPr>
              <w:t>Il en va un peu de même de la procédure juridictionnelle administrative. Si le temps des grands arrêts n'est assurément pas révolu</w:t>
            </w:r>
            <w:r w:rsidRPr="000B378D">
              <w:rPr>
                <w:rFonts w:eastAsia="Verdana"/>
                <w:color w:val="000000"/>
                <w:sz w:val="22"/>
                <w:szCs w:val="22"/>
              </w:rPr>
              <w:t xml:space="preserve"> (qu'on songe à CE Ass. 11 mai 2004, </w:t>
            </w:r>
            <w:r w:rsidRPr="000B378D">
              <w:rPr>
                <w:rFonts w:eastAsia="Verdana"/>
                <w:i/>
                <w:iCs/>
                <w:color w:val="000000"/>
                <w:sz w:val="22"/>
                <w:szCs w:val="22"/>
              </w:rPr>
              <w:t>Association AC !</w:t>
            </w:r>
            <w:r w:rsidRPr="000B378D">
              <w:rPr>
                <w:rFonts w:eastAsia="Verdana"/>
                <w:color w:val="000000"/>
                <w:sz w:val="22"/>
                <w:szCs w:val="22"/>
              </w:rPr>
              <w:t>, AJDA 2004, p. 1183, chron. C. Landais et F. Lenica</w:t>
            </w:r>
            <w:r w:rsidRPr="000B378D">
              <w:rPr>
                <w:rFonts w:eastAsia="Verdana"/>
                <w:noProof/>
                <w:color w:val="000000"/>
                <w:sz w:val="22"/>
                <w:szCs w:val="22"/>
              </w:rPr>
              <w:drawing>
                <wp:inline distT="0" distB="0" distL="0" distR="0" wp14:anchorId="4AE5DAE2" wp14:editId="6F0AEA3D">
                  <wp:extent cx="127000" cy="1270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w:t>
            </w:r>
            <w:r w:rsidRPr="000B378D">
              <w:rPr>
                <w:rFonts w:eastAsia="Verdana"/>
                <w:b/>
                <w:color w:val="000000"/>
                <w:sz w:val="22"/>
                <w:szCs w:val="22"/>
              </w:rPr>
              <w:t>à qui fera-t-on croire que l'essentiel des principes de la matière n'est pas aujourd'hui énoncé dans le code de justice administrative</w:t>
            </w:r>
            <w:r w:rsidRPr="000B378D">
              <w:rPr>
                <w:rFonts w:eastAsia="Verdana"/>
                <w:color w:val="000000"/>
                <w:sz w:val="22"/>
                <w:szCs w:val="22"/>
              </w:rPr>
              <w:t xml:space="preserve">, que ce soit dans son « décalogue » (art. 2 à 11 du titre préliminaire) ou dans ses titres un à neuf ? Certes la distinction des contentieux, même si elle a fait l'objet de consécrations textuelles marginales ou indirectes, ou encore les techniques mêmes de contrôle demeurent rétives à une codification. Mais </w:t>
            </w:r>
            <w:r w:rsidRPr="000B378D">
              <w:rPr>
                <w:rFonts w:eastAsia="Verdana"/>
                <w:b/>
                <w:color w:val="000000"/>
                <w:sz w:val="22"/>
                <w:szCs w:val="22"/>
              </w:rPr>
              <w:t>la plupart des principes structurant la matière sont bien dans le code</w:t>
            </w:r>
            <w:r w:rsidRPr="000B378D">
              <w:rPr>
                <w:rFonts w:eastAsia="Verdana"/>
                <w:color w:val="000000"/>
                <w:sz w:val="22"/>
                <w:szCs w:val="22"/>
              </w:rPr>
              <w:t xml:space="preserve"> (qui est d'ailleurs, du fait de la qualité de ses rédacteurs, selon nous le mieux écrit des codes récemment rédigés et le seul à pouvoir soutenir la comparaison d'un point de vue rédactionnel avec des codifications plus anciennes).</w:t>
            </w:r>
          </w:p>
          <w:p w14:paraId="1FF665D6" w14:textId="77777777" w:rsidR="008C7EC3" w:rsidRPr="000B378D" w:rsidRDefault="001F4010" w:rsidP="007F6FE9">
            <w:pPr>
              <w:jc w:val="both"/>
              <w:rPr>
                <w:rFonts w:eastAsia="Verdana"/>
                <w:color w:val="000000"/>
                <w:sz w:val="22"/>
                <w:szCs w:val="22"/>
              </w:rPr>
            </w:pPr>
            <w:r w:rsidRPr="000B378D">
              <w:rPr>
                <w:rFonts w:eastAsia="Verdana"/>
                <w:b/>
                <w:color w:val="000000"/>
                <w:sz w:val="22"/>
                <w:szCs w:val="22"/>
              </w:rPr>
              <w:br/>
              <w:t>Il nous semble dès lors que, parmi les principaux chapitres du droit administratif, un seul demeure essentiellement (au sens qualitatif) jurisprudentiel : c'est le droit de la responsabilité administrative.</w:t>
            </w:r>
            <w:r w:rsidRPr="000B378D">
              <w:rPr>
                <w:rFonts w:eastAsia="Verdana"/>
                <w:color w:val="000000"/>
                <w:sz w:val="22"/>
                <w:szCs w:val="22"/>
              </w:rPr>
              <w:t xml:space="preserve"> </w:t>
            </w:r>
            <w:r w:rsidRPr="000B378D">
              <w:rPr>
                <w:rFonts w:eastAsia="Verdana"/>
                <w:b/>
                <w:color w:val="000000"/>
                <w:sz w:val="22"/>
                <w:szCs w:val="22"/>
              </w:rPr>
              <w:t>Même si les régimes spéciaux se sont multipliés, les principes de base demeurent non écrits</w:t>
            </w:r>
            <w:r w:rsidRPr="000B378D">
              <w:rPr>
                <w:rFonts w:eastAsia="Verdana"/>
                <w:color w:val="000000"/>
                <w:sz w:val="22"/>
                <w:szCs w:val="22"/>
              </w:rPr>
              <w:t xml:space="preserve"> (v. toutefois l'analyse, que les évolutions postérieures du droit positif permettent de renforcer, de C. Bréchon-Moulènes, </w:t>
            </w:r>
            <w:r w:rsidRPr="000B378D">
              <w:rPr>
                <w:rFonts w:eastAsia="Verdana"/>
                <w:i/>
                <w:iCs/>
                <w:color w:val="000000"/>
                <w:sz w:val="22"/>
                <w:szCs w:val="22"/>
              </w:rPr>
              <w:t>Les régimes législatifs de responsabilité publique</w:t>
            </w:r>
            <w:r w:rsidRPr="000B378D">
              <w:rPr>
                <w:rFonts w:eastAsia="Verdana"/>
                <w:color w:val="000000"/>
                <w:sz w:val="22"/>
                <w:szCs w:val="22"/>
              </w:rPr>
              <w:t xml:space="preserve">, LGDJ, 1974, p. 489) et le « droit commun de la responsabilité administrative » est encore jurisprudentiel (M. Paillet, Existe-t-il une responsabilité de droit commun ?, in </w:t>
            </w:r>
            <w:r w:rsidRPr="000B378D">
              <w:rPr>
                <w:rFonts w:eastAsia="Verdana"/>
                <w:i/>
                <w:iCs/>
                <w:color w:val="000000"/>
                <w:sz w:val="22"/>
                <w:szCs w:val="22"/>
              </w:rPr>
              <w:t>Vers de nouvelles normes en droit de la responsabilité publique ?</w:t>
            </w:r>
            <w:r w:rsidRPr="000B378D">
              <w:rPr>
                <w:rFonts w:eastAsia="Verdana"/>
                <w:color w:val="000000"/>
                <w:sz w:val="22"/>
                <w:szCs w:val="22"/>
              </w:rPr>
              <w:t>, Les colloques du Sénat, 2002, p. 89).</w:t>
            </w:r>
          </w:p>
          <w:p w14:paraId="4AAD8C52" w14:textId="77777777" w:rsidR="00397CCA" w:rsidRPr="000B378D" w:rsidRDefault="001F4010" w:rsidP="007F6FE9">
            <w:pPr>
              <w:jc w:val="both"/>
              <w:rPr>
                <w:rFonts w:eastAsia="Verdana"/>
                <w:b/>
                <w:color w:val="000000"/>
                <w:sz w:val="22"/>
                <w:szCs w:val="22"/>
              </w:rPr>
            </w:pPr>
            <w:r w:rsidRPr="000B378D">
              <w:rPr>
                <w:rFonts w:eastAsia="Verdana"/>
                <w:b/>
                <w:color w:val="000000"/>
                <w:sz w:val="22"/>
                <w:szCs w:val="22"/>
              </w:rPr>
              <w:br/>
              <w:t>Georges Vedel avait donc raison : le droit administratif ne pouvait pas rester indéfiniment jurisprudentiel. Mais cela veut-il dire qu'il est désormais plus accessible, moins hermétique au profane</w:t>
            </w:r>
            <w:r w:rsidR="002E3E5D" w:rsidRPr="000B378D">
              <w:rPr>
                <w:rFonts w:eastAsia="Verdana"/>
                <w:b/>
                <w:color w:val="000000"/>
                <w:sz w:val="22"/>
                <w:szCs w:val="22"/>
              </w:rPr>
              <w:t> </w:t>
            </w:r>
            <w:r w:rsidRPr="000B378D">
              <w:rPr>
                <w:rFonts w:eastAsia="Verdana"/>
                <w:b/>
                <w:color w:val="000000"/>
                <w:sz w:val="22"/>
                <w:szCs w:val="22"/>
              </w:rPr>
              <w:t>? Malheureusement pas.</w:t>
            </w:r>
          </w:p>
          <w:p w14:paraId="7EED0DDC" w14:textId="77777777" w:rsidR="001F4010" w:rsidRPr="000B378D" w:rsidRDefault="001F4010" w:rsidP="007F6FE9">
            <w:pPr>
              <w:jc w:val="both"/>
              <w:rPr>
                <w:rFonts w:eastAsia="Verdana"/>
                <w:b/>
                <w:color w:val="000000"/>
                <w:sz w:val="22"/>
                <w:szCs w:val="22"/>
              </w:rPr>
            </w:pPr>
          </w:p>
          <w:p w14:paraId="6739BC96" w14:textId="77777777" w:rsidR="00FA1163" w:rsidRPr="000B378D" w:rsidRDefault="001F4010" w:rsidP="007F6FE9">
            <w:pPr>
              <w:pStyle w:val="docContentchronTITRE"/>
              <w:jc w:val="both"/>
              <w:rPr>
                <w:rFonts w:eastAsia="Verdana"/>
                <w:sz w:val="22"/>
                <w:szCs w:val="22"/>
              </w:rPr>
            </w:pPr>
            <w:r w:rsidRPr="000B378D">
              <w:rPr>
                <w:rFonts w:eastAsia="Verdana"/>
                <w:sz w:val="22"/>
                <w:szCs w:val="22"/>
              </w:rPr>
              <w:t>Un déclin contribuant à la complexification du droit administratif</w:t>
            </w:r>
          </w:p>
          <w:p w14:paraId="2D04B683" w14:textId="77777777" w:rsidR="007D69CE" w:rsidRPr="000B378D" w:rsidRDefault="007D69CE" w:rsidP="007F6FE9">
            <w:pPr>
              <w:pStyle w:val="docContentchronTITRE"/>
              <w:jc w:val="both"/>
              <w:rPr>
                <w:rFonts w:eastAsia="Verdana"/>
                <w:sz w:val="22"/>
                <w:szCs w:val="22"/>
              </w:rPr>
            </w:pPr>
          </w:p>
          <w:p w14:paraId="28DA8846"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t>Portalis déjà relativisait les mérites du code en posant une question élémentaire et pourtant trop négligée : «</w:t>
            </w:r>
            <w:r w:rsidR="0030175B" w:rsidRPr="000B378D">
              <w:rPr>
                <w:rFonts w:eastAsia="Verdana"/>
                <w:color w:val="000000"/>
                <w:sz w:val="22"/>
                <w:szCs w:val="22"/>
              </w:rPr>
              <w:t> </w:t>
            </w:r>
            <w:r w:rsidRPr="000B378D">
              <w:rPr>
                <w:rFonts w:eastAsia="Verdana"/>
                <w:color w:val="000000"/>
                <w:sz w:val="22"/>
                <w:szCs w:val="22"/>
              </w:rPr>
              <w:t>le code même le plus simple serait-il à la portée de toutes les classes de la société ? » (</w:t>
            </w:r>
            <w:r w:rsidRPr="000B378D">
              <w:rPr>
                <w:rFonts w:eastAsia="Verdana"/>
                <w:i/>
                <w:iCs/>
                <w:color w:val="000000"/>
                <w:sz w:val="22"/>
                <w:szCs w:val="22"/>
              </w:rPr>
              <w:t>Discours préliminaire sur le projet de code civil</w:t>
            </w:r>
            <w:r w:rsidRPr="000B378D">
              <w:rPr>
                <w:rFonts w:eastAsia="Verdana"/>
                <w:color w:val="000000"/>
                <w:sz w:val="22"/>
                <w:szCs w:val="22"/>
              </w:rPr>
              <w:t xml:space="preserve">, préc., p. 27). Force est malheureusement de constater que </w:t>
            </w:r>
            <w:r w:rsidRPr="000B378D">
              <w:rPr>
                <w:rFonts w:eastAsia="Verdana"/>
                <w:b/>
                <w:color w:val="000000"/>
                <w:sz w:val="22"/>
                <w:szCs w:val="22"/>
              </w:rPr>
              <w:t>la plupart des textes contemporains ne sont à la portée que de trop rares initiés.</w:t>
            </w:r>
            <w:r w:rsidRPr="000B378D">
              <w:rPr>
                <w:rFonts w:eastAsia="Verdana"/>
                <w:color w:val="000000"/>
                <w:sz w:val="22"/>
                <w:szCs w:val="22"/>
              </w:rPr>
              <w:t xml:space="preserve"> </w:t>
            </w:r>
            <w:r w:rsidRPr="000B378D">
              <w:rPr>
                <w:rFonts w:eastAsia="Verdana"/>
                <w:b/>
                <w:color w:val="000000"/>
                <w:sz w:val="22"/>
                <w:szCs w:val="22"/>
              </w:rPr>
              <w:t xml:space="preserve">Il est assez facile de mettre en évidence que les interventions récentes du législateur et du pouvoir réglementaire dans différents chapitres du droit </w:t>
            </w:r>
            <w:r w:rsidRPr="000B378D">
              <w:rPr>
                <w:rFonts w:eastAsia="Verdana"/>
                <w:b/>
                <w:color w:val="000000"/>
                <w:sz w:val="22"/>
                <w:szCs w:val="22"/>
              </w:rPr>
              <w:lastRenderedPageBreak/>
              <w:t>administratif ont fait perdre à ces derniers une large part de cette cohérence</w:t>
            </w:r>
            <w:r w:rsidRPr="000B378D">
              <w:rPr>
                <w:rFonts w:eastAsia="Verdana"/>
                <w:color w:val="000000"/>
                <w:sz w:val="22"/>
                <w:szCs w:val="22"/>
              </w:rPr>
              <w:t>. Deux exemples nous semblent ici très spectaculaires et tout à fait révélateurs : il s'agit de celui du droit des propriétés publiques et de celui du droit des contrats administratifs.</w:t>
            </w:r>
          </w:p>
          <w:p w14:paraId="62AAA03F" w14:textId="77777777" w:rsidR="002E3E5D" w:rsidRPr="000B378D" w:rsidRDefault="001F4010" w:rsidP="007F6FE9">
            <w:pPr>
              <w:jc w:val="both"/>
              <w:rPr>
                <w:rFonts w:eastAsia="Verdana"/>
                <w:color w:val="000000"/>
                <w:sz w:val="22"/>
                <w:szCs w:val="22"/>
              </w:rPr>
            </w:pPr>
            <w:r w:rsidRPr="000B378D">
              <w:rPr>
                <w:rFonts w:eastAsia="Verdana"/>
                <w:color w:val="000000"/>
                <w:sz w:val="22"/>
                <w:szCs w:val="22"/>
              </w:rPr>
              <w:br/>
              <w:t>Commençons par le cas du droit des propriétés publiques (v. dossier domaine public, AJDA 2005, p. 578). Ce droit reposait (et repose encore en partie) sur une logique de base assez simple : priorité était donnée à la protection des patrimoines publics au détriment éventuel de leur valorisation ou de leur gestion plus «</w:t>
            </w:r>
            <w:r w:rsidR="00EF5DAE" w:rsidRPr="000B378D">
              <w:rPr>
                <w:rFonts w:eastAsia="Verdana"/>
                <w:color w:val="000000"/>
                <w:sz w:val="22"/>
                <w:szCs w:val="22"/>
              </w:rPr>
              <w:t> </w:t>
            </w:r>
            <w:r w:rsidRPr="000B378D">
              <w:rPr>
                <w:rFonts w:eastAsia="Verdana"/>
                <w:color w:val="000000"/>
                <w:sz w:val="22"/>
                <w:szCs w:val="22"/>
              </w:rPr>
              <w:t>dynamique ». La domanialité publique était conçue de manière particulièrement extensive (qu'on songe au destin de l'aménagement spécial qui n'a pas joué le rôle de « critère réducteur » de la domanialité publique initialement envisagé) et son régime de manière rigoureuse, notamment en matière d'interdiction de constitution de droits réels. Puis le législateur a multiplié les interventions ponctuelles afin essentiellement de remettre en cause les rigueurs de la jurisprudence : article 13 de la loi du 5 janvier 1988 portant amélioration de la décentralisation (possibilité ouverte aux collectivités locales de passer des baux emphytéotiques administratifs sur un bien immobilier leur appartenant) ; loi n° 94-631 du 25 juillet 1994 (loi complétant le code du domaine de l'Etat et relative à la constitution de droits réels sur le domaine public) ; loi n° 96-660 du 26 juillet 1996 (loi relative à l'entreprise nationale France Télécom dont l'article 1</w:t>
            </w:r>
            <w:r w:rsidRPr="000B378D">
              <w:rPr>
                <w:rFonts w:eastAsia="Verdana"/>
                <w:color w:val="000000"/>
                <w:sz w:val="22"/>
                <w:szCs w:val="22"/>
                <w:vertAlign w:val="superscript"/>
              </w:rPr>
              <w:t>er</w:t>
            </w:r>
            <w:r w:rsidRPr="000B378D">
              <w:rPr>
                <w:rFonts w:eastAsia="Verdana"/>
                <w:color w:val="000000"/>
                <w:sz w:val="22"/>
                <w:szCs w:val="22"/>
              </w:rPr>
              <w:t xml:space="preserve"> déclasse les biens de France Télécom et dont l'article 4 précise que certains seront soumis à un régime protecteur de nature à garantir leur affectation) ; loi n° 2001-1168 du 11 décembre 2001 (loi portant mesures urgentes de réformes à caractère économique et financier dont l'article 22 fait subir aux biens immobiliers de La Poste un sort comparable a celui de ceux de France Télécom) ; loi n° 2002-1094 du 29 août 2002 (loi d'orientation et de programmation pour la sécurité intérieure dont l'article 3 modifie le code du domaine de l'Etat afin de faciliter le financement de la construction de bâtiments destinés à satisfaire les besoins de la justice, de la police ou de la gendarmerie nationale et qui permet notamment le recours au crédit-bail et à la location avec option d'achat) ; ordonnance n° 2003-850 du 4 septembre 2003 (ordonnance portant simplification de l'organisation et du fonctionnement du système de santé dont le titre IV aménage le bail emphytéotique administratif hospitalier) ; ordonnance n° 2004-825 du 19 août 2004 (ordonnance relative au statut des immeubles de bureaux qui modifie notamment l'article L. 2 du code du domaine de l'Etat en déclassant les biens immobiliers à usage de bureaux de l'Etat et de ses établissements publics à l'exception de ceux formant un ensemble indivisible avec des biens immobiliers appartenant au domaine public)...</w:t>
            </w:r>
          </w:p>
          <w:p w14:paraId="46D28147"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t xml:space="preserve">On se retrouve dès lors avec une construction particulièrement tourmentée. </w:t>
            </w:r>
            <w:r w:rsidRPr="000B378D">
              <w:rPr>
                <w:rFonts w:eastAsia="Verdana"/>
                <w:b/>
                <w:color w:val="000000"/>
                <w:sz w:val="22"/>
                <w:szCs w:val="22"/>
              </w:rPr>
              <w:t>La définition classique du domaine public est entamée puisqu'on a multiplié les exceptions « législatives »,</w:t>
            </w:r>
            <w:r w:rsidRPr="000B378D">
              <w:rPr>
                <w:rFonts w:eastAsia="Verdana"/>
                <w:color w:val="000000"/>
                <w:sz w:val="22"/>
                <w:szCs w:val="22"/>
              </w:rPr>
              <w:t xml:space="preserve"> qu'elles portent sur des personnes publiques particulières (La Poste) ou sur des catégories de biens (les immeubles de bureaux de l'Etat). </w:t>
            </w:r>
            <w:r w:rsidRPr="000B378D">
              <w:rPr>
                <w:rFonts w:eastAsia="Verdana"/>
                <w:b/>
                <w:color w:val="000000"/>
                <w:sz w:val="22"/>
                <w:szCs w:val="22"/>
              </w:rPr>
              <w:t>Quant au régime du domaine public, il est en voie d'éclatement, de fragmentation</w:t>
            </w:r>
            <w:r w:rsidRPr="000B378D">
              <w:rPr>
                <w:rFonts w:eastAsia="Verdana"/>
                <w:color w:val="000000"/>
                <w:sz w:val="22"/>
                <w:szCs w:val="22"/>
              </w:rPr>
              <w:t xml:space="preserve">. Au-delà, c'est la distinction binaire domaine public/domaine privé qui subit une nouvelle attaque et la théorie de l'échelle de la domanialité qui connaît une seconde jeunesse (F. Melleray, L'échelle de la domanialité, in </w:t>
            </w:r>
            <w:r w:rsidRPr="000B378D">
              <w:rPr>
                <w:rFonts w:eastAsia="Verdana"/>
                <w:i/>
                <w:iCs/>
                <w:color w:val="000000"/>
                <w:sz w:val="22"/>
                <w:szCs w:val="22"/>
              </w:rPr>
              <w:t>Mélanges en l'honneur de Franck Moderne</w:t>
            </w:r>
            <w:r w:rsidRPr="000B378D">
              <w:rPr>
                <w:rFonts w:eastAsia="Verdana"/>
                <w:color w:val="000000"/>
                <w:sz w:val="22"/>
                <w:szCs w:val="22"/>
              </w:rPr>
              <w:t xml:space="preserve">, Dalloz, 2004, p. 287). Mieux, le législateur a réussi un tour de force. Certains biens appartenant à des personnes privées (et donc par définition n'appartenant pas au domaine public puisque la propriété publique est une des conditions de la domanialité comme l'a rappelé un récent avis du CE 10 juin 2004, </w:t>
            </w:r>
            <w:r w:rsidRPr="000B378D">
              <w:rPr>
                <w:rFonts w:eastAsia="Verdana"/>
                <w:i/>
                <w:iCs/>
                <w:color w:val="000000"/>
                <w:sz w:val="22"/>
                <w:szCs w:val="22"/>
              </w:rPr>
              <w:t>Agence France-Presse</w:t>
            </w:r>
            <w:r w:rsidRPr="000B378D">
              <w:rPr>
                <w:rFonts w:eastAsia="Verdana"/>
                <w:color w:val="000000"/>
                <w:sz w:val="22"/>
                <w:szCs w:val="22"/>
              </w:rPr>
              <w:t>, RFDA 2004, p. 923, chron. J. C.</w:t>
            </w:r>
            <w:r w:rsidRPr="000B378D">
              <w:rPr>
                <w:rFonts w:eastAsia="Verdana"/>
                <w:noProof/>
                <w:color w:val="000000"/>
                <w:sz w:val="22"/>
                <w:szCs w:val="22"/>
              </w:rPr>
              <w:drawing>
                <wp:inline distT="0" distB="0" distL="0" distR="0" wp14:anchorId="10C913B5" wp14:editId="0D05CFAA">
                  <wp:extent cx="127000" cy="1270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ainsi que d'autres appartenant au domaine privé sont soumis à un même régime juridique empruntant certains de ses traits à la domanialité publique. C'est le cas de certains biens de France Télécom. Ce sera demain le cas de biens d'Aéroports de Paris si le projet de loi relatif aux aéroports est adopté. On se retrouve ainsi dans une situation où des biens privés et des biens du domaine privé d'une personne publique (ceux de l'exploitant public La Poste) sont soumis à un régime juridique inspiré de celui de la domanialité publique... Le législateur a-t-il de la sorte simplifié le droit</w:t>
            </w:r>
            <w:r w:rsidR="0030175B" w:rsidRPr="000B378D">
              <w:rPr>
                <w:rFonts w:eastAsia="Verdana"/>
                <w:color w:val="000000"/>
                <w:sz w:val="22"/>
                <w:szCs w:val="22"/>
              </w:rPr>
              <w:t> </w:t>
            </w:r>
            <w:r w:rsidRPr="000B378D">
              <w:rPr>
                <w:rFonts w:eastAsia="Verdana"/>
                <w:color w:val="000000"/>
                <w:sz w:val="22"/>
                <w:szCs w:val="22"/>
              </w:rPr>
              <w:t>? A-t-il contribué à améliorer son intelligibilité pour l'écrire à la manière du Conseil constitutionnel ? Evidemment pas. On en arrive aujourd'hui à renoncer aux critères généraux façonnés par le juge et, sous couvert d'adapter le droit aux réalités économiques, à multiplier les législations particulières sans perspective d'ensemble. On peut certes y voir un bel exemple d'adaptation du droit à la complexité des besoins sociaux. On peut surtout, au moins selon nous, regretter qu'au lieu de changer un cadre général dont certains traits sont manifestement obsolètes et de lui substituer une nouvelle construction d'ensemble, on se contente de multiplier les réformes parcellaires. Espérons au moins que le code des propriétés publiques sera plus ambitieux...</w:t>
            </w:r>
            <w:r w:rsidRPr="000B378D">
              <w:rPr>
                <w:rFonts w:eastAsia="Verdana"/>
                <w:color w:val="000000"/>
                <w:sz w:val="22"/>
                <w:szCs w:val="22"/>
              </w:rPr>
              <w:br/>
            </w:r>
            <w:r w:rsidRPr="000B378D">
              <w:rPr>
                <w:rFonts w:eastAsia="Verdana"/>
                <w:color w:val="000000"/>
                <w:sz w:val="22"/>
                <w:szCs w:val="22"/>
              </w:rPr>
              <w:lastRenderedPageBreak/>
              <w:br/>
            </w:r>
            <w:r w:rsidRPr="000B378D">
              <w:rPr>
                <w:rFonts w:eastAsia="Verdana"/>
                <w:b/>
                <w:color w:val="000000"/>
                <w:sz w:val="22"/>
                <w:szCs w:val="22"/>
              </w:rPr>
              <w:t>Venons-en en quelques mots au cas des contrats administratifs, qui n'est guère plus réjouissant. Si l'on s'en tient ici à ce que l'on nomme désormais la commande publique, sans doute plus à tort qu'à raison mais tel devrait être l'intitulé du code attendu d'ici l'été 2006, on ne peut qu'être consterné. Outre la remise en chantier quasi permanente du code des marchés publics, le développement de nouvelles formules législatives de « contrats globaux » nuit aujourd'hui gravement à l'intelligibilité de la matière malgré les efforts de la doctrine pour essayer de donner de l'unité à une construction qui en manque largement</w:t>
            </w:r>
            <w:r w:rsidRPr="000B378D">
              <w:rPr>
                <w:rFonts w:eastAsia="Verdana"/>
                <w:color w:val="000000"/>
                <w:sz w:val="22"/>
                <w:szCs w:val="22"/>
              </w:rPr>
              <w:t xml:space="preserve"> (v. spécialement P. Delvolvé, Les contrats globaux, RFDA 2004, p. 1079</w:t>
            </w:r>
            <w:r w:rsidRPr="000B378D">
              <w:rPr>
                <w:rFonts w:eastAsia="Verdana"/>
                <w:noProof/>
                <w:color w:val="000000"/>
                <w:sz w:val="22"/>
                <w:szCs w:val="22"/>
              </w:rPr>
              <w:drawing>
                <wp:inline distT="0" distB="0" distL="0" distR="0" wp14:anchorId="32FC561F" wp14:editId="1580A0EE">
                  <wp:extent cx="127000" cy="12700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Ces contrats s'étaient développés, en particulier pour les collectivités locales, dans les interstices de la législation. C'est désormais la loi qui prend le relais de l'inventivité des parties validée par la jurisprudence. Qui peut aujourd'hui prétendre expliquer de manière claire, intelligible et rapide à un public étudiant de bon niveau la cohérence d'ensemble du droit contemporain ? Comment s'y retrouver entre toutes ces formules ? Comme le soulignent François Llorens et Pierre Soler-Couteaux, </w:t>
            </w:r>
            <w:r w:rsidRPr="000B378D">
              <w:rPr>
                <w:rFonts w:eastAsia="Verdana"/>
                <w:b/>
                <w:color w:val="000000"/>
                <w:sz w:val="22"/>
                <w:szCs w:val="22"/>
              </w:rPr>
              <w:t>le droit des contrats publics est « en miettes »</w:t>
            </w:r>
            <w:r w:rsidRPr="000B378D">
              <w:rPr>
                <w:rFonts w:eastAsia="Verdana"/>
                <w:color w:val="000000"/>
                <w:sz w:val="22"/>
                <w:szCs w:val="22"/>
              </w:rPr>
              <w:t xml:space="preserve"> (Contrats MP janvier 2005, Repère n° 1).</w:t>
            </w:r>
          </w:p>
          <w:p w14:paraId="14B66C51"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t xml:space="preserve">Il </w:t>
            </w:r>
            <w:r w:rsidRPr="000B378D">
              <w:rPr>
                <w:rFonts w:eastAsia="Verdana"/>
                <w:b/>
                <w:color w:val="000000"/>
                <w:sz w:val="22"/>
                <w:szCs w:val="22"/>
              </w:rPr>
              <w:t>suffit ainsi de lire quelques-uns des très nombreux commentaires consacrés à l'ordonnance du 17 juin 2004</w:t>
            </w:r>
            <w:r w:rsidRPr="000B378D">
              <w:rPr>
                <w:rFonts w:eastAsia="Verdana"/>
                <w:color w:val="000000"/>
                <w:sz w:val="22"/>
                <w:szCs w:val="22"/>
              </w:rPr>
              <w:t xml:space="preserve"> (v. en dernier lieu F. Llorens, Les contrats de partenariat, RJEP 2004, p. 511) </w:t>
            </w:r>
            <w:r w:rsidRPr="000B378D">
              <w:rPr>
                <w:rFonts w:eastAsia="Verdana"/>
                <w:b/>
                <w:color w:val="000000"/>
                <w:sz w:val="22"/>
                <w:szCs w:val="22"/>
              </w:rPr>
              <w:t>pour constater que cette ordonnance, adoptée sous couvert de simplifier le droit, l'obscurcit notablement.</w:t>
            </w:r>
            <w:r w:rsidRPr="000B378D">
              <w:rPr>
                <w:rFonts w:eastAsia="Verdana"/>
                <w:color w:val="000000"/>
                <w:sz w:val="22"/>
                <w:szCs w:val="22"/>
              </w:rPr>
              <w:t xml:space="preserve"> Entre ceux qui voient dans cette formule un montage de droit commun pouvant aussi bien se substituer à un marché public qu'à une convention de délégation de service public et ceux qui à l'inverse y voient une formule dérogatoire, un marché public global destiné à n'être utilisé que de manière très marginale, </w:t>
            </w:r>
            <w:r w:rsidRPr="000B378D">
              <w:rPr>
                <w:rFonts w:eastAsia="Verdana"/>
                <w:b/>
                <w:color w:val="000000"/>
                <w:sz w:val="22"/>
                <w:szCs w:val="22"/>
              </w:rPr>
              <w:t>il y a un gouffre d'incompréhension.</w:t>
            </w:r>
            <w:r w:rsidRPr="000B378D">
              <w:rPr>
                <w:rFonts w:eastAsia="Verdana"/>
                <w:color w:val="000000"/>
                <w:sz w:val="22"/>
                <w:szCs w:val="22"/>
              </w:rPr>
              <w:t xml:space="preserve"> </w:t>
            </w:r>
            <w:r w:rsidRPr="000B378D">
              <w:rPr>
                <w:rFonts w:eastAsia="Verdana"/>
                <w:b/>
                <w:color w:val="000000"/>
                <w:sz w:val="22"/>
                <w:szCs w:val="22"/>
              </w:rPr>
              <w:t>L'unanimité ou presque se fait, en revanche, pour reconnaître que le législateur a sans doute procédé à l'envers.</w:t>
            </w:r>
            <w:r w:rsidRPr="000B378D">
              <w:rPr>
                <w:rFonts w:eastAsia="Verdana"/>
                <w:color w:val="000000"/>
                <w:sz w:val="22"/>
                <w:szCs w:val="22"/>
              </w:rPr>
              <w:t xml:space="preserve"> </w:t>
            </w:r>
            <w:r w:rsidRPr="000B378D">
              <w:rPr>
                <w:rFonts w:eastAsia="Verdana"/>
                <w:b/>
                <w:color w:val="000000"/>
                <w:sz w:val="22"/>
                <w:szCs w:val="22"/>
              </w:rPr>
              <w:t>Au lieu d'essayer de remettre à plat le droit des contrats administratifs, il a multiplié les régimes spéciaux, juxtaposé les formules, alourdi, complexifié le droit</w:t>
            </w:r>
            <w:r w:rsidRPr="000B378D">
              <w:rPr>
                <w:rFonts w:eastAsia="Verdana"/>
                <w:color w:val="000000"/>
                <w:sz w:val="22"/>
                <w:szCs w:val="22"/>
              </w:rPr>
              <w:t xml:space="preserve">. </w:t>
            </w:r>
            <w:r w:rsidRPr="000B378D">
              <w:rPr>
                <w:rFonts w:eastAsia="Verdana"/>
                <w:b/>
                <w:color w:val="000000"/>
                <w:sz w:val="22"/>
                <w:szCs w:val="22"/>
              </w:rPr>
              <w:t>Et quand, sous couvert de simplifier le droit, on ajoute une nouvelle construction, sans en alléger aucune autre, l'observateur ne peut s'empêcher de s'étonner...</w:t>
            </w:r>
            <w:r w:rsidRPr="000B378D">
              <w:rPr>
                <w:rFonts w:eastAsia="Verdana"/>
                <w:color w:val="000000"/>
                <w:sz w:val="22"/>
                <w:szCs w:val="22"/>
              </w:rPr>
              <w:t xml:space="preserve"> Est-ce ainsi le juge qui a rendu le droit des contrats plus complexe depuis quinze ans ? Certainement pas. C'est bien davantage le législateur, en créant une catégorie contractuelle en 1993 sans se soucier de la définir avant 2001 (la convention de délégation de service public), en multipliant les législations sectorielles, en entassant les normes plutôt qu'en les triant.</w:t>
            </w:r>
          </w:p>
          <w:p w14:paraId="35662C01"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t>Le juriste, qu'il soit universitaire ou praticien, ne doit d'ailleurs pas nécessairement se plaindre de cette complexification. Du point de vue professionnel le plus étroitement matérialiste, ce mélange de frénésie et de précipitation législatives donne aux experts un rôle considérable (même s'ils sont trop souvent négligés en amont de la réforme). Plus le droit est secret plus le conseil, la consultation sont nécessaires et plus le contentieux et donc les arrêts intéressants à commenter sont abondants. Mais cela n'en rend pas moins obsolète la seconde partie de la démonstration de Georges Vedel, qui reposait sur la croyance dans les qualités, dans les vertus, de la législation et du code (et l'on retrouve d'ailleurs cette mystique du code dans l'idée toujours actuelle du « rayonnement de la codification » notamment décrit par M. Franc, AJDA 2004,</w:t>
            </w:r>
            <w:r w:rsidR="00EF5DAE" w:rsidRPr="000B378D">
              <w:rPr>
                <w:rFonts w:eastAsia="Verdana"/>
                <w:color w:val="000000"/>
                <w:sz w:val="22"/>
                <w:szCs w:val="22"/>
              </w:rPr>
              <w:t> </w:t>
            </w:r>
            <w:r w:rsidRPr="000B378D">
              <w:rPr>
                <w:rFonts w:eastAsia="Verdana"/>
                <w:color w:val="000000"/>
                <w:sz w:val="22"/>
                <w:szCs w:val="22"/>
              </w:rPr>
              <w:t>p. 1841</w:t>
            </w:r>
            <w:r w:rsidRPr="000B378D">
              <w:rPr>
                <w:rFonts w:eastAsia="Verdana"/>
                <w:noProof/>
                <w:color w:val="000000"/>
                <w:sz w:val="22"/>
                <w:szCs w:val="22"/>
              </w:rPr>
              <w:drawing>
                <wp:inline distT="0" distB="0" distL="0" distR="0" wp14:anchorId="02AA90BF" wp14:editId="647FB166">
                  <wp:extent cx="127000" cy="12700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Nourri à la lecture du code Napoléon, le juriste classique ne pouvait qu'être en admiration devant la forme du texte (sinon toujours sur son fond). Tel n'est plus le cas, et ce pour des motifs connus de tous et parfaitement énoncés dans les considérations générales du rapport public du Conseil d'Etat pour 1991 (De la sécurité juridique, EDCE, n° 43, p. 15) : « prolifération des textes » (même si une certaine prudence s'impose dans l'évaluation du phénomène comme a pu le montrer E. Grass, L'inflation législative a-t-elle un sens ?, RD publ. 2003, p. 139) ; « instabilité des règles » ; « dégradation de la norme » consistant « dans le développement des textes d'affichage, un droit mou, un droit flou, un droit à l'état « gazeux » (la proposition de loi constitutionnelle tendant à renforcer l'autorité de la loi déposée au mois d'octobre par Jean-Louis Debré sonne comme un aveu : il y est prévu d'insérer dans l'article 34 de la Constitution l'affirmation suivant laquelle la loi « est par nature de portée normative » !).</w:t>
            </w:r>
          </w:p>
          <w:p w14:paraId="2BB2EE44"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br/>
            </w:r>
            <w:r w:rsidRPr="000B378D">
              <w:rPr>
                <w:rFonts w:eastAsia="Verdana"/>
                <w:b/>
                <w:color w:val="000000"/>
                <w:sz w:val="22"/>
                <w:szCs w:val="22"/>
              </w:rPr>
              <w:t>La loi est aujourd'hui essentiellement un acte d'affichage politique, une opération de communication</w:t>
            </w:r>
            <w:r w:rsidRPr="000B378D">
              <w:rPr>
                <w:rFonts w:eastAsia="Verdana"/>
                <w:color w:val="000000"/>
                <w:sz w:val="22"/>
                <w:szCs w:val="22"/>
              </w:rPr>
              <w:t xml:space="preserve">. Ainsi, l'on aurait parfaitement pu arriver à un résultat proche (et même probablement plus important) de celui obtenu par l'ordonnance du 17 juin 2004 en se dispensant d'opérer une réforme aussi lourde. Comme l'ont par exemple souligné Pierre Delvolvé (Le partenariat public-privé et les principes de la commande publique, </w:t>
            </w:r>
            <w:r w:rsidRPr="000B378D">
              <w:rPr>
                <w:rFonts w:eastAsia="Verdana"/>
                <w:color w:val="000000"/>
                <w:sz w:val="22"/>
                <w:szCs w:val="22"/>
              </w:rPr>
              <w:lastRenderedPageBreak/>
              <w:t>RD imm. 2003, p. 481</w:t>
            </w:r>
            <w:r w:rsidRPr="000B378D">
              <w:rPr>
                <w:rFonts w:eastAsia="Verdana"/>
                <w:noProof/>
                <w:color w:val="000000"/>
                <w:sz w:val="22"/>
                <w:szCs w:val="22"/>
              </w:rPr>
              <w:drawing>
                <wp:inline distT="0" distB="0" distL="0" distR="0" wp14:anchorId="11C570E0" wp14:editId="5E87EB2F">
                  <wp:extent cx="127000" cy="12700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et Yves Gaudemet (Les contrats de partenariat public-privé : étude historique et critique, BJDCP 2004, p. 331), </w:t>
            </w:r>
            <w:r w:rsidRPr="000B378D">
              <w:rPr>
                <w:rFonts w:eastAsia="Verdana"/>
                <w:b/>
                <w:color w:val="000000"/>
                <w:sz w:val="22"/>
                <w:szCs w:val="22"/>
              </w:rPr>
              <w:t>il aurait suffi de quelques dispositions législatives</w:t>
            </w:r>
            <w:r w:rsidRPr="000B378D">
              <w:rPr>
                <w:rFonts w:eastAsia="Verdana"/>
                <w:color w:val="000000"/>
                <w:sz w:val="22"/>
                <w:szCs w:val="22"/>
              </w:rPr>
              <w:t xml:space="preserve"> (notamment pour amender la loi maîtrise d'ouvrage publique [MOP] et étendre et aménager les lois du 5 janvier 1988 et du 25 juillet 1994) et réglementaires (afin de permettre des exceptions aux principes posés par les articles 10 et 94 du code des marchés publics version 2001) pour y parvenir. </w:t>
            </w:r>
            <w:r w:rsidRPr="000B378D">
              <w:rPr>
                <w:rFonts w:eastAsia="Verdana"/>
                <w:b/>
                <w:color w:val="000000"/>
                <w:sz w:val="22"/>
                <w:szCs w:val="22"/>
              </w:rPr>
              <w:t>Mais pour des raisons « purement » politiques, les pouvoirs publics ont opté pour une réforme prétendument plus ambitieuse.</w:t>
            </w:r>
          </w:p>
          <w:p w14:paraId="0A6B809F" w14:textId="77777777" w:rsidR="001F4010" w:rsidRPr="000B378D" w:rsidRDefault="001F4010" w:rsidP="007F6FE9">
            <w:pPr>
              <w:jc w:val="both"/>
              <w:rPr>
                <w:rFonts w:eastAsia="Verdana"/>
                <w:color w:val="000000"/>
                <w:sz w:val="22"/>
                <w:szCs w:val="22"/>
              </w:rPr>
            </w:pPr>
          </w:p>
          <w:p w14:paraId="5932060A" w14:textId="77777777" w:rsidR="001F4010" w:rsidRPr="000B378D" w:rsidRDefault="001F4010" w:rsidP="007F6FE9">
            <w:pPr>
              <w:pStyle w:val="docContentchronTITRE"/>
              <w:jc w:val="both"/>
              <w:rPr>
                <w:rFonts w:eastAsia="Verdana"/>
                <w:sz w:val="22"/>
                <w:szCs w:val="22"/>
              </w:rPr>
            </w:pPr>
            <w:r w:rsidRPr="000B378D">
              <w:rPr>
                <w:rFonts w:eastAsia="Verdana"/>
                <w:sz w:val="22"/>
                <w:szCs w:val="22"/>
              </w:rPr>
              <w:t>***</w:t>
            </w:r>
          </w:p>
          <w:p w14:paraId="6F1E82E6" w14:textId="77777777" w:rsidR="00043EA6" w:rsidRPr="000B378D" w:rsidRDefault="00043EA6" w:rsidP="007F6FE9">
            <w:pPr>
              <w:pStyle w:val="docContentchronTITRE"/>
              <w:jc w:val="both"/>
              <w:rPr>
                <w:rFonts w:eastAsia="Verdana"/>
                <w:sz w:val="22"/>
                <w:szCs w:val="22"/>
              </w:rPr>
            </w:pPr>
          </w:p>
          <w:p w14:paraId="0090A686"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t xml:space="preserve">Il est bien connu que Stendhal lisait chaque matin quelques pages du code civil lorsqu'il composait </w:t>
            </w:r>
            <w:r w:rsidRPr="000B378D">
              <w:rPr>
                <w:rFonts w:eastAsia="Verdana"/>
                <w:i/>
                <w:iCs/>
                <w:color w:val="000000"/>
                <w:sz w:val="22"/>
                <w:szCs w:val="22"/>
              </w:rPr>
              <w:t>La Chartreuse de Parme</w:t>
            </w:r>
            <w:r w:rsidRPr="000B378D">
              <w:rPr>
                <w:rFonts w:eastAsia="Verdana"/>
                <w:color w:val="000000"/>
                <w:sz w:val="22"/>
                <w:szCs w:val="22"/>
              </w:rPr>
              <w:t>. Il n'est pas sûr qu'il serait arrivé au même résultat en lisant quelque code contemporain. A défaut de lire Stendhal, au moins peut-on rêver que le législateur consulte Portalis et qu'il se rappelle ce qu'il exprimait en l'an XI dans l'exposé des motifs de ce qui allait devenir le titre préliminaire du code civil : « on peut prévoir une loi à faire sans croire devoir la précipiter. Les lois doivent être préparées avec une sage lenteur » (</w:t>
            </w:r>
            <w:r w:rsidRPr="000B378D">
              <w:rPr>
                <w:rFonts w:eastAsia="Verdana"/>
                <w:i/>
                <w:iCs/>
                <w:color w:val="000000"/>
                <w:sz w:val="22"/>
                <w:szCs w:val="22"/>
              </w:rPr>
              <w:t>Ecrits et discours juridiques et politiques</w:t>
            </w:r>
            <w:r w:rsidRPr="000B378D">
              <w:rPr>
                <w:rFonts w:eastAsia="Verdana"/>
                <w:color w:val="000000"/>
                <w:sz w:val="22"/>
                <w:szCs w:val="22"/>
              </w:rPr>
              <w:t>, préc., p. 75).</w:t>
            </w:r>
          </w:p>
          <w:p w14:paraId="4851049F" w14:textId="77777777" w:rsidR="001F4010" w:rsidRPr="000B378D" w:rsidRDefault="001F4010" w:rsidP="007F6FE9">
            <w:pPr>
              <w:jc w:val="both"/>
              <w:rPr>
                <w:rFonts w:eastAsia="Verdana"/>
                <w:color w:val="000000"/>
                <w:sz w:val="22"/>
                <w:szCs w:val="22"/>
              </w:rPr>
            </w:pPr>
          </w:p>
          <w:p w14:paraId="672B2C77" w14:textId="77777777" w:rsidR="0001585F" w:rsidRPr="000B378D" w:rsidRDefault="0001585F" w:rsidP="007F6FE9">
            <w:pPr>
              <w:jc w:val="both"/>
              <w:rPr>
                <w:rFonts w:eastAsia="Verdana"/>
                <w:color w:val="000000"/>
                <w:sz w:val="22"/>
                <w:szCs w:val="22"/>
              </w:rPr>
            </w:pPr>
          </w:p>
          <w:p w14:paraId="7E55BB53" w14:textId="77777777" w:rsidR="001F4010" w:rsidRPr="000B378D" w:rsidRDefault="001F4010" w:rsidP="007F6FE9">
            <w:pPr>
              <w:pStyle w:val="docContentchronTIT4"/>
              <w:jc w:val="both"/>
              <w:rPr>
                <w:rFonts w:eastAsia="Verdana"/>
                <w:color w:val="000000"/>
                <w:sz w:val="22"/>
                <w:szCs w:val="22"/>
              </w:rPr>
            </w:pPr>
            <w:r w:rsidRPr="000B378D">
              <w:rPr>
                <w:rFonts w:eastAsia="Verdana"/>
                <w:color w:val="000000"/>
                <w:sz w:val="22"/>
                <w:szCs w:val="22"/>
              </w:rPr>
              <w:t>Pour en savoir plus</w:t>
            </w:r>
          </w:p>
          <w:p w14:paraId="3A006726" w14:textId="77777777" w:rsidR="00F94E42" w:rsidRPr="000B378D" w:rsidRDefault="001F4010" w:rsidP="007F6FE9">
            <w:pPr>
              <w:jc w:val="both"/>
              <w:rPr>
                <w:rFonts w:eastAsia="Verdana"/>
                <w:color w:val="000000"/>
                <w:sz w:val="22"/>
                <w:szCs w:val="22"/>
              </w:rPr>
            </w:pPr>
            <w:r w:rsidRPr="000B378D">
              <w:rPr>
                <w:rFonts w:eastAsia="Verdana"/>
                <w:color w:val="000000"/>
                <w:sz w:val="22"/>
                <w:szCs w:val="22"/>
              </w:rPr>
              <w:br/>
              <w:t>• Les perspectives de la codification (dossier), AJDA 2004, p. 1849 et s.,</w:t>
            </w:r>
            <w:r w:rsidRPr="000B378D">
              <w:rPr>
                <w:rFonts w:eastAsia="Verdana"/>
                <w:noProof/>
                <w:color w:val="000000"/>
                <w:sz w:val="22"/>
                <w:szCs w:val="22"/>
              </w:rPr>
              <w:drawing>
                <wp:inline distT="0" distB="0" distL="0" distR="0" wp14:anchorId="1F56518D" wp14:editId="4D836224">
                  <wp:extent cx="127000" cy="12700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p>
          <w:p w14:paraId="3C81EA5B"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t>• G. J. Guglielmi, L'idée de codification dans la construction du droit administratif français au XIX</w:t>
            </w:r>
            <w:r w:rsidRPr="000B378D">
              <w:rPr>
                <w:rFonts w:eastAsia="Verdana"/>
                <w:color w:val="000000"/>
                <w:sz w:val="22"/>
                <w:szCs w:val="22"/>
                <w:vertAlign w:val="superscript"/>
              </w:rPr>
              <w:t>e</w:t>
            </w:r>
            <w:r w:rsidRPr="000B378D">
              <w:rPr>
                <w:rFonts w:eastAsia="Verdana"/>
                <w:color w:val="000000"/>
                <w:sz w:val="22"/>
                <w:szCs w:val="22"/>
              </w:rPr>
              <w:t xml:space="preserve"> siècle, </w:t>
            </w:r>
            <w:r w:rsidRPr="000B378D">
              <w:rPr>
                <w:rFonts w:eastAsia="Verdana"/>
                <w:i/>
                <w:iCs/>
                <w:color w:val="000000"/>
                <w:sz w:val="22"/>
                <w:szCs w:val="22"/>
              </w:rPr>
              <w:t>Annuaire d'histoire administrative européenne,</w:t>
            </w:r>
            <w:r w:rsidRPr="000B378D">
              <w:rPr>
                <w:rFonts w:eastAsia="Verdana"/>
                <w:color w:val="000000"/>
                <w:sz w:val="22"/>
                <w:szCs w:val="22"/>
              </w:rPr>
              <w:t xml:space="preserve"> vol. 8, 1996, p. 109.</w:t>
            </w:r>
          </w:p>
          <w:p w14:paraId="5F087ED2"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t>• D. Labetoulle, Le juge administratif et la jurisprudence, Rev. adm., numéro spécial 5-1999, p. 59.</w:t>
            </w:r>
          </w:p>
          <w:p w14:paraId="63F62F5B"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t xml:space="preserve">• F. Llorens, Le droit des contrats administratifs est-il un droit essentiellement jurisprudentiel ?, in </w:t>
            </w:r>
            <w:r w:rsidRPr="000B378D">
              <w:rPr>
                <w:rFonts w:eastAsia="Verdana"/>
                <w:i/>
                <w:iCs/>
                <w:color w:val="000000"/>
                <w:sz w:val="22"/>
                <w:szCs w:val="22"/>
              </w:rPr>
              <w:t>Mélanges Max Cluseau</w:t>
            </w:r>
            <w:r w:rsidRPr="000B378D">
              <w:rPr>
                <w:rFonts w:eastAsia="Verdana"/>
                <w:color w:val="000000"/>
                <w:sz w:val="22"/>
                <w:szCs w:val="22"/>
              </w:rPr>
              <w:t>, Presses de l'IEP de Toulouse, 1985, p. 377.</w:t>
            </w:r>
          </w:p>
          <w:p w14:paraId="76839391"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t>• N. Molfessis, Simplification du droit et déclin de la loi, RTD civ. 2004, p. 155</w:t>
            </w:r>
            <w:r w:rsidRPr="000B378D">
              <w:rPr>
                <w:rFonts w:eastAsia="Verdana"/>
                <w:noProof/>
                <w:color w:val="000000"/>
                <w:sz w:val="22"/>
                <w:szCs w:val="22"/>
              </w:rPr>
              <w:drawing>
                <wp:inline distT="0" distB="0" distL="0" distR="0" wp14:anchorId="4458E9B3" wp14:editId="220A6413">
                  <wp:extent cx="127000" cy="12700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 xml:space="preserve"> et Une nouvelle forme de codification : la codification dynamique, Idem, p. 159.</w:t>
            </w:r>
          </w:p>
          <w:p w14:paraId="30C115E4" w14:textId="77777777" w:rsidR="008C7EC3" w:rsidRPr="000B378D" w:rsidRDefault="001F4010" w:rsidP="007F6FE9">
            <w:pPr>
              <w:jc w:val="both"/>
              <w:rPr>
                <w:rFonts w:eastAsia="Verdana"/>
                <w:color w:val="000000"/>
                <w:sz w:val="22"/>
                <w:szCs w:val="22"/>
              </w:rPr>
            </w:pPr>
            <w:r w:rsidRPr="000B378D">
              <w:rPr>
                <w:rFonts w:eastAsia="Verdana"/>
                <w:color w:val="000000"/>
                <w:sz w:val="22"/>
                <w:szCs w:val="22"/>
              </w:rPr>
              <w:t>• B. Pacteau, La jurisprudence, une chance du droit administratif ?, Rev. adm., numéro spécial 6-1999, p. 70.</w:t>
            </w:r>
          </w:p>
          <w:p w14:paraId="7A719B2D" w14:textId="77777777" w:rsidR="004E6086" w:rsidRPr="000B378D" w:rsidRDefault="001F4010" w:rsidP="007F6FE9">
            <w:pPr>
              <w:jc w:val="both"/>
              <w:rPr>
                <w:rFonts w:eastAsia="Verdana"/>
                <w:color w:val="000000"/>
                <w:sz w:val="22"/>
                <w:szCs w:val="22"/>
              </w:rPr>
            </w:pPr>
            <w:r w:rsidRPr="000B378D">
              <w:rPr>
                <w:rFonts w:eastAsia="Verdana"/>
                <w:color w:val="000000"/>
                <w:sz w:val="22"/>
                <w:szCs w:val="22"/>
              </w:rPr>
              <w:t>• Y. Robineau, Droit administratif et codification, AJDA 1995, p. 110, numéro spécial</w:t>
            </w:r>
            <w:r w:rsidRPr="000B378D">
              <w:rPr>
                <w:rFonts w:eastAsia="Verdana"/>
                <w:noProof/>
                <w:color w:val="000000"/>
                <w:sz w:val="22"/>
                <w:szCs w:val="22"/>
              </w:rPr>
              <w:drawing>
                <wp:inline distT="0" distB="0" distL="0" distR="0" wp14:anchorId="03AE03E6" wp14:editId="45D83D9C">
                  <wp:extent cx="127000" cy="12700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8">
                            <a:extLst>
                              <a:ext uri="{28A0092B-C50C-407E-A947-70E740481C1C}">
                                <a14:useLocalDpi xmlns:a14="http://schemas.microsoft.com/office/drawing/2010/main" val="0"/>
                              </a:ext>
                            </a:extLst>
                          </a:blip>
                          <a:srcRect/>
                          <a:stretch>
                            <a:fillRect/>
                          </a:stretch>
                        </pic:blipFill>
                        <pic:spPr>
                          <a:xfrm>
                            <a:off x="0" y="0"/>
                            <a:ext cx="127000" cy="127000"/>
                          </a:xfrm>
                          <a:prstGeom prst="rect">
                            <a:avLst/>
                          </a:prstGeom>
                          <a:noFill/>
                          <a:ln>
                            <a:noFill/>
                          </a:ln>
                        </pic:spPr>
                      </pic:pic>
                    </a:graphicData>
                  </a:graphic>
                </wp:inline>
              </w:drawing>
            </w:r>
            <w:r w:rsidRPr="000B378D">
              <w:rPr>
                <w:rFonts w:eastAsia="Verdana"/>
                <w:color w:val="000000"/>
                <w:sz w:val="22"/>
                <w:szCs w:val="22"/>
              </w:rPr>
              <w:t>.</w:t>
            </w:r>
          </w:p>
          <w:p w14:paraId="735AF4E5" w14:textId="77777777" w:rsidR="001F4010" w:rsidRPr="000B378D" w:rsidRDefault="001F4010" w:rsidP="007F6FE9">
            <w:pPr>
              <w:jc w:val="both"/>
              <w:rPr>
                <w:rFonts w:eastAsia="Verdana"/>
                <w:color w:val="000000"/>
                <w:sz w:val="22"/>
                <w:szCs w:val="22"/>
              </w:rPr>
            </w:pPr>
            <w:r w:rsidRPr="000B378D">
              <w:rPr>
                <w:rFonts w:eastAsia="Verdana"/>
                <w:color w:val="000000"/>
                <w:sz w:val="22"/>
                <w:szCs w:val="22"/>
              </w:rPr>
              <w:t>• G. Vedel, Le droit administratif peut-il être indéfiniment jurisprudentiel ?, EDCE, 1979-1980, n° 31, p. 31.</w:t>
            </w:r>
          </w:p>
        </w:tc>
      </w:tr>
      <w:tr w:rsidR="001F4010" w:rsidRPr="000B378D" w14:paraId="29F0CF92" w14:textId="77777777" w:rsidTr="001F4010">
        <w:trPr>
          <w:tblCellSpacing w:w="0" w:type="dxa"/>
        </w:trPr>
        <w:tc>
          <w:tcPr>
            <w:tcW w:w="5000" w:type="pct"/>
            <w:shd w:val="clear" w:color="auto" w:fill="F3F3F3"/>
            <w:tcMar>
              <w:top w:w="60" w:type="dxa"/>
              <w:left w:w="150" w:type="dxa"/>
              <w:bottom w:w="60" w:type="dxa"/>
              <w:right w:w="150" w:type="dxa"/>
            </w:tcMar>
            <w:vAlign w:val="center"/>
          </w:tcPr>
          <w:p w14:paraId="460833A1" w14:textId="77777777" w:rsidR="00FC7A0D" w:rsidRPr="000B378D" w:rsidRDefault="001F4010" w:rsidP="007F6FE9">
            <w:pPr>
              <w:shd w:val="clear" w:color="auto" w:fill="F3F3F3"/>
              <w:jc w:val="both"/>
              <w:rPr>
                <w:rFonts w:eastAsia="Verdana"/>
                <w:b/>
                <w:bCs/>
                <w:color w:val="000000"/>
                <w:sz w:val="22"/>
                <w:szCs w:val="22"/>
              </w:rPr>
            </w:pPr>
            <w:r w:rsidRPr="000B378D">
              <w:rPr>
                <w:rFonts w:eastAsia="Verdana"/>
                <w:b/>
                <w:bCs/>
                <w:color w:val="000000"/>
                <w:sz w:val="22"/>
                <w:szCs w:val="22"/>
              </w:rPr>
              <w:lastRenderedPageBreak/>
              <w:t>Mots clés :</w:t>
            </w:r>
          </w:p>
          <w:p w14:paraId="43B17484" w14:textId="77777777" w:rsidR="00FC7A0D" w:rsidRPr="000B378D" w:rsidRDefault="001F4010" w:rsidP="007F6FE9">
            <w:pPr>
              <w:shd w:val="clear" w:color="auto" w:fill="F3F3F3"/>
              <w:jc w:val="both"/>
              <w:rPr>
                <w:rFonts w:eastAsia="Verdana"/>
                <w:color w:val="000000"/>
                <w:sz w:val="22"/>
                <w:szCs w:val="22"/>
              </w:rPr>
            </w:pPr>
            <w:r w:rsidRPr="000B378D">
              <w:rPr>
                <w:rStyle w:val="docContenttitreMotsCles"/>
                <w:rFonts w:eastAsia="Verdana"/>
                <w:sz w:val="22"/>
                <w:szCs w:val="22"/>
              </w:rPr>
              <w:t>CONTRAT</w:t>
            </w:r>
            <w:r w:rsidRPr="000B378D">
              <w:rPr>
                <w:rFonts w:eastAsia="Verdana"/>
                <w:color w:val="000000"/>
                <w:sz w:val="22"/>
                <w:szCs w:val="22"/>
              </w:rPr>
              <w:t xml:space="preserve"> * Contrat administratif * Notion de contrat administratif * Contrat domanial</w:t>
            </w:r>
          </w:p>
          <w:p w14:paraId="09CFBB4E" w14:textId="77777777" w:rsidR="00FC7A0D" w:rsidRPr="000B378D" w:rsidRDefault="001F4010" w:rsidP="007F6FE9">
            <w:pPr>
              <w:shd w:val="clear" w:color="auto" w:fill="F3F3F3"/>
              <w:jc w:val="both"/>
              <w:rPr>
                <w:rFonts w:eastAsia="Verdana"/>
                <w:color w:val="000000"/>
                <w:sz w:val="22"/>
                <w:szCs w:val="22"/>
              </w:rPr>
            </w:pPr>
            <w:r w:rsidRPr="000B378D">
              <w:rPr>
                <w:rStyle w:val="docContenttitreMotsCles"/>
                <w:rFonts w:eastAsia="Verdana"/>
                <w:sz w:val="22"/>
                <w:szCs w:val="22"/>
              </w:rPr>
              <w:t>ORGANISATION ADMINISTRATIVE</w:t>
            </w:r>
            <w:r w:rsidRPr="000B378D">
              <w:rPr>
                <w:rFonts w:eastAsia="Verdana"/>
                <w:color w:val="000000"/>
                <w:sz w:val="22"/>
                <w:szCs w:val="22"/>
              </w:rPr>
              <w:t xml:space="preserve"> * Réforme de l'Etat</w:t>
            </w:r>
          </w:p>
          <w:p w14:paraId="01516087" w14:textId="77777777" w:rsidR="001F4010" w:rsidRPr="000B378D" w:rsidRDefault="001F4010" w:rsidP="007F6FE9">
            <w:pPr>
              <w:shd w:val="clear" w:color="auto" w:fill="F3F3F3"/>
              <w:jc w:val="both"/>
              <w:rPr>
                <w:rFonts w:eastAsia="Verdana"/>
                <w:color w:val="000000"/>
                <w:sz w:val="22"/>
                <w:szCs w:val="22"/>
              </w:rPr>
            </w:pPr>
            <w:r w:rsidRPr="000B378D">
              <w:rPr>
                <w:rStyle w:val="docContenttitreMotsCles"/>
                <w:rFonts w:eastAsia="Verdana"/>
                <w:sz w:val="22"/>
                <w:szCs w:val="22"/>
              </w:rPr>
              <w:t>THEORIE DU DROIT</w:t>
            </w:r>
            <w:r w:rsidRPr="000B378D">
              <w:rPr>
                <w:rFonts w:eastAsia="Verdana"/>
                <w:color w:val="000000"/>
                <w:sz w:val="22"/>
                <w:szCs w:val="22"/>
              </w:rPr>
              <w:t xml:space="preserve"> * Sources du droit * Jurisprudence </w:t>
            </w:r>
          </w:p>
        </w:tc>
      </w:tr>
    </w:tbl>
    <w:p w14:paraId="1657D42F" w14:textId="77777777" w:rsidR="001F4010" w:rsidRPr="000B378D" w:rsidRDefault="001F4010">
      <w:pPr>
        <w:rPr>
          <w:sz w:val="22"/>
          <w:szCs w:val="22"/>
        </w:rPr>
      </w:pPr>
    </w:p>
    <w:p w14:paraId="4273BA45" w14:textId="77777777" w:rsidR="00313DB1" w:rsidRPr="000B378D" w:rsidRDefault="00313DB1">
      <w:pPr>
        <w:rPr>
          <w:sz w:val="22"/>
          <w:szCs w:val="22"/>
        </w:rPr>
      </w:pPr>
    </w:p>
    <w:p w14:paraId="6CBDCB2F" w14:textId="77777777" w:rsidR="00DB16F1" w:rsidRPr="000B378D" w:rsidRDefault="00DB16F1"/>
    <w:p w14:paraId="4828B1B3" w14:textId="77777777" w:rsidR="00DB16F1" w:rsidRPr="000B378D" w:rsidRDefault="00F01D89" w:rsidP="00DB16F1">
      <w:pPr>
        <w:pBdr>
          <w:top w:val="single" w:sz="4" w:space="1" w:color="auto"/>
          <w:left w:val="single" w:sz="4" w:space="4" w:color="auto"/>
          <w:bottom w:val="single" w:sz="4" w:space="1" w:color="auto"/>
          <w:right w:val="single" w:sz="4" w:space="4" w:color="auto"/>
        </w:pBdr>
        <w:jc w:val="center"/>
        <w:rPr>
          <w:b/>
          <w:bCs/>
          <w:iCs/>
        </w:rPr>
      </w:pPr>
      <w:r w:rsidRPr="000B378D">
        <w:rPr>
          <w:b/>
        </w:rPr>
        <w:t xml:space="preserve">Document </w:t>
      </w:r>
      <w:r w:rsidR="00E35740" w:rsidRPr="000B378D">
        <w:rPr>
          <w:b/>
        </w:rPr>
        <w:t>n°</w:t>
      </w:r>
      <w:r w:rsidR="00093165" w:rsidRPr="000B378D">
        <w:rPr>
          <w:b/>
        </w:rPr>
        <w:t xml:space="preserve"> </w:t>
      </w:r>
      <w:r w:rsidR="00DB16F1" w:rsidRPr="000B378D">
        <w:rPr>
          <w:b/>
        </w:rPr>
        <w:t>2</w:t>
      </w:r>
      <w:r w:rsidR="00067DA0" w:rsidRPr="000B378D">
        <w:rPr>
          <w:b/>
        </w:rPr>
        <w:t> :</w:t>
      </w:r>
      <w:r w:rsidR="00DB16F1" w:rsidRPr="000B378D">
        <w:rPr>
          <w:b/>
        </w:rPr>
        <w:t xml:space="preserve"> </w:t>
      </w:r>
      <w:r w:rsidR="00DB16F1" w:rsidRPr="000B378D">
        <w:rPr>
          <w:b/>
          <w:bCs/>
        </w:rPr>
        <w:t xml:space="preserve">CE Ass., 8 décembre 1978, </w:t>
      </w:r>
      <w:r w:rsidR="00DB16F1" w:rsidRPr="000B378D">
        <w:rPr>
          <w:b/>
          <w:bCs/>
          <w:i/>
          <w:iCs/>
        </w:rPr>
        <w:t xml:space="preserve">GISTI, CFDT, CGT, </w:t>
      </w:r>
      <w:r w:rsidR="00DB16F1" w:rsidRPr="000B378D">
        <w:rPr>
          <w:b/>
          <w:bCs/>
          <w:iCs/>
        </w:rPr>
        <w:t>req. n</w:t>
      </w:r>
      <w:r w:rsidR="00DB16F1" w:rsidRPr="000B378D">
        <w:rPr>
          <w:b/>
          <w:bCs/>
          <w:iCs/>
          <w:vertAlign w:val="superscript"/>
        </w:rPr>
        <w:t>os</w:t>
      </w:r>
      <w:r w:rsidR="00DB16F1" w:rsidRPr="000B378D">
        <w:rPr>
          <w:b/>
          <w:bCs/>
          <w:iCs/>
        </w:rPr>
        <w:t xml:space="preserve"> 10097, 10677 et</w:t>
      </w:r>
    </w:p>
    <w:p w14:paraId="5C3601F5" w14:textId="77777777" w:rsidR="00067DA0" w:rsidRPr="000B378D" w:rsidRDefault="00DB16F1" w:rsidP="00DB16F1">
      <w:pPr>
        <w:pBdr>
          <w:top w:val="single" w:sz="4" w:space="1" w:color="auto"/>
          <w:left w:val="single" w:sz="4" w:space="4" w:color="auto"/>
          <w:bottom w:val="single" w:sz="4" w:space="1" w:color="auto"/>
          <w:right w:val="single" w:sz="4" w:space="4" w:color="auto"/>
        </w:pBdr>
        <w:jc w:val="center"/>
        <w:rPr>
          <w:b/>
          <w:bCs/>
          <w:iCs/>
        </w:rPr>
      </w:pPr>
      <w:r w:rsidRPr="000B378D">
        <w:rPr>
          <w:b/>
          <w:bCs/>
          <w:iCs/>
        </w:rPr>
        <w:t xml:space="preserve">10679 </w:t>
      </w:r>
    </w:p>
    <w:p w14:paraId="1EF5FD5B" w14:textId="77777777" w:rsidR="00647F81" w:rsidRPr="000B378D" w:rsidRDefault="00647F81" w:rsidP="00647F81">
      <w:pPr>
        <w:jc w:val="both"/>
        <w:rPr>
          <w:rFonts w:ascii="Arial" w:eastAsia="Arial" w:hAnsi="Arial" w:cs="Arial"/>
          <w:color w:val="1B1B1B"/>
        </w:rPr>
      </w:pPr>
    </w:p>
    <w:p w14:paraId="5E054E5E" w14:textId="77777777" w:rsidR="00DB16F1" w:rsidRPr="000B378D" w:rsidRDefault="00DB16F1" w:rsidP="00647F81">
      <w:pPr>
        <w:jc w:val="both"/>
        <w:rPr>
          <w:rFonts w:ascii="Arial" w:eastAsia="Arial" w:hAnsi="Arial" w:cs="Arial"/>
          <w:color w:val="1B1B1B"/>
        </w:rPr>
      </w:pPr>
    </w:p>
    <w:p w14:paraId="0C9C62D7" w14:textId="77777777" w:rsidR="00DB16F1" w:rsidRPr="000B378D" w:rsidRDefault="00DB16F1" w:rsidP="00DB16F1">
      <w:pPr>
        <w:rPr>
          <w:rStyle w:val="Enfasigrassetto"/>
          <w:b w:val="0"/>
          <w:bCs w:val="0"/>
          <w:color w:val="000000" w:themeColor="text1"/>
          <w:sz w:val="23"/>
          <w:szCs w:val="23"/>
        </w:rPr>
      </w:pPr>
      <w:r w:rsidRPr="000B378D">
        <w:rPr>
          <w:rStyle w:val="Enfasigrassetto"/>
          <w:color w:val="000000" w:themeColor="text1"/>
          <w:sz w:val="23"/>
          <w:szCs w:val="23"/>
          <w:bdr w:val="none" w:sz="0" w:space="0" w:color="auto" w:frame="1"/>
        </w:rPr>
        <w:t>Conseil d'État</w:t>
      </w:r>
      <w:r w:rsidRPr="000B378D">
        <w:rPr>
          <w:color w:val="000000" w:themeColor="text1"/>
          <w:sz w:val="23"/>
          <w:szCs w:val="23"/>
        </w:rPr>
        <w:br/>
      </w:r>
      <w:r w:rsidRPr="000B378D">
        <w:rPr>
          <w:color w:val="000000" w:themeColor="text1"/>
          <w:sz w:val="23"/>
          <w:szCs w:val="23"/>
        </w:rPr>
        <w:br/>
      </w:r>
      <w:r w:rsidRPr="000B378D">
        <w:rPr>
          <w:rStyle w:val="Enfasigrassetto"/>
          <w:color w:val="000000" w:themeColor="text1"/>
          <w:sz w:val="23"/>
          <w:szCs w:val="23"/>
          <w:bdr w:val="none" w:sz="0" w:space="0" w:color="auto" w:frame="1"/>
        </w:rPr>
        <w:t>N° 10097 10677 10679</w:t>
      </w:r>
      <w:r w:rsidRPr="000B378D">
        <w:rPr>
          <w:color w:val="000000" w:themeColor="text1"/>
          <w:sz w:val="23"/>
          <w:szCs w:val="23"/>
        </w:rPr>
        <w:br/>
      </w:r>
      <w:r w:rsidRPr="000B378D">
        <w:rPr>
          <w:rStyle w:val="Enfasigrassetto"/>
          <w:color w:val="000000" w:themeColor="text1"/>
          <w:sz w:val="23"/>
          <w:szCs w:val="23"/>
          <w:bdr w:val="none" w:sz="0" w:space="0" w:color="auto" w:frame="1"/>
        </w:rPr>
        <w:t>ECLI:FR:CEASS:1978:10097.19781208</w:t>
      </w:r>
      <w:r w:rsidRPr="000B378D">
        <w:rPr>
          <w:color w:val="000000" w:themeColor="text1"/>
          <w:sz w:val="23"/>
          <w:szCs w:val="23"/>
        </w:rPr>
        <w:br/>
        <w:t>Publié au recueil Lebon</w:t>
      </w:r>
      <w:r w:rsidRPr="000B378D">
        <w:rPr>
          <w:color w:val="000000" w:themeColor="text1"/>
          <w:sz w:val="23"/>
          <w:szCs w:val="23"/>
        </w:rPr>
        <w:br/>
      </w:r>
      <w:r w:rsidRPr="000B378D">
        <w:rPr>
          <w:rStyle w:val="Enfasigrassetto"/>
          <w:color w:val="000000" w:themeColor="text1"/>
          <w:sz w:val="23"/>
          <w:szCs w:val="23"/>
          <w:bdr w:val="none" w:sz="0" w:space="0" w:color="auto" w:frame="1"/>
        </w:rPr>
        <w:t xml:space="preserve">   </w:t>
      </w:r>
      <w:r w:rsidRPr="000B378D">
        <w:rPr>
          <w:rStyle w:val="Enfasigrassetto"/>
          <w:color w:val="000000" w:themeColor="text1"/>
          <w:sz w:val="23"/>
          <w:szCs w:val="23"/>
          <w:bdr w:val="none" w:sz="0" w:space="0" w:color="auto" w:frame="1"/>
        </w:rPr>
        <w:tab/>
      </w:r>
      <w:r w:rsidRPr="000B378D">
        <w:rPr>
          <w:rStyle w:val="Enfasigrassetto"/>
          <w:color w:val="000000" w:themeColor="text1"/>
          <w:sz w:val="23"/>
          <w:szCs w:val="23"/>
          <w:bdr w:val="none" w:sz="0" w:space="0" w:color="auto" w:frame="1"/>
        </w:rPr>
        <w:tab/>
      </w:r>
      <w:r w:rsidRPr="000B378D">
        <w:rPr>
          <w:rStyle w:val="Enfasigrassetto"/>
          <w:color w:val="000000" w:themeColor="text1"/>
          <w:sz w:val="23"/>
          <w:szCs w:val="23"/>
          <w:bdr w:val="none" w:sz="0" w:space="0" w:color="auto" w:frame="1"/>
        </w:rPr>
        <w:tab/>
      </w:r>
      <w:r w:rsidRPr="000B378D">
        <w:rPr>
          <w:rStyle w:val="Enfasigrassetto"/>
          <w:color w:val="000000" w:themeColor="text1"/>
          <w:sz w:val="23"/>
          <w:szCs w:val="23"/>
          <w:bdr w:val="none" w:sz="0" w:space="0" w:color="auto" w:frame="1"/>
        </w:rPr>
        <w:tab/>
      </w:r>
      <w:r w:rsidRPr="000B378D">
        <w:rPr>
          <w:rStyle w:val="Enfasigrassetto"/>
          <w:color w:val="000000" w:themeColor="text1"/>
          <w:sz w:val="23"/>
          <w:szCs w:val="23"/>
          <w:bdr w:val="none" w:sz="0" w:space="0" w:color="auto" w:frame="1"/>
        </w:rPr>
        <w:tab/>
      </w:r>
      <w:r w:rsidRPr="000B378D">
        <w:rPr>
          <w:rStyle w:val="Enfasigrassetto"/>
          <w:color w:val="000000" w:themeColor="text1"/>
          <w:sz w:val="23"/>
          <w:szCs w:val="23"/>
          <w:bdr w:val="none" w:sz="0" w:space="0" w:color="auto" w:frame="1"/>
        </w:rPr>
        <w:tab/>
      </w:r>
      <w:r w:rsidRPr="000B378D">
        <w:rPr>
          <w:rStyle w:val="Enfasigrassetto"/>
          <w:color w:val="000000" w:themeColor="text1"/>
          <w:sz w:val="23"/>
          <w:szCs w:val="23"/>
          <w:bdr w:val="none" w:sz="0" w:space="0" w:color="auto" w:frame="1"/>
        </w:rPr>
        <w:tab/>
      </w:r>
      <w:r w:rsidRPr="000B378D">
        <w:rPr>
          <w:rStyle w:val="Enfasigrassetto"/>
          <w:color w:val="000000" w:themeColor="text1"/>
          <w:sz w:val="23"/>
          <w:szCs w:val="23"/>
          <w:bdr w:val="none" w:sz="0" w:space="0" w:color="auto" w:frame="1"/>
        </w:rPr>
        <w:tab/>
      </w:r>
      <w:r w:rsidRPr="000B378D">
        <w:rPr>
          <w:rStyle w:val="Enfasigrassetto"/>
          <w:color w:val="000000" w:themeColor="text1"/>
          <w:sz w:val="23"/>
          <w:szCs w:val="23"/>
          <w:bdr w:val="none" w:sz="0" w:space="0" w:color="auto" w:frame="1"/>
        </w:rPr>
        <w:tab/>
      </w:r>
      <w:r w:rsidRPr="000B378D">
        <w:rPr>
          <w:rStyle w:val="Enfasigrassetto"/>
          <w:color w:val="000000" w:themeColor="text1"/>
          <w:sz w:val="23"/>
          <w:szCs w:val="23"/>
          <w:bdr w:val="none" w:sz="0" w:space="0" w:color="auto" w:frame="1"/>
        </w:rPr>
        <w:tab/>
        <w:t xml:space="preserve">          ASSEMBLEE</w:t>
      </w:r>
      <w:r w:rsidRPr="000B378D">
        <w:rPr>
          <w:color w:val="000000" w:themeColor="text1"/>
          <w:sz w:val="23"/>
          <w:szCs w:val="23"/>
        </w:rPr>
        <w:br/>
        <w:t>M. Chenot, président</w:t>
      </w:r>
      <w:r w:rsidRPr="000B378D">
        <w:rPr>
          <w:color w:val="000000" w:themeColor="text1"/>
          <w:sz w:val="23"/>
          <w:szCs w:val="23"/>
        </w:rPr>
        <w:br/>
        <w:t>Mme Cadoux, rapporteur</w:t>
      </w:r>
      <w:r w:rsidRPr="000B378D">
        <w:rPr>
          <w:color w:val="000000" w:themeColor="text1"/>
          <w:sz w:val="23"/>
          <w:szCs w:val="23"/>
        </w:rPr>
        <w:br/>
        <w:t>M. Dondoux, commissaire du gouvernement</w:t>
      </w:r>
      <w:r w:rsidRPr="000B378D">
        <w:rPr>
          <w:color w:val="000000" w:themeColor="text1"/>
          <w:sz w:val="23"/>
          <w:szCs w:val="23"/>
        </w:rPr>
        <w:br/>
      </w:r>
      <w:r w:rsidRPr="000B378D">
        <w:rPr>
          <w:color w:val="000000" w:themeColor="text1"/>
          <w:sz w:val="23"/>
          <w:szCs w:val="23"/>
        </w:rPr>
        <w:lastRenderedPageBreak/>
        <w:br/>
      </w:r>
      <w:r w:rsidRPr="000B378D">
        <w:rPr>
          <w:rStyle w:val="Enfasigrassetto"/>
          <w:color w:val="000000" w:themeColor="text1"/>
          <w:sz w:val="23"/>
          <w:szCs w:val="23"/>
          <w:bdr w:val="none" w:sz="0" w:space="0" w:color="auto" w:frame="1"/>
        </w:rPr>
        <w:t>Lecture du 8 décembre 1978</w:t>
      </w:r>
    </w:p>
    <w:p w14:paraId="66887ACA" w14:textId="77777777" w:rsidR="00165B9F" w:rsidRPr="000B378D" w:rsidRDefault="00165B9F" w:rsidP="00DB16F1">
      <w:pPr>
        <w:rPr>
          <w:color w:val="000000" w:themeColor="text1"/>
          <w:sz w:val="23"/>
          <w:szCs w:val="23"/>
        </w:rPr>
      </w:pPr>
    </w:p>
    <w:p w14:paraId="1CDB896D" w14:textId="77777777" w:rsidR="00DB16F1" w:rsidRPr="000B378D" w:rsidRDefault="00DB16F1" w:rsidP="00313DB1">
      <w:pPr>
        <w:jc w:val="center"/>
        <w:textAlignment w:val="baseline"/>
        <w:rPr>
          <w:b/>
          <w:bCs/>
          <w:color w:val="000000" w:themeColor="text1"/>
          <w:sz w:val="23"/>
          <w:szCs w:val="23"/>
          <w:bdr w:val="none" w:sz="0" w:space="0" w:color="auto" w:frame="1"/>
        </w:rPr>
      </w:pPr>
      <w:r w:rsidRPr="000B378D">
        <w:rPr>
          <w:rStyle w:val="Enfasigrassetto"/>
          <w:color w:val="000000" w:themeColor="text1"/>
          <w:sz w:val="23"/>
          <w:szCs w:val="23"/>
          <w:bdr w:val="none" w:sz="0" w:space="0" w:color="auto" w:frame="1"/>
        </w:rPr>
        <w:t>REPUBLIQUE FRANCAISE</w:t>
      </w:r>
      <w:r w:rsidRPr="000B378D">
        <w:rPr>
          <w:b/>
          <w:bCs/>
          <w:color w:val="000000" w:themeColor="text1"/>
          <w:sz w:val="23"/>
          <w:szCs w:val="23"/>
          <w:bdr w:val="none" w:sz="0" w:space="0" w:color="auto" w:frame="1"/>
        </w:rPr>
        <w:br/>
      </w:r>
      <w:r w:rsidRPr="000B378D">
        <w:rPr>
          <w:rStyle w:val="Enfasigrassetto"/>
          <w:color w:val="000000" w:themeColor="text1"/>
          <w:sz w:val="23"/>
          <w:szCs w:val="23"/>
          <w:bdr w:val="none" w:sz="0" w:space="0" w:color="auto" w:frame="1"/>
        </w:rPr>
        <w:t>AU NOM DU PEUPLE FRANCAIS</w:t>
      </w:r>
    </w:p>
    <w:p w14:paraId="2D33DF9C" w14:textId="77777777" w:rsidR="00DB16F1" w:rsidRPr="000B378D" w:rsidRDefault="00DB16F1" w:rsidP="00647F81">
      <w:pPr>
        <w:jc w:val="both"/>
        <w:rPr>
          <w:rFonts w:ascii="Arial" w:eastAsia="Arial" w:hAnsi="Arial" w:cs="Arial"/>
          <w:color w:val="1B1B1B"/>
        </w:rPr>
      </w:pPr>
    </w:p>
    <w:p w14:paraId="3A162250" w14:textId="77777777" w:rsidR="00DB16F1" w:rsidRPr="000B378D" w:rsidRDefault="00DB16F1" w:rsidP="00DB16F1">
      <w:pPr>
        <w:jc w:val="both"/>
        <w:rPr>
          <w:color w:val="000000"/>
          <w:sz w:val="23"/>
          <w:szCs w:val="23"/>
          <w:shd w:val="clear" w:color="auto" w:fill="FFFFFF"/>
        </w:rPr>
      </w:pPr>
      <w:r w:rsidRPr="000B378D">
        <w:rPr>
          <w:color w:val="000000"/>
          <w:sz w:val="23"/>
          <w:szCs w:val="23"/>
          <w:shd w:val="clear" w:color="auto" w:fill="FFFFFF"/>
        </w:rPr>
        <w:t>Vu sous le n. 10097 la requête sommaire et le mémoire ampliatif présentés par le Groupe d’information et de soutien des travailleurs immigrés, dont le siège est …, agissant poursuites et diligences de son président en exercice le sieur X…, ladite requête et ledit mémoire enregistrés au secrétariat du Contentieux du Conseil d’Etat le 21 novembre et le 19 décembre 1977 et tendant à ce qu’il plaise au Conseil annuler pour excès de pouvoir un décret en date du 10 novembre 1977 qui a provisoirement suspendu l’application des dispositions du décret du 29 avril 1976 relatif aux conditions d’entrée et de séjour en France des membres des familles des étrangers autorisés à résider en France ;</w:t>
      </w:r>
    </w:p>
    <w:p w14:paraId="7E2F2B34" w14:textId="77777777" w:rsidR="00DB16F1" w:rsidRPr="000B378D" w:rsidRDefault="00DB16F1" w:rsidP="00DB16F1">
      <w:pPr>
        <w:jc w:val="both"/>
        <w:rPr>
          <w:color w:val="000000"/>
          <w:sz w:val="23"/>
          <w:szCs w:val="23"/>
          <w:shd w:val="clear" w:color="auto" w:fill="FFFFFF"/>
        </w:rPr>
      </w:pPr>
      <w:r w:rsidRPr="000B378D">
        <w:rPr>
          <w:color w:val="000000"/>
          <w:sz w:val="23"/>
          <w:szCs w:val="23"/>
        </w:rPr>
        <w:br/>
      </w:r>
      <w:r w:rsidRPr="000B378D">
        <w:rPr>
          <w:color w:val="000000"/>
          <w:sz w:val="23"/>
          <w:szCs w:val="23"/>
          <w:shd w:val="clear" w:color="auto" w:fill="FFFFFF"/>
        </w:rPr>
        <w:t>Vu sous le n. 10677 la requête formée pour la Confédération française démocratique du travail dont le siège est … , ladite requête enregistrée au secrétariat du Contentieux du Conseil d’Etat et tendant à ce qu’il plaise au Conseil annuler pour excès de pouvoir un décret du 10 novembre 1977 suspendant provisoirement l’application du décret du 29 avril 1976 ;</w:t>
      </w:r>
    </w:p>
    <w:p w14:paraId="7299696A" w14:textId="77777777" w:rsidR="0001585F" w:rsidRPr="000B378D" w:rsidRDefault="0001585F" w:rsidP="00DB16F1">
      <w:pPr>
        <w:jc w:val="both"/>
        <w:rPr>
          <w:color w:val="000000"/>
          <w:sz w:val="23"/>
          <w:szCs w:val="23"/>
          <w:shd w:val="clear" w:color="auto" w:fill="FFFFFF"/>
        </w:rPr>
      </w:pPr>
    </w:p>
    <w:p w14:paraId="026E0D8F" w14:textId="77777777" w:rsidR="00DB16F1" w:rsidRPr="000B378D" w:rsidRDefault="00DB16F1" w:rsidP="00DB16F1">
      <w:pPr>
        <w:jc w:val="both"/>
        <w:rPr>
          <w:color w:val="000000"/>
          <w:sz w:val="23"/>
          <w:szCs w:val="23"/>
          <w:shd w:val="clear" w:color="auto" w:fill="FFFFFF"/>
        </w:rPr>
      </w:pPr>
      <w:r w:rsidRPr="000B378D">
        <w:rPr>
          <w:color w:val="000000"/>
          <w:sz w:val="23"/>
          <w:szCs w:val="23"/>
          <w:shd w:val="clear" w:color="auto" w:fill="FFFFFF"/>
        </w:rPr>
        <w:t>Vu sous le n. 10679 la requête sommaire et le mémoire ampliatif présentés pour la Confédération générale du travail, dont le siège est …, ladite requête et ledit mémoire enregistrés au secrétariat du Contentieux du Conseil d’Etat le 11 janvier et le 15 mars 1978 et tendant à ce qu’il plaise au Conseil annuler pour excès de pouvoir le décret du 10 novembre 1977 suspendant l’application du décret du 29 avril 1976. Vu le décret du 29 avril 1976 ; Vu la constitution de la République Française ; Vu le Code du Travail ; Vu l’ordonnance du 31 juillet 1945 et le décret du 30 septembre 1953 ; Vu la loi du 30 décembre 1977 ;</w:t>
      </w:r>
    </w:p>
    <w:p w14:paraId="530AD8C7" w14:textId="77777777" w:rsidR="00DB16F1" w:rsidRPr="000B378D" w:rsidRDefault="00DB16F1" w:rsidP="00DB16F1">
      <w:pPr>
        <w:jc w:val="both"/>
        <w:rPr>
          <w:color w:val="000000"/>
          <w:sz w:val="23"/>
          <w:szCs w:val="23"/>
          <w:shd w:val="clear" w:color="auto" w:fill="FFFFFF"/>
        </w:rPr>
      </w:pPr>
      <w:r w:rsidRPr="000B378D">
        <w:rPr>
          <w:color w:val="000000"/>
          <w:sz w:val="23"/>
          <w:szCs w:val="23"/>
        </w:rPr>
        <w:br/>
      </w:r>
      <w:r w:rsidRPr="000B378D">
        <w:rPr>
          <w:color w:val="000000"/>
          <w:sz w:val="23"/>
          <w:szCs w:val="23"/>
          <w:shd w:val="clear" w:color="auto" w:fill="FFFFFF"/>
        </w:rPr>
        <w:t>Considérant que les requêtes du Groupe d’information et de soutien des travailleurs immigrés, de la Confédération française démocratique du travail et de la Confédération générale du travail sont dirigées contre le décret du 10 novembre 1977 ; qu’il y a lieu de les joindre pour qu’elles fassent l’objet d’une même décision ;</w:t>
      </w:r>
    </w:p>
    <w:p w14:paraId="622B1C1E" w14:textId="77777777" w:rsidR="00165B9F" w:rsidRPr="000B378D" w:rsidRDefault="00165B9F" w:rsidP="00DB16F1">
      <w:pPr>
        <w:jc w:val="both"/>
        <w:rPr>
          <w:color w:val="000000"/>
          <w:sz w:val="23"/>
          <w:szCs w:val="23"/>
          <w:shd w:val="clear" w:color="auto" w:fill="FFFFFF"/>
        </w:rPr>
      </w:pPr>
    </w:p>
    <w:p w14:paraId="2AE282DE" w14:textId="77777777" w:rsidR="004A4C4F" w:rsidRPr="000B378D" w:rsidRDefault="004A4C4F" w:rsidP="00DB16F1">
      <w:pPr>
        <w:jc w:val="both"/>
        <w:rPr>
          <w:color w:val="000000"/>
          <w:sz w:val="23"/>
          <w:szCs w:val="23"/>
          <w:shd w:val="clear" w:color="auto" w:fill="FFFFFF"/>
        </w:rPr>
      </w:pPr>
    </w:p>
    <w:p w14:paraId="4EC33B91" w14:textId="77777777" w:rsidR="009275AF" w:rsidRPr="000B378D" w:rsidRDefault="00DB16F1" w:rsidP="00DB16F1">
      <w:pPr>
        <w:jc w:val="both"/>
        <w:rPr>
          <w:color w:val="000000"/>
          <w:sz w:val="23"/>
          <w:szCs w:val="23"/>
          <w:shd w:val="clear" w:color="auto" w:fill="FFFFFF"/>
        </w:rPr>
      </w:pPr>
      <w:r w:rsidRPr="000B378D">
        <w:rPr>
          <w:color w:val="000000"/>
          <w:sz w:val="23"/>
          <w:szCs w:val="23"/>
          <w:shd w:val="clear" w:color="auto" w:fill="FFFFFF"/>
        </w:rPr>
        <w:t xml:space="preserve">Sur la recevabilité des requêtes : </w:t>
      </w:r>
    </w:p>
    <w:p w14:paraId="32D0F701" w14:textId="77777777" w:rsidR="009275AF" w:rsidRPr="000B378D" w:rsidRDefault="009275AF" w:rsidP="00DB16F1">
      <w:pPr>
        <w:jc w:val="both"/>
        <w:rPr>
          <w:color w:val="000000"/>
          <w:sz w:val="23"/>
          <w:szCs w:val="23"/>
          <w:shd w:val="clear" w:color="auto" w:fill="FFFFFF"/>
        </w:rPr>
      </w:pPr>
    </w:p>
    <w:p w14:paraId="15A0A63A" w14:textId="77777777" w:rsidR="00DB16F1" w:rsidRPr="000B378D" w:rsidRDefault="00DB16F1" w:rsidP="00DB16F1">
      <w:pPr>
        <w:jc w:val="both"/>
        <w:rPr>
          <w:color w:val="000000"/>
          <w:sz w:val="23"/>
          <w:szCs w:val="23"/>
          <w:shd w:val="clear" w:color="auto" w:fill="FFFFFF"/>
        </w:rPr>
      </w:pPr>
      <w:r w:rsidRPr="000B378D">
        <w:rPr>
          <w:color w:val="000000"/>
          <w:sz w:val="23"/>
          <w:szCs w:val="23"/>
          <w:shd w:val="clear" w:color="auto" w:fill="FFFFFF"/>
        </w:rPr>
        <w:t>Considérant que la défense des intérêts matériels et moraux des travailleurs étrangers répond à l’objet de l’association et des organisations syndicales requérantes ; qu’ainsi le ministre du Travail et de la participation n’est pas fondé à soutenir que les requérants ne justifient pas d’un intérêt suffisant pour demander l’annulation du décret attaqué ;</w:t>
      </w:r>
    </w:p>
    <w:p w14:paraId="4F15AFC6" w14:textId="77777777" w:rsidR="009275AF" w:rsidRPr="000B378D" w:rsidRDefault="00DB16F1" w:rsidP="00DB16F1">
      <w:pPr>
        <w:jc w:val="both"/>
        <w:rPr>
          <w:color w:val="000000"/>
          <w:sz w:val="23"/>
          <w:szCs w:val="23"/>
          <w:shd w:val="clear" w:color="auto" w:fill="FFFFFF"/>
        </w:rPr>
      </w:pPr>
      <w:r w:rsidRPr="000B378D">
        <w:rPr>
          <w:color w:val="000000"/>
          <w:sz w:val="23"/>
          <w:szCs w:val="23"/>
        </w:rPr>
        <w:br/>
      </w:r>
      <w:r w:rsidRPr="000B378D">
        <w:rPr>
          <w:color w:val="000000"/>
          <w:sz w:val="23"/>
          <w:szCs w:val="23"/>
          <w:shd w:val="clear" w:color="auto" w:fill="FFFFFF"/>
        </w:rPr>
        <w:t xml:space="preserve">Sur la légalité du décret attaqué : </w:t>
      </w:r>
    </w:p>
    <w:p w14:paraId="0E051B52" w14:textId="77777777" w:rsidR="009275AF" w:rsidRPr="000B378D" w:rsidRDefault="009275AF" w:rsidP="00DB16F1">
      <w:pPr>
        <w:jc w:val="both"/>
        <w:rPr>
          <w:color w:val="000000"/>
          <w:sz w:val="23"/>
          <w:szCs w:val="23"/>
          <w:shd w:val="clear" w:color="auto" w:fill="FFFFFF"/>
        </w:rPr>
      </w:pPr>
    </w:p>
    <w:p w14:paraId="74F5CAD7" w14:textId="77777777" w:rsidR="00B64FD0" w:rsidRPr="000B378D" w:rsidRDefault="00DB16F1" w:rsidP="00DB16F1">
      <w:pPr>
        <w:jc w:val="both"/>
        <w:rPr>
          <w:color w:val="000000"/>
          <w:sz w:val="23"/>
          <w:szCs w:val="23"/>
          <w:shd w:val="clear" w:color="auto" w:fill="FFFFFF"/>
        </w:rPr>
      </w:pPr>
      <w:r w:rsidRPr="000B378D">
        <w:rPr>
          <w:color w:val="000000"/>
          <w:sz w:val="23"/>
          <w:szCs w:val="23"/>
          <w:shd w:val="clear" w:color="auto" w:fill="FFFFFF"/>
        </w:rPr>
        <w:t xml:space="preserve">Sans qu’il soit besoin d’examiner les autres moyens des requêtes : </w:t>
      </w:r>
    </w:p>
    <w:p w14:paraId="147380D6" w14:textId="77777777" w:rsidR="00B64FD0" w:rsidRPr="000B378D" w:rsidRDefault="00B64FD0" w:rsidP="00DB16F1">
      <w:pPr>
        <w:jc w:val="both"/>
        <w:rPr>
          <w:color w:val="000000"/>
          <w:sz w:val="23"/>
          <w:szCs w:val="23"/>
          <w:shd w:val="clear" w:color="auto" w:fill="FFFFFF"/>
        </w:rPr>
      </w:pPr>
    </w:p>
    <w:p w14:paraId="2E22466B" w14:textId="77777777" w:rsidR="00DB16F1" w:rsidRPr="000B378D" w:rsidRDefault="00DB16F1" w:rsidP="00DB16F1">
      <w:pPr>
        <w:jc w:val="both"/>
        <w:rPr>
          <w:color w:val="000000"/>
          <w:sz w:val="23"/>
          <w:szCs w:val="23"/>
          <w:shd w:val="clear" w:color="auto" w:fill="FFFFFF"/>
        </w:rPr>
      </w:pPr>
      <w:r w:rsidRPr="000B378D">
        <w:rPr>
          <w:color w:val="000000"/>
          <w:sz w:val="23"/>
          <w:szCs w:val="23"/>
          <w:shd w:val="clear" w:color="auto" w:fill="FFFFFF"/>
        </w:rPr>
        <w:t xml:space="preserve">Considérant que le décret du 29 avril 1976, relatif aux conditions d’entrée et de séjour en France des membres des familles des étrangers autorisés à résider en France, détermine limitativement, et sous réserve des engagements internationaux de la France, les motifs pour lesquels l’accès au territoire français ou l’octroi d’un titre de séjour peut être refusé au conjoint et aux enfants de moins de 18 ans d’un ressortissant étranger bénéficiant d’un titre de séjour qui veulent s’établir auprès de ce dernier. Que le décret attaqué du 10 novembre 1977 suspend, pour une période de trois ans, les admissions en France visées par ces dispositions mais précise que les dispositions du décret du 29 </w:t>
      </w:r>
      <w:r w:rsidRPr="000B378D">
        <w:rPr>
          <w:color w:val="000000"/>
          <w:sz w:val="23"/>
          <w:szCs w:val="23"/>
          <w:shd w:val="clear" w:color="auto" w:fill="FFFFFF"/>
        </w:rPr>
        <w:lastRenderedPageBreak/>
        <w:t>avril 1976 demeurent applicables aux membres de la famille qui ne demandent pas l’accès au marché de l’emploi ; que le décret attaqué a ainsi pour effet d’interdire l’accès du territoire français aux membres de la famille d’un ressortissant étranger titulaire d’un titre de séjour à moins qu’ils ne renoncent à occuper un emploi ;</w:t>
      </w:r>
    </w:p>
    <w:p w14:paraId="73F444F2" w14:textId="77777777" w:rsidR="00DB16F1" w:rsidRPr="000B378D" w:rsidRDefault="00DB16F1" w:rsidP="00DB16F1">
      <w:pPr>
        <w:jc w:val="both"/>
        <w:rPr>
          <w:color w:val="000000"/>
          <w:sz w:val="23"/>
          <w:szCs w:val="23"/>
          <w:shd w:val="clear" w:color="auto" w:fill="FFFFFF"/>
        </w:rPr>
      </w:pPr>
      <w:r w:rsidRPr="000B378D">
        <w:rPr>
          <w:color w:val="000000"/>
          <w:sz w:val="23"/>
          <w:szCs w:val="23"/>
        </w:rPr>
        <w:br/>
      </w:r>
      <w:r w:rsidRPr="000B378D">
        <w:rPr>
          <w:color w:val="000000"/>
          <w:sz w:val="23"/>
          <w:szCs w:val="23"/>
          <w:shd w:val="clear" w:color="auto" w:fill="FFFFFF"/>
        </w:rPr>
        <w:t>Considérant qu’il résulte des principes généraux du droit et, notamment, du Préambule de la Constitution du 27 octobre 1946 auquel se réfère la Constitution du 4 octobre 1958 que les étrangers résidant régulièrement en France ont, comme les nationaux, le droit de mener une vie familiale normale ; que ce droit comporte, en particulier, la faculté pour ces étrangers, de faire venir auprès d’eux leur conjoint et leurs enfants mineurs ; que, s’il appartient au Gouvernement, sous le contrôle du juge de l’excès de pouvoir, et sous réserve des engagements internationaux de la France de définir les conditions d’exercice de ce droit pour en concilier le principe avec les nécessités tenant à l’ordre public et à la protection sociale des étrangers et de leur famille, ledit gouvernement ne peut interdire par voie de mesure générale l’occupation d’un emploi par les membres des familles des ressortissants étrangers ; que le décret attaqué est ainsi illégal et doit, en conséquence, être annulé ;</w:t>
      </w:r>
    </w:p>
    <w:p w14:paraId="7D05DC17" w14:textId="77777777" w:rsidR="00DB16F1" w:rsidRPr="0001585F" w:rsidRDefault="00DB16F1" w:rsidP="00647F81">
      <w:pPr>
        <w:jc w:val="both"/>
        <w:rPr>
          <w:color w:val="000000"/>
          <w:sz w:val="23"/>
          <w:szCs w:val="23"/>
          <w:shd w:val="clear" w:color="auto" w:fill="FFFFFF"/>
        </w:rPr>
      </w:pPr>
      <w:r w:rsidRPr="000B378D">
        <w:rPr>
          <w:color w:val="000000"/>
          <w:sz w:val="23"/>
          <w:szCs w:val="23"/>
        </w:rPr>
        <w:br/>
      </w:r>
      <w:r w:rsidRPr="000B378D">
        <w:rPr>
          <w:color w:val="000000"/>
          <w:sz w:val="23"/>
          <w:szCs w:val="23"/>
          <w:shd w:val="clear" w:color="auto" w:fill="FFFFFF"/>
        </w:rPr>
        <w:t>DECIDE : Article 1er – Le décret du 10 novembre 1977 est annulé.</w:t>
      </w:r>
    </w:p>
    <w:p w14:paraId="64D95903" w14:textId="77777777" w:rsidR="00E124DF" w:rsidRDefault="00E124DF" w:rsidP="000F1A89">
      <w:pPr>
        <w:rPr>
          <w:b/>
          <w:sz w:val="22"/>
          <w:szCs w:val="22"/>
          <w:u w:val="single"/>
        </w:rPr>
      </w:pPr>
    </w:p>
    <w:sectPr w:rsidR="00E124DF" w:rsidSect="000B3B84">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144F0E" w14:textId="77777777" w:rsidR="00CC762F" w:rsidRDefault="00CC762F" w:rsidP="0086730B">
      <w:r>
        <w:separator/>
      </w:r>
    </w:p>
  </w:endnote>
  <w:endnote w:type="continuationSeparator" w:id="0">
    <w:p w14:paraId="21CFF4D0" w14:textId="77777777" w:rsidR="00CC762F" w:rsidRDefault="00CC762F" w:rsidP="00867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530031217"/>
      <w:docPartObj>
        <w:docPartGallery w:val="Page Numbers (Bottom of Page)"/>
        <w:docPartUnique/>
      </w:docPartObj>
    </w:sdtPr>
    <w:sdtEndPr>
      <w:rPr>
        <w:rStyle w:val="Numeropagina"/>
      </w:rPr>
    </w:sdtEndPr>
    <w:sdtContent>
      <w:p w14:paraId="2CEE74C2" w14:textId="77777777" w:rsidR="00FA1163" w:rsidRDefault="00FA1163" w:rsidP="007F6FE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5301F8CA" w14:textId="77777777" w:rsidR="00FA1163" w:rsidRDefault="00FA1163" w:rsidP="0086730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842918630"/>
      <w:docPartObj>
        <w:docPartGallery w:val="Page Numbers (Bottom of Page)"/>
        <w:docPartUnique/>
      </w:docPartObj>
    </w:sdtPr>
    <w:sdtEndPr>
      <w:rPr>
        <w:rStyle w:val="Numeropagina"/>
      </w:rPr>
    </w:sdtEndPr>
    <w:sdtContent>
      <w:p w14:paraId="079047CF" w14:textId="77777777" w:rsidR="00FA1163" w:rsidRDefault="00FA1163" w:rsidP="007F6FE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451F7583" w14:textId="77777777" w:rsidR="00FA1163" w:rsidRDefault="00FA1163" w:rsidP="0086730B">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1740CD" w14:textId="77777777" w:rsidR="00CC762F" w:rsidRDefault="00CC762F" w:rsidP="0086730B">
      <w:r>
        <w:separator/>
      </w:r>
    </w:p>
  </w:footnote>
  <w:footnote w:type="continuationSeparator" w:id="0">
    <w:p w14:paraId="62A71DE8" w14:textId="77777777" w:rsidR="00CC762F" w:rsidRDefault="00CC762F" w:rsidP="00867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432EB"/>
    <w:multiLevelType w:val="hybridMultilevel"/>
    <w:tmpl w:val="6EAAE0A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2D07437"/>
    <w:multiLevelType w:val="multilevel"/>
    <w:tmpl w:val="8004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34E39"/>
    <w:multiLevelType w:val="hybridMultilevel"/>
    <w:tmpl w:val="46D24A3C"/>
    <w:lvl w:ilvl="0" w:tplc="32E83CEA">
      <w:numFmt w:val="bullet"/>
      <w:lvlText w:val="-"/>
      <w:lvlJc w:val="left"/>
      <w:pPr>
        <w:ind w:left="777" w:hanging="197"/>
      </w:pPr>
      <w:rPr>
        <w:rFonts w:ascii="Times New Roman" w:eastAsia="Times New Roman" w:hAnsi="Times New Roman" w:cs="Times New Roman" w:hint="default"/>
        <w:spacing w:val="-23"/>
        <w:w w:val="99"/>
        <w:sz w:val="24"/>
        <w:szCs w:val="24"/>
      </w:rPr>
    </w:lvl>
    <w:lvl w:ilvl="1" w:tplc="3E7C653A">
      <w:numFmt w:val="bullet"/>
      <w:lvlText w:val="-"/>
      <w:lvlJc w:val="left"/>
      <w:pPr>
        <w:ind w:left="777" w:hanging="552"/>
      </w:pPr>
      <w:rPr>
        <w:rFonts w:ascii="Times New Roman" w:eastAsia="Times New Roman" w:hAnsi="Times New Roman" w:cs="Times New Roman" w:hint="default"/>
        <w:spacing w:val="-10"/>
        <w:w w:val="99"/>
        <w:sz w:val="24"/>
        <w:szCs w:val="24"/>
      </w:rPr>
    </w:lvl>
    <w:lvl w:ilvl="2" w:tplc="FCACFF08">
      <w:numFmt w:val="bullet"/>
      <w:lvlText w:val="•"/>
      <w:lvlJc w:val="left"/>
      <w:pPr>
        <w:ind w:left="2688" w:hanging="552"/>
      </w:pPr>
      <w:rPr>
        <w:rFonts w:hint="default"/>
      </w:rPr>
    </w:lvl>
    <w:lvl w:ilvl="3" w:tplc="7512C484">
      <w:numFmt w:val="bullet"/>
      <w:lvlText w:val="•"/>
      <w:lvlJc w:val="left"/>
      <w:pPr>
        <w:ind w:left="3642" w:hanging="552"/>
      </w:pPr>
      <w:rPr>
        <w:rFonts w:hint="default"/>
      </w:rPr>
    </w:lvl>
    <w:lvl w:ilvl="4" w:tplc="AF64002E">
      <w:numFmt w:val="bullet"/>
      <w:lvlText w:val="•"/>
      <w:lvlJc w:val="left"/>
      <w:pPr>
        <w:ind w:left="4596" w:hanging="552"/>
      </w:pPr>
      <w:rPr>
        <w:rFonts w:hint="default"/>
      </w:rPr>
    </w:lvl>
    <w:lvl w:ilvl="5" w:tplc="42F64514">
      <w:numFmt w:val="bullet"/>
      <w:lvlText w:val="•"/>
      <w:lvlJc w:val="left"/>
      <w:pPr>
        <w:ind w:left="5550" w:hanging="552"/>
      </w:pPr>
      <w:rPr>
        <w:rFonts w:hint="default"/>
      </w:rPr>
    </w:lvl>
    <w:lvl w:ilvl="6" w:tplc="7428B8A0">
      <w:numFmt w:val="bullet"/>
      <w:lvlText w:val="•"/>
      <w:lvlJc w:val="left"/>
      <w:pPr>
        <w:ind w:left="6504" w:hanging="552"/>
      </w:pPr>
      <w:rPr>
        <w:rFonts w:hint="default"/>
      </w:rPr>
    </w:lvl>
    <w:lvl w:ilvl="7" w:tplc="7CD2022A">
      <w:numFmt w:val="bullet"/>
      <w:lvlText w:val="•"/>
      <w:lvlJc w:val="left"/>
      <w:pPr>
        <w:ind w:left="7458" w:hanging="552"/>
      </w:pPr>
      <w:rPr>
        <w:rFonts w:hint="default"/>
      </w:rPr>
    </w:lvl>
    <w:lvl w:ilvl="8" w:tplc="44804D66">
      <w:numFmt w:val="bullet"/>
      <w:lvlText w:val="•"/>
      <w:lvlJc w:val="left"/>
      <w:pPr>
        <w:ind w:left="8412" w:hanging="552"/>
      </w:pPr>
      <w:rPr>
        <w:rFonts w:hint="default"/>
      </w:rPr>
    </w:lvl>
  </w:abstractNum>
  <w:abstractNum w:abstractNumId="3" w15:restartNumberingAfterBreak="0">
    <w:nsid w:val="203C4525"/>
    <w:multiLevelType w:val="hybridMultilevel"/>
    <w:tmpl w:val="D6A044DE"/>
    <w:lvl w:ilvl="0" w:tplc="0608BD76">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8F3F33"/>
    <w:multiLevelType w:val="hybridMultilevel"/>
    <w:tmpl w:val="7E5AE730"/>
    <w:lvl w:ilvl="0" w:tplc="BA1EA75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152923"/>
    <w:multiLevelType w:val="multilevel"/>
    <w:tmpl w:val="C64A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693D38"/>
    <w:multiLevelType w:val="hybridMultilevel"/>
    <w:tmpl w:val="BF6E876A"/>
    <w:lvl w:ilvl="0" w:tplc="2D4E5BEC">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D867836"/>
    <w:multiLevelType w:val="hybridMultilevel"/>
    <w:tmpl w:val="0C7651E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EDF3CDD"/>
    <w:multiLevelType w:val="multilevel"/>
    <w:tmpl w:val="3A543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23581D"/>
    <w:multiLevelType w:val="multilevel"/>
    <w:tmpl w:val="0E06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431B99"/>
    <w:multiLevelType w:val="hybridMultilevel"/>
    <w:tmpl w:val="09C07886"/>
    <w:lvl w:ilvl="0" w:tplc="39AC0540">
      <w:numFmt w:val="bullet"/>
      <w:lvlText w:val="-"/>
      <w:lvlJc w:val="left"/>
      <w:pPr>
        <w:ind w:left="777" w:hanging="178"/>
      </w:pPr>
      <w:rPr>
        <w:rFonts w:ascii="Times New Roman" w:eastAsia="Times New Roman" w:hAnsi="Times New Roman" w:cs="Times New Roman" w:hint="default"/>
        <w:spacing w:val="-30"/>
        <w:w w:val="99"/>
        <w:sz w:val="24"/>
        <w:szCs w:val="24"/>
      </w:rPr>
    </w:lvl>
    <w:lvl w:ilvl="1" w:tplc="AE86DC14">
      <w:numFmt w:val="bullet"/>
      <w:lvlText w:val="•"/>
      <w:lvlJc w:val="left"/>
      <w:pPr>
        <w:ind w:left="1734" w:hanging="178"/>
      </w:pPr>
      <w:rPr>
        <w:rFonts w:hint="default"/>
      </w:rPr>
    </w:lvl>
    <w:lvl w:ilvl="2" w:tplc="94565132">
      <w:numFmt w:val="bullet"/>
      <w:lvlText w:val="•"/>
      <w:lvlJc w:val="left"/>
      <w:pPr>
        <w:ind w:left="2688" w:hanging="178"/>
      </w:pPr>
      <w:rPr>
        <w:rFonts w:hint="default"/>
      </w:rPr>
    </w:lvl>
    <w:lvl w:ilvl="3" w:tplc="3ED040EE">
      <w:numFmt w:val="bullet"/>
      <w:lvlText w:val="•"/>
      <w:lvlJc w:val="left"/>
      <w:pPr>
        <w:ind w:left="3642" w:hanging="178"/>
      </w:pPr>
      <w:rPr>
        <w:rFonts w:hint="default"/>
      </w:rPr>
    </w:lvl>
    <w:lvl w:ilvl="4" w:tplc="481AA380">
      <w:numFmt w:val="bullet"/>
      <w:lvlText w:val="•"/>
      <w:lvlJc w:val="left"/>
      <w:pPr>
        <w:ind w:left="4596" w:hanging="178"/>
      </w:pPr>
      <w:rPr>
        <w:rFonts w:hint="default"/>
      </w:rPr>
    </w:lvl>
    <w:lvl w:ilvl="5" w:tplc="13D080FC">
      <w:numFmt w:val="bullet"/>
      <w:lvlText w:val="•"/>
      <w:lvlJc w:val="left"/>
      <w:pPr>
        <w:ind w:left="5550" w:hanging="178"/>
      </w:pPr>
      <w:rPr>
        <w:rFonts w:hint="default"/>
      </w:rPr>
    </w:lvl>
    <w:lvl w:ilvl="6" w:tplc="A636F4B6">
      <w:numFmt w:val="bullet"/>
      <w:lvlText w:val="•"/>
      <w:lvlJc w:val="left"/>
      <w:pPr>
        <w:ind w:left="6504" w:hanging="178"/>
      </w:pPr>
      <w:rPr>
        <w:rFonts w:hint="default"/>
      </w:rPr>
    </w:lvl>
    <w:lvl w:ilvl="7" w:tplc="8C46F894">
      <w:numFmt w:val="bullet"/>
      <w:lvlText w:val="•"/>
      <w:lvlJc w:val="left"/>
      <w:pPr>
        <w:ind w:left="7458" w:hanging="178"/>
      </w:pPr>
      <w:rPr>
        <w:rFonts w:hint="default"/>
      </w:rPr>
    </w:lvl>
    <w:lvl w:ilvl="8" w:tplc="F938871C">
      <w:numFmt w:val="bullet"/>
      <w:lvlText w:val="•"/>
      <w:lvlJc w:val="left"/>
      <w:pPr>
        <w:ind w:left="8412" w:hanging="178"/>
      </w:pPr>
      <w:rPr>
        <w:rFonts w:hint="default"/>
      </w:rPr>
    </w:lvl>
  </w:abstractNum>
  <w:abstractNum w:abstractNumId="11" w15:restartNumberingAfterBreak="0">
    <w:nsid w:val="473A34FA"/>
    <w:multiLevelType w:val="hybridMultilevel"/>
    <w:tmpl w:val="915C1AA0"/>
    <w:lvl w:ilvl="0" w:tplc="C7E098CE">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754F3C"/>
    <w:multiLevelType w:val="hybridMultilevel"/>
    <w:tmpl w:val="10C6EEBC"/>
    <w:lvl w:ilvl="0" w:tplc="30606134">
      <w:numFmt w:val="bullet"/>
      <w:lvlText w:val=""/>
      <w:lvlJc w:val="left"/>
      <w:pPr>
        <w:ind w:left="777" w:hanging="552"/>
      </w:pPr>
      <w:rPr>
        <w:rFonts w:ascii="Symbol" w:eastAsia="Symbol" w:hAnsi="Symbol" w:cs="Symbol" w:hint="default"/>
        <w:w w:val="100"/>
        <w:sz w:val="24"/>
        <w:szCs w:val="24"/>
      </w:rPr>
    </w:lvl>
    <w:lvl w:ilvl="1" w:tplc="A34AB74E">
      <w:numFmt w:val="bullet"/>
      <w:lvlText w:val="•"/>
      <w:lvlJc w:val="left"/>
      <w:pPr>
        <w:ind w:left="1734" w:hanging="552"/>
      </w:pPr>
      <w:rPr>
        <w:rFonts w:hint="default"/>
      </w:rPr>
    </w:lvl>
    <w:lvl w:ilvl="2" w:tplc="A0F67640">
      <w:numFmt w:val="bullet"/>
      <w:lvlText w:val="•"/>
      <w:lvlJc w:val="left"/>
      <w:pPr>
        <w:ind w:left="2688" w:hanging="552"/>
      </w:pPr>
      <w:rPr>
        <w:rFonts w:hint="default"/>
      </w:rPr>
    </w:lvl>
    <w:lvl w:ilvl="3" w:tplc="181A1568">
      <w:numFmt w:val="bullet"/>
      <w:lvlText w:val="•"/>
      <w:lvlJc w:val="left"/>
      <w:pPr>
        <w:ind w:left="3642" w:hanging="552"/>
      </w:pPr>
      <w:rPr>
        <w:rFonts w:hint="default"/>
      </w:rPr>
    </w:lvl>
    <w:lvl w:ilvl="4" w:tplc="8BAE174A">
      <w:numFmt w:val="bullet"/>
      <w:lvlText w:val="•"/>
      <w:lvlJc w:val="left"/>
      <w:pPr>
        <w:ind w:left="4596" w:hanging="552"/>
      </w:pPr>
      <w:rPr>
        <w:rFonts w:hint="default"/>
      </w:rPr>
    </w:lvl>
    <w:lvl w:ilvl="5" w:tplc="E83E1B86">
      <w:numFmt w:val="bullet"/>
      <w:lvlText w:val="•"/>
      <w:lvlJc w:val="left"/>
      <w:pPr>
        <w:ind w:left="5550" w:hanging="552"/>
      </w:pPr>
      <w:rPr>
        <w:rFonts w:hint="default"/>
      </w:rPr>
    </w:lvl>
    <w:lvl w:ilvl="6" w:tplc="6B36790C">
      <w:numFmt w:val="bullet"/>
      <w:lvlText w:val="•"/>
      <w:lvlJc w:val="left"/>
      <w:pPr>
        <w:ind w:left="6504" w:hanging="552"/>
      </w:pPr>
      <w:rPr>
        <w:rFonts w:hint="default"/>
      </w:rPr>
    </w:lvl>
    <w:lvl w:ilvl="7" w:tplc="4B961F3E">
      <w:numFmt w:val="bullet"/>
      <w:lvlText w:val="•"/>
      <w:lvlJc w:val="left"/>
      <w:pPr>
        <w:ind w:left="7458" w:hanging="552"/>
      </w:pPr>
      <w:rPr>
        <w:rFonts w:hint="default"/>
      </w:rPr>
    </w:lvl>
    <w:lvl w:ilvl="8" w:tplc="12220880">
      <w:numFmt w:val="bullet"/>
      <w:lvlText w:val="•"/>
      <w:lvlJc w:val="left"/>
      <w:pPr>
        <w:ind w:left="8412" w:hanging="552"/>
      </w:pPr>
      <w:rPr>
        <w:rFonts w:hint="default"/>
      </w:rPr>
    </w:lvl>
  </w:abstractNum>
  <w:abstractNum w:abstractNumId="13" w15:restartNumberingAfterBreak="0">
    <w:nsid w:val="5CE512B1"/>
    <w:multiLevelType w:val="multilevel"/>
    <w:tmpl w:val="8812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32658C"/>
    <w:multiLevelType w:val="multilevel"/>
    <w:tmpl w:val="E6247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086825"/>
    <w:multiLevelType w:val="multilevel"/>
    <w:tmpl w:val="33F8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824665"/>
    <w:multiLevelType w:val="hybridMultilevel"/>
    <w:tmpl w:val="AD5AF8BA"/>
    <w:lvl w:ilvl="0" w:tplc="BD5861C8">
      <w:start w:val="1"/>
      <w:numFmt w:val="decimal"/>
      <w:lvlText w:val="%1."/>
      <w:lvlJc w:val="left"/>
      <w:pPr>
        <w:ind w:left="777" w:hanging="615"/>
      </w:pPr>
      <w:rPr>
        <w:rFonts w:ascii="Times New Roman" w:eastAsia="Times New Roman" w:hAnsi="Times New Roman" w:cs="Times New Roman" w:hint="default"/>
        <w:spacing w:val="-30"/>
        <w:w w:val="99"/>
        <w:sz w:val="24"/>
        <w:szCs w:val="24"/>
      </w:rPr>
    </w:lvl>
    <w:lvl w:ilvl="1" w:tplc="97BCB152">
      <w:numFmt w:val="bullet"/>
      <w:lvlText w:val="•"/>
      <w:lvlJc w:val="left"/>
      <w:pPr>
        <w:ind w:left="1734" w:hanging="615"/>
      </w:pPr>
      <w:rPr>
        <w:rFonts w:hint="default"/>
      </w:rPr>
    </w:lvl>
    <w:lvl w:ilvl="2" w:tplc="19CCF550">
      <w:numFmt w:val="bullet"/>
      <w:lvlText w:val="•"/>
      <w:lvlJc w:val="left"/>
      <w:pPr>
        <w:ind w:left="2688" w:hanging="615"/>
      </w:pPr>
      <w:rPr>
        <w:rFonts w:hint="default"/>
      </w:rPr>
    </w:lvl>
    <w:lvl w:ilvl="3" w:tplc="BA3C3166">
      <w:numFmt w:val="bullet"/>
      <w:lvlText w:val="•"/>
      <w:lvlJc w:val="left"/>
      <w:pPr>
        <w:ind w:left="3642" w:hanging="615"/>
      </w:pPr>
      <w:rPr>
        <w:rFonts w:hint="default"/>
      </w:rPr>
    </w:lvl>
    <w:lvl w:ilvl="4" w:tplc="73A04632">
      <w:numFmt w:val="bullet"/>
      <w:lvlText w:val="•"/>
      <w:lvlJc w:val="left"/>
      <w:pPr>
        <w:ind w:left="4596" w:hanging="615"/>
      </w:pPr>
      <w:rPr>
        <w:rFonts w:hint="default"/>
      </w:rPr>
    </w:lvl>
    <w:lvl w:ilvl="5" w:tplc="5A804F26">
      <w:numFmt w:val="bullet"/>
      <w:lvlText w:val="•"/>
      <w:lvlJc w:val="left"/>
      <w:pPr>
        <w:ind w:left="5550" w:hanging="615"/>
      </w:pPr>
      <w:rPr>
        <w:rFonts w:hint="default"/>
      </w:rPr>
    </w:lvl>
    <w:lvl w:ilvl="6" w:tplc="E7BA7DC2">
      <w:numFmt w:val="bullet"/>
      <w:lvlText w:val="•"/>
      <w:lvlJc w:val="left"/>
      <w:pPr>
        <w:ind w:left="6504" w:hanging="615"/>
      </w:pPr>
      <w:rPr>
        <w:rFonts w:hint="default"/>
      </w:rPr>
    </w:lvl>
    <w:lvl w:ilvl="7" w:tplc="0E8ED5B2">
      <w:numFmt w:val="bullet"/>
      <w:lvlText w:val="•"/>
      <w:lvlJc w:val="left"/>
      <w:pPr>
        <w:ind w:left="7458" w:hanging="615"/>
      </w:pPr>
      <w:rPr>
        <w:rFonts w:hint="default"/>
      </w:rPr>
    </w:lvl>
    <w:lvl w:ilvl="8" w:tplc="CE701C6E">
      <w:numFmt w:val="bullet"/>
      <w:lvlText w:val="•"/>
      <w:lvlJc w:val="left"/>
      <w:pPr>
        <w:ind w:left="8412" w:hanging="615"/>
      </w:pPr>
      <w:rPr>
        <w:rFonts w:hint="default"/>
      </w:rPr>
    </w:lvl>
  </w:abstractNum>
  <w:abstractNum w:abstractNumId="17" w15:restartNumberingAfterBreak="0">
    <w:nsid w:val="686E069B"/>
    <w:multiLevelType w:val="multilevel"/>
    <w:tmpl w:val="2722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FF705D"/>
    <w:multiLevelType w:val="hybridMultilevel"/>
    <w:tmpl w:val="DD7C8656"/>
    <w:lvl w:ilvl="0" w:tplc="3BD84462">
      <w:start w:val="19"/>
      <w:numFmt w:val="decimal"/>
      <w:lvlText w:val="%1"/>
      <w:lvlJc w:val="left"/>
      <w:pPr>
        <w:ind w:left="777" w:hanging="339"/>
        <w:jc w:val="right"/>
      </w:pPr>
      <w:rPr>
        <w:rFonts w:ascii="Times New Roman" w:eastAsia="Times New Roman" w:hAnsi="Times New Roman" w:cs="Times New Roman" w:hint="default"/>
        <w:spacing w:val="-30"/>
        <w:w w:val="99"/>
        <w:sz w:val="24"/>
        <w:szCs w:val="24"/>
      </w:rPr>
    </w:lvl>
    <w:lvl w:ilvl="1" w:tplc="C8B416A8">
      <w:numFmt w:val="bullet"/>
      <w:lvlText w:val="•"/>
      <w:lvlJc w:val="left"/>
      <w:pPr>
        <w:ind w:left="1734" w:hanging="339"/>
      </w:pPr>
      <w:rPr>
        <w:rFonts w:hint="default"/>
      </w:rPr>
    </w:lvl>
    <w:lvl w:ilvl="2" w:tplc="A2A65758">
      <w:numFmt w:val="bullet"/>
      <w:lvlText w:val="•"/>
      <w:lvlJc w:val="left"/>
      <w:pPr>
        <w:ind w:left="2688" w:hanging="339"/>
      </w:pPr>
      <w:rPr>
        <w:rFonts w:hint="default"/>
      </w:rPr>
    </w:lvl>
    <w:lvl w:ilvl="3" w:tplc="557E28C8">
      <w:numFmt w:val="bullet"/>
      <w:lvlText w:val="•"/>
      <w:lvlJc w:val="left"/>
      <w:pPr>
        <w:ind w:left="3642" w:hanging="339"/>
      </w:pPr>
      <w:rPr>
        <w:rFonts w:hint="default"/>
      </w:rPr>
    </w:lvl>
    <w:lvl w:ilvl="4" w:tplc="C48CA808">
      <w:numFmt w:val="bullet"/>
      <w:lvlText w:val="•"/>
      <w:lvlJc w:val="left"/>
      <w:pPr>
        <w:ind w:left="4596" w:hanging="339"/>
      </w:pPr>
      <w:rPr>
        <w:rFonts w:hint="default"/>
      </w:rPr>
    </w:lvl>
    <w:lvl w:ilvl="5" w:tplc="CEC60194">
      <w:numFmt w:val="bullet"/>
      <w:lvlText w:val="•"/>
      <w:lvlJc w:val="left"/>
      <w:pPr>
        <w:ind w:left="5550" w:hanging="339"/>
      </w:pPr>
      <w:rPr>
        <w:rFonts w:hint="default"/>
      </w:rPr>
    </w:lvl>
    <w:lvl w:ilvl="6" w:tplc="FF32CF62">
      <w:numFmt w:val="bullet"/>
      <w:lvlText w:val="•"/>
      <w:lvlJc w:val="left"/>
      <w:pPr>
        <w:ind w:left="6504" w:hanging="339"/>
      </w:pPr>
      <w:rPr>
        <w:rFonts w:hint="default"/>
      </w:rPr>
    </w:lvl>
    <w:lvl w:ilvl="7" w:tplc="5F4AF7A4">
      <w:numFmt w:val="bullet"/>
      <w:lvlText w:val="•"/>
      <w:lvlJc w:val="left"/>
      <w:pPr>
        <w:ind w:left="7458" w:hanging="339"/>
      </w:pPr>
      <w:rPr>
        <w:rFonts w:hint="default"/>
      </w:rPr>
    </w:lvl>
    <w:lvl w:ilvl="8" w:tplc="12D6EF96">
      <w:numFmt w:val="bullet"/>
      <w:lvlText w:val="•"/>
      <w:lvlJc w:val="left"/>
      <w:pPr>
        <w:ind w:left="8412" w:hanging="339"/>
      </w:pPr>
      <w:rPr>
        <w:rFonts w:hint="default"/>
      </w:rPr>
    </w:lvl>
  </w:abstractNum>
  <w:abstractNum w:abstractNumId="19" w15:restartNumberingAfterBreak="0">
    <w:nsid w:val="70FF367C"/>
    <w:multiLevelType w:val="hybridMultilevel"/>
    <w:tmpl w:val="DD7803CA"/>
    <w:lvl w:ilvl="0" w:tplc="52504816">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517348"/>
    <w:multiLevelType w:val="hybridMultilevel"/>
    <w:tmpl w:val="A3F455B8"/>
    <w:lvl w:ilvl="0" w:tplc="F588E3A0">
      <w:numFmt w:val="bullet"/>
      <w:lvlText w:val="-"/>
      <w:lvlJc w:val="left"/>
      <w:pPr>
        <w:ind w:left="108" w:hanging="141"/>
      </w:pPr>
      <w:rPr>
        <w:rFonts w:ascii="Times New Roman" w:eastAsia="Times New Roman" w:hAnsi="Times New Roman" w:cs="Times New Roman" w:hint="default"/>
        <w:spacing w:val="-1"/>
        <w:w w:val="99"/>
        <w:sz w:val="24"/>
        <w:szCs w:val="24"/>
      </w:rPr>
    </w:lvl>
    <w:lvl w:ilvl="1" w:tplc="F7425130">
      <w:numFmt w:val="bullet"/>
      <w:lvlText w:val=""/>
      <w:lvlJc w:val="left"/>
      <w:pPr>
        <w:ind w:left="2180" w:hanging="552"/>
      </w:pPr>
      <w:rPr>
        <w:rFonts w:ascii="Wingdings" w:eastAsia="Wingdings" w:hAnsi="Wingdings" w:cs="Wingdings" w:hint="default"/>
        <w:w w:val="100"/>
        <w:sz w:val="24"/>
        <w:szCs w:val="24"/>
      </w:rPr>
    </w:lvl>
    <w:lvl w:ilvl="2" w:tplc="F8FCA1FE">
      <w:numFmt w:val="bullet"/>
      <w:lvlText w:val="•"/>
      <w:lvlJc w:val="left"/>
      <w:pPr>
        <w:ind w:left="2180" w:hanging="552"/>
      </w:pPr>
      <w:rPr>
        <w:rFonts w:hint="default"/>
      </w:rPr>
    </w:lvl>
    <w:lvl w:ilvl="3" w:tplc="2AC297D4">
      <w:numFmt w:val="bullet"/>
      <w:lvlText w:val="•"/>
      <w:lvlJc w:val="left"/>
      <w:pPr>
        <w:ind w:left="2510" w:hanging="552"/>
      </w:pPr>
      <w:rPr>
        <w:rFonts w:hint="default"/>
      </w:rPr>
    </w:lvl>
    <w:lvl w:ilvl="4" w:tplc="0D42E322">
      <w:numFmt w:val="bullet"/>
      <w:lvlText w:val="•"/>
      <w:lvlJc w:val="left"/>
      <w:pPr>
        <w:ind w:left="2840" w:hanging="552"/>
      </w:pPr>
      <w:rPr>
        <w:rFonts w:hint="default"/>
      </w:rPr>
    </w:lvl>
    <w:lvl w:ilvl="5" w:tplc="32E62C76">
      <w:numFmt w:val="bullet"/>
      <w:lvlText w:val="•"/>
      <w:lvlJc w:val="left"/>
      <w:pPr>
        <w:ind w:left="3170" w:hanging="552"/>
      </w:pPr>
      <w:rPr>
        <w:rFonts w:hint="default"/>
      </w:rPr>
    </w:lvl>
    <w:lvl w:ilvl="6" w:tplc="F3267D84">
      <w:numFmt w:val="bullet"/>
      <w:lvlText w:val="•"/>
      <w:lvlJc w:val="left"/>
      <w:pPr>
        <w:ind w:left="3500" w:hanging="552"/>
      </w:pPr>
      <w:rPr>
        <w:rFonts w:hint="default"/>
      </w:rPr>
    </w:lvl>
    <w:lvl w:ilvl="7" w:tplc="936C1164">
      <w:numFmt w:val="bullet"/>
      <w:lvlText w:val="•"/>
      <w:lvlJc w:val="left"/>
      <w:pPr>
        <w:ind w:left="3830" w:hanging="552"/>
      </w:pPr>
      <w:rPr>
        <w:rFonts w:hint="default"/>
      </w:rPr>
    </w:lvl>
    <w:lvl w:ilvl="8" w:tplc="A31623FA">
      <w:numFmt w:val="bullet"/>
      <w:lvlText w:val="•"/>
      <w:lvlJc w:val="left"/>
      <w:pPr>
        <w:ind w:left="4160" w:hanging="552"/>
      </w:pPr>
      <w:rPr>
        <w:rFonts w:hint="default"/>
      </w:rPr>
    </w:lvl>
  </w:abstractNum>
  <w:abstractNum w:abstractNumId="21" w15:restartNumberingAfterBreak="0">
    <w:nsid w:val="72AF7773"/>
    <w:multiLevelType w:val="multilevel"/>
    <w:tmpl w:val="A3FA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1479987">
    <w:abstractNumId w:val="3"/>
  </w:num>
  <w:num w:numId="2" w16cid:durableId="1114447267">
    <w:abstractNumId w:val="0"/>
  </w:num>
  <w:num w:numId="3" w16cid:durableId="1626934071">
    <w:abstractNumId w:val="7"/>
  </w:num>
  <w:num w:numId="4" w16cid:durableId="1057974115">
    <w:abstractNumId w:val="4"/>
  </w:num>
  <w:num w:numId="5" w16cid:durableId="745953315">
    <w:abstractNumId w:val="19"/>
  </w:num>
  <w:num w:numId="6" w16cid:durableId="535853545">
    <w:abstractNumId w:val="11"/>
  </w:num>
  <w:num w:numId="7" w16cid:durableId="1149518400">
    <w:abstractNumId w:val="1"/>
  </w:num>
  <w:num w:numId="8" w16cid:durableId="1542671429">
    <w:abstractNumId w:val="6"/>
  </w:num>
  <w:num w:numId="9" w16cid:durableId="1851019432">
    <w:abstractNumId w:val="21"/>
  </w:num>
  <w:num w:numId="10" w16cid:durableId="1353148357">
    <w:abstractNumId w:val="18"/>
  </w:num>
  <w:num w:numId="11" w16cid:durableId="858153933">
    <w:abstractNumId w:val="16"/>
  </w:num>
  <w:num w:numId="12" w16cid:durableId="1577741521">
    <w:abstractNumId w:val="2"/>
  </w:num>
  <w:num w:numId="13" w16cid:durableId="1898128267">
    <w:abstractNumId w:val="12"/>
  </w:num>
  <w:num w:numId="14" w16cid:durableId="1693536504">
    <w:abstractNumId w:val="10"/>
  </w:num>
  <w:num w:numId="15" w16cid:durableId="262345209">
    <w:abstractNumId w:val="20"/>
  </w:num>
  <w:num w:numId="16" w16cid:durableId="2078165872">
    <w:abstractNumId w:val="8"/>
  </w:num>
  <w:num w:numId="17" w16cid:durableId="54401195">
    <w:abstractNumId w:val="5"/>
  </w:num>
  <w:num w:numId="18" w16cid:durableId="1865744889">
    <w:abstractNumId w:val="17"/>
  </w:num>
  <w:num w:numId="19" w16cid:durableId="536890732">
    <w:abstractNumId w:val="14"/>
  </w:num>
  <w:num w:numId="20" w16cid:durableId="1645503277">
    <w:abstractNumId w:val="9"/>
  </w:num>
  <w:num w:numId="21" w16cid:durableId="1519810145">
    <w:abstractNumId w:val="15"/>
  </w:num>
  <w:num w:numId="22" w16cid:durableId="129979951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009"/>
    <w:rsid w:val="00002E03"/>
    <w:rsid w:val="00011F11"/>
    <w:rsid w:val="0001585F"/>
    <w:rsid w:val="00016211"/>
    <w:rsid w:val="00020009"/>
    <w:rsid w:val="00020722"/>
    <w:rsid w:val="00030893"/>
    <w:rsid w:val="00036A4D"/>
    <w:rsid w:val="000417F2"/>
    <w:rsid w:val="00041D59"/>
    <w:rsid w:val="00043B6B"/>
    <w:rsid w:val="00043EA6"/>
    <w:rsid w:val="00060FF3"/>
    <w:rsid w:val="00067DA0"/>
    <w:rsid w:val="00067DB7"/>
    <w:rsid w:val="000906AB"/>
    <w:rsid w:val="00091603"/>
    <w:rsid w:val="00093165"/>
    <w:rsid w:val="000A4AE0"/>
    <w:rsid w:val="000A5359"/>
    <w:rsid w:val="000B378D"/>
    <w:rsid w:val="000B3B84"/>
    <w:rsid w:val="000C2148"/>
    <w:rsid w:val="000E42CA"/>
    <w:rsid w:val="000F0CF5"/>
    <w:rsid w:val="000F1A89"/>
    <w:rsid w:val="000F3413"/>
    <w:rsid w:val="000F436F"/>
    <w:rsid w:val="0010406C"/>
    <w:rsid w:val="00110394"/>
    <w:rsid w:val="001159A2"/>
    <w:rsid w:val="001332A0"/>
    <w:rsid w:val="00143BE5"/>
    <w:rsid w:val="00150547"/>
    <w:rsid w:val="00150A2F"/>
    <w:rsid w:val="001534F6"/>
    <w:rsid w:val="0016116B"/>
    <w:rsid w:val="00165B9F"/>
    <w:rsid w:val="00174C6F"/>
    <w:rsid w:val="00182273"/>
    <w:rsid w:val="001B3B8C"/>
    <w:rsid w:val="001B5940"/>
    <w:rsid w:val="001C22E8"/>
    <w:rsid w:val="001C34EB"/>
    <w:rsid w:val="001C52D0"/>
    <w:rsid w:val="001C7BB4"/>
    <w:rsid w:val="001F28A7"/>
    <w:rsid w:val="001F4010"/>
    <w:rsid w:val="001F66ED"/>
    <w:rsid w:val="0020770D"/>
    <w:rsid w:val="00213D31"/>
    <w:rsid w:val="00226223"/>
    <w:rsid w:val="00231FE9"/>
    <w:rsid w:val="0023757D"/>
    <w:rsid w:val="00246535"/>
    <w:rsid w:val="0024677E"/>
    <w:rsid w:val="00246AA9"/>
    <w:rsid w:val="0025447E"/>
    <w:rsid w:val="00255504"/>
    <w:rsid w:val="00266D9A"/>
    <w:rsid w:val="0028000F"/>
    <w:rsid w:val="00290B9A"/>
    <w:rsid w:val="00295FEF"/>
    <w:rsid w:val="002A03B1"/>
    <w:rsid w:val="002A7569"/>
    <w:rsid w:val="002B63FF"/>
    <w:rsid w:val="002C7F74"/>
    <w:rsid w:val="002D1F9B"/>
    <w:rsid w:val="002D553C"/>
    <w:rsid w:val="002D6925"/>
    <w:rsid w:val="002E3E5D"/>
    <w:rsid w:val="002E3EF2"/>
    <w:rsid w:val="002E42D1"/>
    <w:rsid w:val="002E6B59"/>
    <w:rsid w:val="002F116B"/>
    <w:rsid w:val="002F35E1"/>
    <w:rsid w:val="0030175B"/>
    <w:rsid w:val="003017BA"/>
    <w:rsid w:val="0030474A"/>
    <w:rsid w:val="0031273E"/>
    <w:rsid w:val="003138BA"/>
    <w:rsid w:val="00313DB1"/>
    <w:rsid w:val="00321ECA"/>
    <w:rsid w:val="00343758"/>
    <w:rsid w:val="003443C2"/>
    <w:rsid w:val="00347972"/>
    <w:rsid w:val="00351DE3"/>
    <w:rsid w:val="0037731B"/>
    <w:rsid w:val="00395E4E"/>
    <w:rsid w:val="00397CCA"/>
    <w:rsid w:val="003B0B05"/>
    <w:rsid w:val="003B3B99"/>
    <w:rsid w:val="003C7039"/>
    <w:rsid w:val="003D1303"/>
    <w:rsid w:val="003E3A45"/>
    <w:rsid w:val="003F3E7A"/>
    <w:rsid w:val="0042111C"/>
    <w:rsid w:val="00432D33"/>
    <w:rsid w:val="00452C19"/>
    <w:rsid w:val="00454DC7"/>
    <w:rsid w:val="004570B6"/>
    <w:rsid w:val="00467A6B"/>
    <w:rsid w:val="00470D80"/>
    <w:rsid w:val="004724AA"/>
    <w:rsid w:val="00480E00"/>
    <w:rsid w:val="00481DEA"/>
    <w:rsid w:val="004A4C4F"/>
    <w:rsid w:val="004A4F58"/>
    <w:rsid w:val="004B0630"/>
    <w:rsid w:val="004B086C"/>
    <w:rsid w:val="004B35D3"/>
    <w:rsid w:val="004B7197"/>
    <w:rsid w:val="004C4328"/>
    <w:rsid w:val="004C538E"/>
    <w:rsid w:val="004C6412"/>
    <w:rsid w:val="004D6313"/>
    <w:rsid w:val="004E6086"/>
    <w:rsid w:val="004F485D"/>
    <w:rsid w:val="00502823"/>
    <w:rsid w:val="00502C8F"/>
    <w:rsid w:val="00503D93"/>
    <w:rsid w:val="00506093"/>
    <w:rsid w:val="00507A26"/>
    <w:rsid w:val="00526787"/>
    <w:rsid w:val="00533390"/>
    <w:rsid w:val="00541850"/>
    <w:rsid w:val="00554BD9"/>
    <w:rsid w:val="005603CB"/>
    <w:rsid w:val="0057107B"/>
    <w:rsid w:val="005760B5"/>
    <w:rsid w:val="0058603F"/>
    <w:rsid w:val="00594850"/>
    <w:rsid w:val="00595CE6"/>
    <w:rsid w:val="005A799F"/>
    <w:rsid w:val="005C14A0"/>
    <w:rsid w:val="005C6D6B"/>
    <w:rsid w:val="005D16AF"/>
    <w:rsid w:val="005D2D12"/>
    <w:rsid w:val="005D369C"/>
    <w:rsid w:val="005D4C26"/>
    <w:rsid w:val="005E025D"/>
    <w:rsid w:val="005E47AA"/>
    <w:rsid w:val="005E4D16"/>
    <w:rsid w:val="005F4FF1"/>
    <w:rsid w:val="0061626D"/>
    <w:rsid w:val="00624AA6"/>
    <w:rsid w:val="00634C9D"/>
    <w:rsid w:val="00642D3B"/>
    <w:rsid w:val="00647F81"/>
    <w:rsid w:val="00650652"/>
    <w:rsid w:val="006515B5"/>
    <w:rsid w:val="006529A9"/>
    <w:rsid w:val="006544C0"/>
    <w:rsid w:val="006550B3"/>
    <w:rsid w:val="00655A39"/>
    <w:rsid w:val="00656F97"/>
    <w:rsid w:val="00677275"/>
    <w:rsid w:val="0068684C"/>
    <w:rsid w:val="00691774"/>
    <w:rsid w:val="00691BA2"/>
    <w:rsid w:val="006935AC"/>
    <w:rsid w:val="006B5FBE"/>
    <w:rsid w:val="006C00D2"/>
    <w:rsid w:val="006C3135"/>
    <w:rsid w:val="006C4C62"/>
    <w:rsid w:val="006C5381"/>
    <w:rsid w:val="006D29F0"/>
    <w:rsid w:val="006E07B4"/>
    <w:rsid w:val="006F34C5"/>
    <w:rsid w:val="006F654D"/>
    <w:rsid w:val="00701531"/>
    <w:rsid w:val="00707813"/>
    <w:rsid w:val="007105DD"/>
    <w:rsid w:val="00711DCE"/>
    <w:rsid w:val="00712D47"/>
    <w:rsid w:val="00715CF4"/>
    <w:rsid w:val="007169C3"/>
    <w:rsid w:val="00736322"/>
    <w:rsid w:val="00746EF3"/>
    <w:rsid w:val="00750B4C"/>
    <w:rsid w:val="00756CA3"/>
    <w:rsid w:val="00757F16"/>
    <w:rsid w:val="0076046B"/>
    <w:rsid w:val="0076073C"/>
    <w:rsid w:val="007705E5"/>
    <w:rsid w:val="00772BDE"/>
    <w:rsid w:val="007737F4"/>
    <w:rsid w:val="00775D9D"/>
    <w:rsid w:val="00781BC0"/>
    <w:rsid w:val="0079028E"/>
    <w:rsid w:val="00796A81"/>
    <w:rsid w:val="007A0853"/>
    <w:rsid w:val="007A1198"/>
    <w:rsid w:val="007A383F"/>
    <w:rsid w:val="007A5E3D"/>
    <w:rsid w:val="007C0E98"/>
    <w:rsid w:val="007C6729"/>
    <w:rsid w:val="007C79C6"/>
    <w:rsid w:val="007D2A86"/>
    <w:rsid w:val="007D69CE"/>
    <w:rsid w:val="007E55C4"/>
    <w:rsid w:val="007E6201"/>
    <w:rsid w:val="007E6D63"/>
    <w:rsid w:val="007F0720"/>
    <w:rsid w:val="007F09AC"/>
    <w:rsid w:val="007F6FE9"/>
    <w:rsid w:val="007F72FC"/>
    <w:rsid w:val="007F7446"/>
    <w:rsid w:val="00803E97"/>
    <w:rsid w:val="008071EA"/>
    <w:rsid w:val="00814C14"/>
    <w:rsid w:val="00816123"/>
    <w:rsid w:val="0082297B"/>
    <w:rsid w:val="008268D8"/>
    <w:rsid w:val="00837133"/>
    <w:rsid w:val="00837CF6"/>
    <w:rsid w:val="00851E97"/>
    <w:rsid w:val="008529E1"/>
    <w:rsid w:val="00853AE6"/>
    <w:rsid w:val="0086560C"/>
    <w:rsid w:val="0086730B"/>
    <w:rsid w:val="008805C9"/>
    <w:rsid w:val="00880E8A"/>
    <w:rsid w:val="0088380A"/>
    <w:rsid w:val="0088772E"/>
    <w:rsid w:val="00891E2B"/>
    <w:rsid w:val="008927A8"/>
    <w:rsid w:val="008960FF"/>
    <w:rsid w:val="008A00BA"/>
    <w:rsid w:val="008A1BB9"/>
    <w:rsid w:val="008A4369"/>
    <w:rsid w:val="008A50F1"/>
    <w:rsid w:val="008B3410"/>
    <w:rsid w:val="008C2A7B"/>
    <w:rsid w:val="008C6099"/>
    <w:rsid w:val="008C7EC3"/>
    <w:rsid w:val="008D610B"/>
    <w:rsid w:val="008E0851"/>
    <w:rsid w:val="008E558C"/>
    <w:rsid w:val="008E63AC"/>
    <w:rsid w:val="008F04B6"/>
    <w:rsid w:val="008F1B85"/>
    <w:rsid w:val="008F5A18"/>
    <w:rsid w:val="00901E85"/>
    <w:rsid w:val="0090337C"/>
    <w:rsid w:val="00906D2A"/>
    <w:rsid w:val="00907CE2"/>
    <w:rsid w:val="00911C65"/>
    <w:rsid w:val="00912328"/>
    <w:rsid w:val="00912A99"/>
    <w:rsid w:val="00915301"/>
    <w:rsid w:val="00915FC5"/>
    <w:rsid w:val="0091792A"/>
    <w:rsid w:val="0092439F"/>
    <w:rsid w:val="009275AF"/>
    <w:rsid w:val="009338AD"/>
    <w:rsid w:val="00934555"/>
    <w:rsid w:val="00935A47"/>
    <w:rsid w:val="00965BBF"/>
    <w:rsid w:val="00974B08"/>
    <w:rsid w:val="0099638E"/>
    <w:rsid w:val="009A299F"/>
    <w:rsid w:val="009A3B86"/>
    <w:rsid w:val="009B09FA"/>
    <w:rsid w:val="009B378E"/>
    <w:rsid w:val="009C7A36"/>
    <w:rsid w:val="009D2127"/>
    <w:rsid w:val="009D7E5A"/>
    <w:rsid w:val="009E14B9"/>
    <w:rsid w:val="009E5B69"/>
    <w:rsid w:val="009F4B1E"/>
    <w:rsid w:val="009F69D1"/>
    <w:rsid w:val="009F6F74"/>
    <w:rsid w:val="00A2660A"/>
    <w:rsid w:val="00A33069"/>
    <w:rsid w:val="00A43012"/>
    <w:rsid w:val="00A4318A"/>
    <w:rsid w:val="00A47B2F"/>
    <w:rsid w:val="00A60C07"/>
    <w:rsid w:val="00A64B10"/>
    <w:rsid w:val="00A67198"/>
    <w:rsid w:val="00A70ADB"/>
    <w:rsid w:val="00A8096F"/>
    <w:rsid w:val="00A8450C"/>
    <w:rsid w:val="00A8502A"/>
    <w:rsid w:val="00A85E59"/>
    <w:rsid w:val="00A86E75"/>
    <w:rsid w:val="00A942E4"/>
    <w:rsid w:val="00AA233D"/>
    <w:rsid w:val="00AA52C4"/>
    <w:rsid w:val="00AB700E"/>
    <w:rsid w:val="00AC2C9A"/>
    <w:rsid w:val="00AD0208"/>
    <w:rsid w:val="00AD76BB"/>
    <w:rsid w:val="00AE0727"/>
    <w:rsid w:val="00AE0BAC"/>
    <w:rsid w:val="00AE1687"/>
    <w:rsid w:val="00AF2A81"/>
    <w:rsid w:val="00AF4331"/>
    <w:rsid w:val="00B04D0E"/>
    <w:rsid w:val="00B13D2D"/>
    <w:rsid w:val="00B163D7"/>
    <w:rsid w:val="00B64FD0"/>
    <w:rsid w:val="00B80A4E"/>
    <w:rsid w:val="00B93AD6"/>
    <w:rsid w:val="00B973A3"/>
    <w:rsid w:val="00BA2765"/>
    <w:rsid w:val="00BB444D"/>
    <w:rsid w:val="00BB536D"/>
    <w:rsid w:val="00BC4D37"/>
    <w:rsid w:val="00BC7C88"/>
    <w:rsid w:val="00BE0B61"/>
    <w:rsid w:val="00BF1912"/>
    <w:rsid w:val="00C0430C"/>
    <w:rsid w:val="00C069F7"/>
    <w:rsid w:val="00C0721C"/>
    <w:rsid w:val="00C12143"/>
    <w:rsid w:val="00C212D0"/>
    <w:rsid w:val="00C21A72"/>
    <w:rsid w:val="00C2254D"/>
    <w:rsid w:val="00C31588"/>
    <w:rsid w:val="00C51D87"/>
    <w:rsid w:val="00C55282"/>
    <w:rsid w:val="00C638E5"/>
    <w:rsid w:val="00C86AD9"/>
    <w:rsid w:val="00C91932"/>
    <w:rsid w:val="00CA26FA"/>
    <w:rsid w:val="00CB047B"/>
    <w:rsid w:val="00CB10F8"/>
    <w:rsid w:val="00CB7B5B"/>
    <w:rsid w:val="00CC1FC9"/>
    <w:rsid w:val="00CC2BE0"/>
    <w:rsid w:val="00CC47A4"/>
    <w:rsid w:val="00CC762F"/>
    <w:rsid w:val="00CD13F2"/>
    <w:rsid w:val="00CD5EA2"/>
    <w:rsid w:val="00CD751F"/>
    <w:rsid w:val="00CE136B"/>
    <w:rsid w:val="00CE1DC6"/>
    <w:rsid w:val="00CE1FFC"/>
    <w:rsid w:val="00D042FF"/>
    <w:rsid w:val="00D25A4F"/>
    <w:rsid w:val="00D33769"/>
    <w:rsid w:val="00D33AE9"/>
    <w:rsid w:val="00D37372"/>
    <w:rsid w:val="00D3740D"/>
    <w:rsid w:val="00D43559"/>
    <w:rsid w:val="00D53EAA"/>
    <w:rsid w:val="00D55FB5"/>
    <w:rsid w:val="00D57082"/>
    <w:rsid w:val="00D61D5D"/>
    <w:rsid w:val="00D64688"/>
    <w:rsid w:val="00D75697"/>
    <w:rsid w:val="00D762E1"/>
    <w:rsid w:val="00D811FD"/>
    <w:rsid w:val="00D85FED"/>
    <w:rsid w:val="00D95638"/>
    <w:rsid w:val="00D96DA9"/>
    <w:rsid w:val="00DA2266"/>
    <w:rsid w:val="00DB16F1"/>
    <w:rsid w:val="00DB201A"/>
    <w:rsid w:val="00DB5510"/>
    <w:rsid w:val="00DB6001"/>
    <w:rsid w:val="00DB7C29"/>
    <w:rsid w:val="00DD29A6"/>
    <w:rsid w:val="00DD4D2E"/>
    <w:rsid w:val="00DD583F"/>
    <w:rsid w:val="00DD7A20"/>
    <w:rsid w:val="00DF0389"/>
    <w:rsid w:val="00DF300F"/>
    <w:rsid w:val="00E11F20"/>
    <w:rsid w:val="00E124DF"/>
    <w:rsid w:val="00E12EF5"/>
    <w:rsid w:val="00E22CEA"/>
    <w:rsid w:val="00E317E5"/>
    <w:rsid w:val="00E35740"/>
    <w:rsid w:val="00E37385"/>
    <w:rsid w:val="00E458DB"/>
    <w:rsid w:val="00E50A60"/>
    <w:rsid w:val="00E55337"/>
    <w:rsid w:val="00E56EA7"/>
    <w:rsid w:val="00E731A0"/>
    <w:rsid w:val="00E74FD9"/>
    <w:rsid w:val="00E75F7F"/>
    <w:rsid w:val="00E865AF"/>
    <w:rsid w:val="00E91E19"/>
    <w:rsid w:val="00EC36CA"/>
    <w:rsid w:val="00ED511B"/>
    <w:rsid w:val="00EE2C8C"/>
    <w:rsid w:val="00EE4DDA"/>
    <w:rsid w:val="00EF5DAE"/>
    <w:rsid w:val="00EF60D2"/>
    <w:rsid w:val="00F01D89"/>
    <w:rsid w:val="00F03866"/>
    <w:rsid w:val="00F05523"/>
    <w:rsid w:val="00F07394"/>
    <w:rsid w:val="00F262BF"/>
    <w:rsid w:val="00F26FCD"/>
    <w:rsid w:val="00F41648"/>
    <w:rsid w:val="00F41B94"/>
    <w:rsid w:val="00F44912"/>
    <w:rsid w:val="00F55661"/>
    <w:rsid w:val="00F67747"/>
    <w:rsid w:val="00F811ED"/>
    <w:rsid w:val="00F85392"/>
    <w:rsid w:val="00F94E42"/>
    <w:rsid w:val="00F95B8F"/>
    <w:rsid w:val="00FA1163"/>
    <w:rsid w:val="00FA352F"/>
    <w:rsid w:val="00FB7135"/>
    <w:rsid w:val="00FC0018"/>
    <w:rsid w:val="00FC03F5"/>
    <w:rsid w:val="00FC2C1C"/>
    <w:rsid w:val="00FC306B"/>
    <w:rsid w:val="00FC7A0D"/>
    <w:rsid w:val="00FE16DB"/>
    <w:rsid w:val="00FE50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A6932"/>
  <w15:chartTrackingRefBased/>
  <w15:docId w15:val="{B43564E2-3967-5E47-96B4-F4A0CDD3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16F1"/>
    <w:rPr>
      <w:rFonts w:ascii="Times New Roman" w:eastAsia="Times New Roman" w:hAnsi="Times New Roman" w:cs="Times New Roman"/>
      <w:lang w:eastAsia="fr-FR"/>
    </w:rPr>
  </w:style>
  <w:style w:type="paragraph" w:styleId="Titolo1">
    <w:name w:val="heading 1"/>
    <w:basedOn w:val="Normale"/>
    <w:next w:val="Normale"/>
    <w:link w:val="Titolo1Carattere"/>
    <w:qFormat/>
    <w:rsid w:val="00FC03F5"/>
    <w:pPr>
      <w:keepNext/>
      <w:jc w:val="both"/>
      <w:outlineLvl w:val="0"/>
    </w:pPr>
    <w:rPr>
      <w:b/>
      <w:bCs/>
    </w:rPr>
  </w:style>
  <w:style w:type="paragraph" w:styleId="Titolo2">
    <w:name w:val="heading 2"/>
    <w:basedOn w:val="Normale"/>
    <w:next w:val="Normale"/>
    <w:link w:val="Titolo2Carattere"/>
    <w:uiPriority w:val="9"/>
    <w:semiHidden/>
    <w:unhideWhenUsed/>
    <w:qFormat/>
    <w:rsid w:val="00E124D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7F6FE9"/>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020009"/>
    <w:pPr>
      <w:spacing w:before="100" w:beforeAutospacing="1" w:after="100" w:afterAutospacing="1"/>
    </w:pPr>
  </w:style>
  <w:style w:type="paragraph" w:styleId="Paragrafoelenco">
    <w:name w:val="List Paragraph"/>
    <w:basedOn w:val="Normale"/>
    <w:uiPriority w:val="1"/>
    <w:qFormat/>
    <w:rsid w:val="00E74FD9"/>
    <w:pPr>
      <w:ind w:left="720"/>
      <w:contextualSpacing/>
    </w:pPr>
  </w:style>
  <w:style w:type="character" w:customStyle="1" w:styleId="Titolo1Carattere">
    <w:name w:val="Titolo 1 Carattere"/>
    <w:basedOn w:val="Carpredefinitoparagrafo"/>
    <w:link w:val="Titolo1"/>
    <w:rsid w:val="00FC03F5"/>
    <w:rPr>
      <w:rFonts w:ascii="Times New Roman" w:eastAsia="Times New Roman" w:hAnsi="Times New Roman" w:cs="Times New Roman"/>
      <w:b/>
      <w:bCs/>
      <w:lang w:eastAsia="fr-FR"/>
    </w:rPr>
  </w:style>
  <w:style w:type="paragraph" w:customStyle="1" w:styleId="docContentchronTITRE">
    <w:name w:val="docContent_chronTITRE"/>
    <w:basedOn w:val="Normale"/>
    <w:rsid w:val="001F4010"/>
    <w:rPr>
      <w:b/>
      <w:bCs/>
      <w:color w:val="BB1126"/>
      <w:sz w:val="17"/>
      <w:szCs w:val="17"/>
    </w:rPr>
  </w:style>
  <w:style w:type="paragraph" w:customStyle="1" w:styleId="docContentchronSTITRE">
    <w:name w:val="docContent_chronSTITRE"/>
    <w:basedOn w:val="Normale"/>
    <w:rsid w:val="001F4010"/>
    <w:rPr>
      <w:b/>
      <w:bCs/>
      <w:sz w:val="17"/>
      <w:szCs w:val="17"/>
    </w:rPr>
  </w:style>
  <w:style w:type="paragraph" w:customStyle="1" w:styleId="docContentchronSIGNATURE">
    <w:name w:val="docContent_chronSIGNATURE"/>
    <w:basedOn w:val="Normale"/>
    <w:rsid w:val="001F4010"/>
    <w:rPr>
      <w:b/>
      <w:bCs/>
      <w:color w:val="555555"/>
    </w:rPr>
  </w:style>
  <w:style w:type="paragraph" w:customStyle="1" w:styleId="docContentRESUFRAN">
    <w:name w:val="docContent_RESUFRAN"/>
    <w:basedOn w:val="Normale"/>
    <w:rsid w:val="001F4010"/>
    <w:pPr>
      <w:pBdr>
        <w:top w:val="none" w:sz="0" w:space="7" w:color="auto"/>
        <w:left w:val="none" w:sz="0" w:space="7" w:color="auto"/>
        <w:bottom w:val="none" w:sz="0" w:space="7" w:color="auto"/>
        <w:right w:val="none" w:sz="0" w:space="7" w:color="auto"/>
      </w:pBdr>
      <w:shd w:val="clear" w:color="auto" w:fill="EFEFEF"/>
    </w:pPr>
    <w:rPr>
      <w:color w:val="000000"/>
      <w:shd w:val="clear" w:color="auto" w:fill="EFEFEF"/>
    </w:rPr>
  </w:style>
  <w:style w:type="character" w:customStyle="1" w:styleId="docContentRESUFRANtitre">
    <w:name w:val="docContent_RESUFRAN_titre"/>
    <w:basedOn w:val="Carpredefinitoparagrafo"/>
    <w:rsid w:val="001F4010"/>
    <w:rPr>
      <w:b/>
      <w:bCs/>
      <w:color w:val="BB1126"/>
    </w:rPr>
  </w:style>
  <w:style w:type="paragraph" w:customStyle="1" w:styleId="docContentfontsize10">
    <w:name w:val="docContent_fontsize10"/>
    <w:basedOn w:val="Normale"/>
    <w:rsid w:val="001F4010"/>
    <w:rPr>
      <w:sz w:val="17"/>
      <w:szCs w:val="17"/>
    </w:rPr>
  </w:style>
  <w:style w:type="paragraph" w:customStyle="1" w:styleId="docContentchronTIT4">
    <w:name w:val="docContent_chronTIT4"/>
    <w:basedOn w:val="Normale"/>
    <w:rsid w:val="001F4010"/>
    <w:rPr>
      <w:b/>
      <w:bCs/>
    </w:rPr>
  </w:style>
  <w:style w:type="character" w:customStyle="1" w:styleId="docContenttitreMotsCles">
    <w:name w:val="docContent_titreMotsCles"/>
    <w:basedOn w:val="Carpredefinitoparagrafo"/>
    <w:rsid w:val="001F4010"/>
    <w:rPr>
      <w:b/>
      <w:bCs/>
      <w:caps/>
      <w:color w:val="BB1126"/>
      <w:sz w:val="17"/>
      <w:szCs w:val="17"/>
    </w:rPr>
  </w:style>
  <w:style w:type="table" w:customStyle="1" w:styleId="docContenttabCommentPopupNDC">
    <w:name w:val="docContent_tabCommentPopupNDC"/>
    <w:basedOn w:val="Tabellanormale"/>
    <w:rsid w:val="001F4010"/>
    <w:rPr>
      <w:rFonts w:ascii="Times New Roman" w:eastAsia="Times New Roman" w:hAnsi="Times New Roman" w:cs="Times New Roman"/>
      <w:sz w:val="20"/>
      <w:szCs w:val="20"/>
      <w:lang w:eastAsia="fr-FR"/>
    </w:rPr>
    <w:tblPr/>
  </w:style>
  <w:style w:type="paragraph" w:styleId="Pidipagina">
    <w:name w:val="footer"/>
    <w:basedOn w:val="Normale"/>
    <w:link w:val="PidipaginaCarattere"/>
    <w:uiPriority w:val="99"/>
    <w:unhideWhenUsed/>
    <w:rsid w:val="0086730B"/>
    <w:pPr>
      <w:tabs>
        <w:tab w:val="center" w:pos="4536"/>
        <w:tab w:val="right" w:pos="9072"/>
      </w:tabs>
    </w:pPr>
  </w:style>
  <w:style w:type="character" w:customStyle="1" w:styleId="PidipaginaCarattere">
    <w:name w:val="Piè di pagina Carattere"/>
    <w:basedOn w:val="Carpredefinitoparagrafo"/>
    <w:link w:val="Pidipagina"/>
    <w:uiPriority w:val="99"/>
    <w:rsid w:val="0086730B"/>
  </w:style>
  <w:style w:type="character" w:styleId="Numeropagina">
    <w:name w:val="page number"/>
    <w:basedOn w:val="Carpredefinitoparagrafo"/>
    <w:uiPriority w:val="99"/>
    <w:semiHidden/>
    <w:unhideWhenUsed/>
    <w:rsid w:val="0086730B"/>
  </w:style>
  <w:style w:type="character" w:styleId="Collegamentoipertestuale">
    <w:name w:val="Hyperlink"/>
    <w:basedOn w:val="Carpredefinitoparagrafo"/>
    <w:uiPriority w:val="99"/>
    <w:unhideWhenUsed/>
    <w:rsid w:val="00634C9D"/>
    <w:rPr>
      <w:color w:val="0563C1" w:themeColor="hyperlink"/>
      <w:u w:val="single"/>
    </w:rPr>
  </w:style>
  <w:style w:type="character" w:styleId="Menzionenonrisolta">
    <w:name w:val="Unresolved Mention"/>
    <w:basedOn w:val="Carpredefinitoparagrafo"/>
    <w:uiPriority w:val="99"/>
    <w:semiHidden/>
    <w:unhideWhenUsed/>
    <w:rsid w:val="00634C9D"/>
    <w:rPr>
      <w:color w:val="605E5C"/>
      <w:shd w:val="clear" w:color="auto" w:fill="E1DFDD"/>
    </w:rPr>
  </w:style>
  <w:style w:type="character" w:styleId="Collegamentovisitato">
    <w:name w:val="FollowedHyperlink"/>
    <w:basedOn w:val="Carpredefinitoparagrafo"/>
    <w:uiPriority w:val="99"/>
    <w:semiHidden/>
    <w:unhideWhenUsed/>
    <w:rsid w:val="00746EF3"/>
    <w:rPr>
      <w:color w:val="954F72" w:themeColor="followedHyperlink"/>
      <w:u w:val="single"/>
    </w:rPr>
  </w:style>
  <w:style w:type="character" w:customStyle="1" w:styleId="apple-converted-space">
    <w:name w:val="apple-converted-space"/>
    <w:basedOn w:val="Carpredefinitoparagrafo"/>
    <w:rsid w:val="006935AC"/>
  </w:style>
  <w:style w:type="paragraph" w:styleId="Intestazione">
    <w:name w:val="header"/>
    <w:basedOn w:val="Normale"/>
    <w:link w:val="IntestazioneCarattere"/>
    <w:unhideWhenUsed/>
    <w:rsid w:val="00F55661"/>
    <w:pPr>
      <w:tabs>
        <w:tab w:val="center" w:pos="4536"/>
        <w:tab w:val="right" w:pos="9072"/>
      </w:tabs>
    </w:pPr>
  </w:style>
  <w:style w:type="character" w:customStyle="1" w:styleId="IntestazioneCarattere">
    <w:name w:val="Intestazione Carattere"/>
    <w:basedOn w:val="Carpredefinitoparagrafo"/>
    <w:link w:val="Intestazione"/>
    <w:rsid w:val="00F55661"/>
    <w:rPr>
      <w:rFonts w:ascii="Times New Roman" w:eastAsia="Times New Roman" w:hAnsi="Times New Roman" w:cs="Times New Roman"/>
      <w:lang w:eastAsia="fr-FR"/>
    </w:rPr>
  </w:style>
  <w:style w:type="character" w:customStyle="1" w:styleId="Titolo2Carattere">
    <w:name w:val="Titolo 2 Carattere"/>
    <w:basedOn w:val="Carpredefinitoparagrafo"/>
    <w:link w:val="Titolo2"/>
    <w:uiPriority w:val="9"/>
    <w:semiHidden/>
    <w:rsid w:val="00E124DF"/>
    <w:rPr>
      <w:rFonts w:asciiTheme="majorHAnsi" w:eastAsiaTheme="majorEastAsia" w:hAnsiTheme="majorHAnsi" w:cstheme="majorBidi"/>
      <w:color w:val="2F5496" w:themeColor="accent1" w:themeShade="BF"/>
      <w:sz w:val="26"/>
      <w:szCs w:val="26"/>
      <w:lang w:eastAsia="fr-FR"/>
    </w:rPr>
  </w:style>
  <w:style w:type="character" w:customStyle="1" w:styleId="titre">
    <w:name w:val="titre"/>
    <w:basedOn w:val="Carpredefinitoparagrafo"/>
    <w:rsid w:val="00E124DF"/>
  </w:style>
  <w:style w:type="character" w:styleId="Enfasigrassetto">
    <w:name w:val="Strong"/>
    <w:basedOn w:val="Carpredefinitoparagrafo"/>
    <w:uiPriority w:val="22"/>
    <w:qFormat/>
    <w:rsid w:val="00E124DF"/>
    <w:rPr>
      <w:b/>
      <w:bCs/>
    </w:rPr>
  </w:style>
  <w:style w:type="paragraph" w:styleId="PreformattatoHTML">
    <w:name w:val="HTML Preformatted"/>
    <w:basedOn w:val="Normale"/>
    <w:link w:val="PreformattatoHTMLCarattere"/>
    <w:uiPriority w:val="99"/>
    <w:unhideWhenUsed/>
    <w:rsid w:val="008F1B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8F1B85"/>
    <w:rPr>
      <w:rFonts w:ascii="Courier New" w:eastAsia="Times New Roman" w:hAnsi="Courier New" w:cs="Courier New"/>
      <w:sz w:val="20"/>
      <w:szCs w:val="20"/>
      <w:lang w:eastAsia="fr-FR"/>
    </w:rPr>
  </w:style>
  <w:style w:type="paragraph" w:customStyle="1" w:styleId="Default">
    <w:name w:val="Default"/>
    <w:rsid w:val="008F1B85"/>
    <w:pPr>
      <w:autoSpaceDE w:val="0"/>
      <w:autoSpaceDN w:val="0"/>
      <w:adjustRightInd w:val="0"/>
    </w:pPr>
    <w:rPr>
      <w:rFonts w:ascii="Times New Roman" w:eastAsia="Times New Roman" w:hAnsi="Times New Roman" w:cs="Times New Roman"/>
      <w:color w:val="000000"/>
      <w:lang w:eastAsia="fr-FR"/>
    </w:rPr>
  </w:style>
  <w:style w:type="table" w:customStyle="1" w:styleId="TableNormal">
    <w:name w:val="Table Normal"/>
    <w:uiPriority w:val="2"/>
    <w:semiHidden/>
    <w:unhideWhenUsed/>
    <w:qFormat/>
    <w:rsid w:val="008F1B85"/>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8F1B85"/>
    <w:pPr>
      <w:widowControl w:val="0"/>
      <w:autoSpaceDE w:val="0"/>
      <w:autoSpaceDN w:val="0"/>
      <w:ind w:left="777"/>
    </w:pPr>
    <w:rPr>
      <w:lang w:val="en-US" w:eastAsia="en-US"/>
    </w:rPr>
  </w:style>
  <w:style w:type="character" w:customStyle="1" w:styleId="CorpotestoCarattere">
    <w:name w:val="Corpo testo Carattere"/>
    <w:basedOn w:val="Carpredefinitoparagrafo"/>
    <w:link w:val="Corpotesto"/>
    <w:uiPriority w:val="1"/>
    <w:rsid w:val="008F1B85"/>
    <w:rPr>
      <w:rFonts w:ascii="Times New Roman" w:eastAsia="Times New Roman" w:hAnsi="Times New Roman" w:cs="Times New Roman"/>
      <w:lang w:val="en-US"/>
    </w:rPr>
  </w:style>
  <w:style w:type="paragraph" w:customStyle="1" w:styleId="TableParagraph">
    <w:name w:val="Table Paragraph"/>
    <w:basedOn w:val="Normale"/>
    <w:uiPriority w:val="1"/>
    <w:qFormat/>
    <w:rsid w:val="008F1B85"/>
    <w:pPr>
      <w:widowControl w:val="0"/>
      <w:autoSpaceDE w:val="0"/>
      <w:autoSpaceDN w:val="0"/>
    </w:pPr>
    <w:rPr>
      <w:sz w:val="22"/>
      <w:szCs w:val="22"/>
      <w:lang w:val="en-US" w:eastAsia="en-US"/>
    </w:rPr>
  </w:style>
  <w:style w:type="paragraph" w:customStyle="1" w:styleId="spip">
    <w:name w:val="spip"/>
    <w:basedOn w:val="Normale"/>
    <w:rsid w:val="008F1B85"/>
    <w:pPr>
      <w:spacing w:before="100" w:beforeAutospacing="1" w:after="100" w:afterAutospacing="1"/>
    </w:pPr>
  </w:style>
  <w:style w:type="character" w:customStyle="1" w:styleId="Titolo3Carattere">
    <w:name w:val="Titolo 3 Carattere"/>
    <w:basedOn w:val="Carpredefinitoparagrafo"/>
    <w:link w:val="Titolo3"/>
    <w:uiPriority w:val="9"/>
    <w:semiHidden/>
    <w:rsid w:val="007F6FE9"/>
    <w:rPr>
      <w:rFonts w:asciiTheme="majorHAnsi" w:eastAsiaTheme="majorEastAsia" w:hAnsiTheme="majorHAnsi" w:cstheme="majorBidi"/>
      <w:color w:val="1F3763" w:themeColor="accent1" w:themeShade="7F"/>
      <w:lang w:eastAsia="fr-FR"/>
    </w:rPr>
  </w:style>
  <w:style w:type="character" w:customStyle="1" w:styleId="apple-tab-span">
    <w:name w:val="apple-tab-span"/>
    <w:basedOn w:val="Carpredefinitoparagrafo"/>
    <w:rsid w:val="002E3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99639">
      <w:bodyDiv w:val="1"/>
      <w:marLeft w:val="0"/>
      <w:marRight w:val="0"/>
      <w:marTop w:val="0"/>
      <w:marBottom w:val="0"/>
      <w:divBdr>
        <w:top w:val="none" w:sz="0" w:space="0" w:color="auto"/>
        <w:left w:val="none" w:sz="0" w:space="0" w:color="auto"/>
        <w:bottom w:val="none" w:sz="0" w:space="0" w:color="auto"/>
        <w:right w:val="none" w:sz="0" w:space="0" w:color="auto"/>
      </w:divBdr>
    </w:div>
    <w:div w:id="19867303">
      <w:bodyDiv w:val="1"/>
      <w:marLeft w:val="0"/>
      <w:marRight w:val="0"/>
      <w:marTop w:val="0"/>
      <w:marBottom w:val="0"/>
      <w:divBdr>
        <w:top w:val="none" w:sz="0" w:space="0" w:color="auto"/>
        <w:left w:val="none" w:sz="0" w:space="0" w:color="auto"/>
        <w:bottom w:val="none" w:sz="0" w:space="0" w:color="auto"/>
        <w:right w:val="none" w:sz="0" w:space="0" w:color="auto"/>
      </w:divBdr>
    </w:div>
    <w:div w:id="128476236">
      <w:bodyDiv w:val="1"/>
      <w:marLeft w:val="0"/>
      <w:marRight w:val="0"/>
      <w:marTop w:val="0"/>
      <w:marBottom w:val="0"/>
      <w:divBdr>
        <w:top w:val="none" w:sz="0" w:space="0" w:color="auto"/>
        <w:left w:val="none" w:sz="0" w:space="0" w:color="auto"/>
        <w:bottom w:val="none" w:sz="0" w:space="0" w:color="auto"/>
        <w:right w:val="none" w:sz="0" w:space="0" w:color="auto"/>
      </w:divBdr>
    </w:div>
    <w:div w:id="172838551">
      <w:bodyDiv w:val="1"/>
      <w:marLeft w:val="0"/>
      <w:marRight w:val="0"/>
      <w:marTop w:val="0"/>
      <w:marBottom w:val="0"/>
      <w:divBdr>
        <w:top w:val="none" w:sz="0" w:space="0" w:color="auto"/>
        <w:left w:val="none" w:sz="0" w:space="0" w:color="auto"/>
        <w:bottom w:val="none" w:sz="0" w:space="0" w:color="auto"/>
        <w:right w:val="none" w:sz="0" w:space="0" w:color="auto"/>
      </w:divBdr>
      <w:divsChild>
        <w:div w:id="423570232">
          <w:marLeft w:val="0"/>
          <w:marRight w:val="0"/>
          <w:marTop w:val="0"/>
          <w:marBottom w:val="0"/>
          <w:divBdr>
            <w:top w:val="none" w:sz="0" w:space="0" w:color="auto"/>
            <w:left w:val="none" w:sz="0" w:space="0" w:color="auto"/>
            <w:bottom w:val="none" w:sz="0" w:space="0" w:color="auto"/>
            <w:right w:val="none" w:sz="0" w:space="0" w:color="auto"/>
          </w:divBdr>
          <w:divsChild>
            <w:div w:id="806553773">
              <w:marLeft w:val="0"/>
              <w:marRight w:val="0"/>
              <w:marTop w:val="0"/>
              <w:marBottom w:val="0"/>
              <w:divBdr>
                <w:top w:val="none" w:sz="0" w:space="0" w:color="auto"/>
                <w:left w:val="none" w:sz="0" w:space="0" w:color="auto"/>
                <w:bottom w:val="none" w:sz="0" w:space="0" w:color="auto"/>
                <w:right w:val="none" w:sz="0" w:space="0" w:color="auto"/>
              </w:divBdr>
              <w:divsChild>
                <w:div w:id="227153816">
                  <w:marLeft w:val="0"/>
                  <w:marRight w:val="0"/>
                  <w:marTop w:val="0"/>
                  <w:marBottom w:val="0"/>
                  <w:divBdr>
                    <w:top w:val="none" w:sz="0" w:space="0" w:color="auto"/>
                    <w:left w:val="none" w:sz="0" w:space="0" w:color="auto"/>
                    <w:bottom w:val="none" w:sz="0" w:space="0" w:color="auto"/>
                    <w:right w:val="none" w:sz="0" w:space="0" w:color="auto"/>
                  </w:divBdr>
                  <w:divsChild>
                    <w:div w:id="53673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50037">
              <w:marLeft w:val="0"/>
              <w:marRight w:val="0"/>
              <w:marTop w:val="0"/>
              <w:marBottom w:val="0"/>
              <w:divBdr>
                <w:top w:val="none" w:sz="0" w:space="0" w:color="auto"/>
                <w:left w:val="none" w:sz="0" w:space="0" w:color="auto"/>
                <w:bottom w:val="none" w:sz="0" w:space="0" w:color="auto"/>
                <w:right w:val="none" w:sz="0" w:space="0" w:color="auto"/>
              </w:divBdr>
              <w:divsChild>
                <w:div w:id="522481180">
                  <w:marLeft w:val="0"/>
                  <w:marRight w:val="0"/>
                  <w:marTop w:val="0"/>
                  <w:marBottom w:val="0"/>
                  <w:divBdr>
                    <w:top w:val="none" w:sz="0" w:space="0" w:color="auto"/>
                    <w:left w:val="none" w:sz="0" w:space="0" w:color="auto"/>
                    <w:bottom w:val="none" w:sz="0" w:space="0" w:color="auto"/>
                    <w:right w:val="none" w:sz="0" w:space="0" w:color="auto"/>
                  </w:divBdr>
                  <w:divsChild>
                    <w:div w:id="165474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356480">
              <w:marLeft w:val="0"/>
              <w:marRight w:val="0"/>
              <w:marTop w:val="0"/>
              <w:marBottom w:val="0"/>
              <w:divBdr>
                <w:top w:val="none" w:sz="0" w:space="0" w:color="auto"/>
                <w:left w:val="none" w:sz="0" w:space="0" w:color="auto"/>
                <w:bottom w:val="none" w:sz="0" w:space="0" w:color="auto"/>
                <w:right w:val="none" w:sz="0" w:space="0" w:color="auto"/>
              </w:divBdr>
              <w:divsChild>
                <w:div w:id="20089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474197">
      <w:bodyDiv w:val="1"/>
      <w:marLeft w:val="0"/>
      <w:marRight w:val="0"/>
      <w:marTop w:val="0"/>
      <w:marBottom w:val="0"/>
      <w:divBdr>
        <w:top w:val="none" w:sz="0" w:space="0" w:color="auto"/>
        <w:left w:val="none" w:sz="0" w:space="0" w:color="auto"/>
        <w:bottom w:val="none" w:sz="0" w:space="0" w:color="auto"/>
        <w:right w:val="none" w:sz="0" w:space="0" w:color="auto"/>
      </w:divBdr>
    </w:div>
    <w:div w:id="327098867">
      <w:bodyDiv w:val="1"/>
      <w:marLeft w:val="0"/>
      <w:marRight w:val="0"/>
      <w:marTop w:val="0"/>
      <w:marBottom w:val="0"/>
      <w:divBdr>
        <w:top w:val="none" w:sz="0" w:space="0" w:color="auto"/>
        <w:left w:val="none" w:sz="0" w:space="0" w:color="auto"/>
        <w:bottom w:val="none" w:sz="0" w:space="0" w:color="auto"/>
        <w:right w:val="none" w:sz="0" w:space="0" w:color="auto"/>
      </w:divBdr>
      <w:divsChild>
        <w:div w:id="1794981973">
          <w:marLeft w:val="0"/>
          <w:marRight w:val="0"/>
          <w:marTop w:val="0"/>
          <w:marBottom w:val="0"/>
          <w:divBdr>
            <w:top w:val="none" w:sz="0" w:space="0" w:color="auto"/>
            <w:left w:val="none" w:sz="0" w:space="0" w:color="auto"/>
            <w:bottom w:val="none" w:sz="0" w:space="0" w:color="auto"/>
            <w:right w:val="none" w:sz="0" w:space="0" w:color="auto"/>
          </w:divBdr>
          <w:divsChild>
            <w:div w:id="1521505919">
              <w:marLeft w:val="0"/>
              <w:marRight w:val="0"/>
              <w:marTop w:val="0"/>
              <w:marBottom w:val="0"/>
              <w:divBdr>
                <w:top w:val="none" w:sz="0" w:space="0" w:color="auto"/>
                <w:left w:val="none" w:sz="0" w:space="0" w:color="auto"/>
                <w:bottom w:val="none" w:sz="0" w:space="0" w:color="auto"/>
                <w:right w:val="none" w:sz="0" w:space="0" w:color="auto"/>
              </w:divBdr>
              <w:divsChild>
                <w:div w:id="392116901">
                  <w:marLeft w:val="0"/>
                  <w:marRight w:val="0"/>
                  <w:marTop w:val="0"/>
                  <w:marBottom w:val="0"/>
                  <w:divBdr>
                    <w:top w:val="none" w:sz="0" w:space="0" w:color="auto"/>
                    <w:left w:val="none" w:sz="0" w:space="0" w:color="auto"/>
                    <w:bottom w:val="none" w:sz="0" w:space="0" w:color="auto"/>
                    <w:right w:val="none" w:sz="0" w:space="0" w:color="auto"/>
                  </w:divBdr>
                  <w:divsChild>
                    <w:div w:id="172386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909647">
      <w:bodyDiv w:val="1"/>
      <w:marLeft w:val="0"/>
      <w:marRight w:val="0"/>
      <w:marTop w:val="0"/>
      <w:marBottom w:val="0"/>
      <w:divBdr>
        <w:top w:val="none" w:sz="0" w:space="0" w:color="auto"/>
        <w:left w:val="none" w:sz="0" w:space="0" w:color="auto"/>
        <w:bottom w:val="none" w:sz="0" w:space="0" w:color="auto"/>
        <w:right w:val="none" w:sz="0" w:space="0" w:color="auto"/>
      </w:divBdr>
    </w:div>
    <w:div w:id="567769875">
      <w:bodyDiv w:val="1"/>
      <w:marLeft w:val="0"/>
      <w:marRight w:val="0"/>
      <w:marTop w:val="0"/>
      <w:marBottom w:val="0"/>
      <w:divBdr>
        <w:top w:val="none" w:sz="0" w:space="0" w:color="auto"/>
        <w:left w:val="none" w:sz="0" w:space="0" w:color="auto"/>
        <w:bottom w:val="none" w:sz="0" w:space="0" w:color="auto"/>
        <w:right w:val="none" w:sz="0" w:space="0" w:color="auto"/>
      </w:divBdr>
    </w:div>
    <w:div w:id="682828471">
      <w:bodyDiv w:val="1"/>
      <w:marLeft w:val="0"/>
      <w:marRight w:val="0"/>
      <w:marTop w:val="0"/>
      <w:marBottom w:val="0"/>
      <w:divBdr>
        <w:top w:val="none" w:sz="0" w:space="0" w:color="auto"/>
        <w:left w:val="none" w:sz="0" w:space="0" w:color="auto"/>
        <w:bottom w:val="none" w:sz="0" w:space="0" w:color="auto"/>
        <w:right w:val="none" w:sz="0" w:space="0" w:color="auto"/>
      </w:divBdr>
    </w:div>
    <w:div w:id="736125080">
      <w:bodyDiv w:val="1"/>
      <w:marLeft w:val="0"/>
      <w:marRight w:val="0"/>
      <w:marTop w:val="0"/>
      <w:marBottom w:val="0"/>
      <w:divBdr>
        <w:top w:val="none" w:sz="0" w:space="0" w:color="auto"/>
        <w:left w:val="none" w:sz="0" w:space="0" w:color="auto"/>
        <w:bottom w:val="none" w:sz="0" w:space="0" w:color="auto"/>
        <w:right w:val="none" w:sz="0" w:space="0" w:color="auto"/>
      </w:divBdr>
    </w:div>
    <w:div w:id="736904876">
      <w:bodyDiv w:val="1"/>
      <w:marLeft w:val="0"/>
      <w:marRight w:val="0"/>
      <w:marTop w:val="0"/>
      <w:marBottom w:val="0"/>
      <w:divBdr>
        <w:top w:val="none" w:sz="0" w:space="0" w:color="auto"/>
        <w:left w:val="none" w:sz="0" w:space="0" w:color="auto"/>
        <w:bottom w:val="none" w:sz="0" w:space="0" w:color="auto"/>
        <w:right w:val="none" w:sz="0" w:space="0" w:color="auto"/>
      </w:divBdr>
    </w:div>
    <w:div w:id="744035292">
      <w:bodyDiv w:val="1"/>
      <w:marLeft w:val="0"/>
      <w:marRight w:val="0"/>
      <w:marTop w:val="0"/>
      <w:marBottom w:val="0"/>
      <w:divBdr>
        <w:top w:val="none" w:sz="0" w:space="0" w:color="auto"/>
        <w:left w:val="none" w:sz="0" w:space="0" w:color="auto"/>
        <w:bottom w:val="none" w:sz="0" w:space="0" w:color="auto"/>
        <w:right w:val="none" w:sz="0" w:space="0" w:color="auto"/>
      </w:divBdr>
    </w:div>
    <w:div w:id="766265435">
      <w:bodyDiv w:val="1"/>
      <w:marLeft w:val="0"/>
      <w:marRight w:val="0"/>
      <w:marTop w:val="0"/>
      <w:marBottom w:val="0"/>
      <w:divBdr>
        <w:top w:val="none" w:sz="0" w:space="0" w:color="auto"/>
        <w:left w:val="none" w:sz="0" w:space="0" w:color="auto"/>
        <w:bottom w:val="none" w:sz="0" w:space="0" w:color="auto"/>
        <w:right w:val="none" w:sz="0" w:space="0" w:color="auto"/>
      </w:divBdr>
    </w:div>
    <w:div w:id="792140459">
      <w:bodyDiv w:val="1"/>
      <w:marLeft w:val="0"/>
      <w:marRight w:val="0"/>
      <w:marTop w:val="0"/>
      <w:marBottom w:val="0"/>
      <w:divBdr>
        <w:top w:val="none" w:sz="0" w:space="0" w:color="auto"/>
        <w:left w:val="none" w:sz="0" w:space="0" w:color="auto"/>
        <w:bottom w:val="none" w:sz="0" w:space="0" w:color="auto"/>
        <w:right w:val="none" w:sz="0" w:space="0" w:color="auto"/>
      </w:divBdr>
      <w:divsChild>
        <w:div w:id="1583102224">
          <w:marLeft w:val="0"/>
          <w:marRight w:val="0"/>
          <w:marTop w:val="0"/>
          <w:marBottom w:val="0"/>
          <w:divBdr>
            <w:top w:val="none" w:sz="0" w:space="0" w:color="auto"/>
            <w:left w:val="none" w:sz="0" w:space="0" w:color="auto"/>
            <w:bottom w:val="none" w:sz="0" w:space="0" w:color="auto"/>
            <w:right w:val="none" w:sz="0" w:space="0" w:color="auto"/>
          </w:divBdr>
          <w:divsChild>
            <w:div w:id="1609660033">
              <w:marLeft w:val="0"/>
              <w:marRight w:val="0"/>
              <w:marTop w:val="0"/>
              <w:marBottom w:val="0"/>
              <w:divBdr>
                <w:top w:val="none" w:sz="0" w:space="0" w:color="auto"/>
                <w:left w:val="none" w:sz="0" w:space="0" w:color="auto"/>
                <w:bottom w:val="none" w:sz="0" w:space="0" w:color="auto"/>
                <w:right w:val="none" w:sz="0" w:space="0" w:color="auto"/>
              </w:divBdr>
              <w:divsChild>
                <w:div w:id="119789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6418">
      <w:bodyDiv w:val="1"/>
      <w:marLeft w:val="0"/>
      <w:marRight w:val="0"/>
      <w:marTop w:val="0"/>
      <w:marBottom w:val="0"/>
      <w:divBdr>
        <w:top w:val="none" w:sz="0" w:space="0" w:color="auto"/>
        <w:left w:val="none" w:sz="0" w:space="0" w:color="auto"/>
        <w:bottom w:val="none" w:sz="0" w:space="0" w:color="auto"/>
        <w:right w:val="none" w:sz="0" w:space="0" w:color="auto"/>
      </w:divBdr>
      <w:divsChild>
        <w:div w:id="303197116">
          <w:marLeft w:val="0"/>
          <w:marRight w:val="0"/>
          <w:marTop w:val="72"/>
          <w:marBottom w:val="72"/>
          <w:divBdr>
            <w:top w:val="none" w:sz="0" w:space="0" w:color="auto"/>
            <w:left w:val="none" w:sz="0" w:space="0" w:color="auto"/>
            <w:bottom w:val="none" w:sz="0" w:space="0" w:color="auto"/>
            <w:right w:val="none" w:sz="0" w:space="0" w:color="auto"/>
          </w:divBdr>
        </w:div>
        <w:div w:id="551506490">
          <w:marLeft w:val="0"/>
          <w:marRight w:val="0"/>
          <w:marTop w:val="0"/>
          <w:marBottom w:val="0"/>
          <w:divBdr>
            <w:top w:val="none" w:sz="0" w:space="0" w:color="auto"/>
            <w:left w:val="none" w:sz="0" w:space="0" w:color="auto"/>
            <w:bottom w:val="none" w:sz="0" w:space="0" w:color="auto"/>
            <w:right w:val="none" w:sz="0" w:space="0" w:color="auto"/>
          </w:divBdr>
        </w:div>
        <w:div w:id="681779243">
          <w:marLeft w:val="0"/>
          <w:marRight w:val="0"/>
          <w:marTop w:val="0"/>
          <w:marBottom w:val="150"/>
          <w:divBdr>
            <w:top w:val="none" w:sz="0" w:space="0" w:color="auto"/>
            <w:left w:val="none" w:sz="0" w:space="0" w:color="auto"/>
            <w:bottom w:val="none" w:sz="0" w:space="0" w:color="auto"/>
            <w:right w:val="none" w:sz="0" w:space="0" w:color="auto"/>
          </w:divBdr>
          <w:divsChild>
            <w:div w:id="59397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10273">
      <w:bodyDiv w:val="1"/>
      <w:marLeft w:val="0"/>
      <w:marRight w:val="0"/>
      <w:marTop w:val="0"/>
      <w:marBottom w:val="0"/>
      <w:divBdr>
        <w:top w:val="none" w:sz="0" w:space="0" w:color="auto"/>
        <w:left w:val="none" w:sz="0" w:space="0" w:color="auto"/>
        <w:bottom w:val="none" w:sz="0" w:space="0" w:color="auto"/>
        <w:right w:val="none" w:sz="0" w:space="0" w:color="auto"/>
      </w:divBdr>
    </w:div>
    <w:div w:id="1092551558">
      <w:bodyDiv w:val="1"/>
      <w:marLeft w:val="0"/>
      <w:marRight w:val="0"/>
      <w:marTop w:val="0"/>
      <w:marBottom w:val="0"/>
      <w:divBdr>
        <w:top w:val="none" w:sz="0" w:space="0" w:color="auto"/>
        <w:left w:val="none" w:sz="0" w:space="0" w:color="auto"/>
        <w:bottom w:val="none" w:sz="0" w:space="0" w:color="auto"/>
        <w:right w:val="none" w:sz="0" w:space="0" w:color="auto"/>
      </w:divBdr>
    </w:div>
    <w:div w:id="1100031889">
      <w:bodyDiv w:val="1"/>
      <w:marLeft w:val="0"/>
      <w:marRight w:val="0"/>
      <w:marTop w:val="0"/>
      <w:marBottom w:val="0"/>
      <w:divBdr>
        <w:top w:val="none" w:sz="0" w:space="0" w:color="auto"/>
        <w:left w:val="none" w:sz="0" w:space="0" w:color="auto"/>
        <w:bottom w:val="none" w:sz="0" w:space="0" w:color="auto"/>
        <w:right w:val="none" w:sz="0" w:space="0" w:color="auto"/>
      </w:divBdr>
    </w:div>
    <w:div w:id="1109543068">
      <w:bodyDiv w:val="1"/>
      <w:marLeft w:val="0"/>
      <w:marRight w:val="0"/>
      <w:marTop w:val="0"/>
      <w:marBottom w:val="0"/>
      <w:divBdr>
        <w:top w:val="none" w:sz="0" w:space="0" w:color="auto"/>
        <w:left w:val="none" w:sz="0" w:space="0" w:color="auto"/>
        <w:bottom w:val="none" w:sz="0" w:space="0" w:color="auto"/>
        <w:right w:val="none" w:sz="0" w:space="0" w:color="auto"/>
      </w:divBdr>
    </w:div>
    <w:div w:id="1121221132">
      <w:bodyDiv w:val="1"/>
      <w:marLeft w:val="0"/>
      <w:marRight w:val="0"/>
      <w:marTop w:val="0"/>
      <w:marBottom w:val="0"/>
      <w:divBdr>
        <w:top w:val="none" w:sz="0" w:space="0" w:color="auto"/>
        <w:left w:val="none" w:sz="0" w:space="0" w:color="auto"/>
        <w:bottom w:val="none" w:sz="0" w:space="0" w:color="auto"/>
        <w:right w:val="none" w:sz="0" w:space="0" w:color="auto"/>
      </w:divBdr>
      <w:divsChild>
        <w:div w:id="1393189092">
          <w:marLeft w:val="0"/>
          <w:marRight w:val="0"/>
          <w:marTop w:val="0"/>
          <w:marBottom w:val="0"/>
          <w:divBdr>
            <w:top w:val="none" w:sz="0" w:space="0" w:color="auto"/>
            <w:left w:val="none" w:sz="0" w:space="0" w:color="auto"/>
            <w:bottom w:val="none" w:sz="0" w:space="0" w:color="auto"/>
            <w:right w:val="none" w:sz="0" w:space="0" w:color="auto"/>
          </w:divBdr>
          <w:divsChild>
            <w:div w:id="903682555">
              <w:marLeft w:val="0"/>
              <w:marRight w:val="0"/>
              <w:marTop w:val="0"/>
              <w:marBottom w:val="0"/>
              <w:divBdr>
                <w:top w:val="none" w:sz="0" w:space="0" w:color="auto"/>
                <w:left w:val="none" w:sz="0" w:space="0" w:color="auto"/>
                <w:bottom w:val="none" w:sz="0" w:space="0" w:color="auto"/>
                <w:right w:val="none" w:sz="0" w:space="0" w:color="auto"/>
              </w:divBdr>
              <w:divsChild>
                <w:div w:id="6293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973477">
      <w:bodyDiv w:val="1"/>
      <w:marLeft w:val="0"/>
      <w:marRight w:val="0"/>
      <w:marTop w:val="0"/>
      <w:marBottom w:val="0"/>
      <w:divBdr>
        <w:top w:val="none" w:sz="0" w:space="0" w:color="auto"/>
        <w:left w:val="none" w:sz="0" w:space="0" w:color="auto"/>
        <w:bottom w:val="none" w:sz="0" w:space="0" w:color="auto"/>
        <w:right w:val="none" w:sz="0" w:space="0" w:color="auto"/>
      </w:divBdr>
    </w:div>
    <w:div w:id="1199077310">
      <w:bodyDiv w:val="1"/>
      <w:marLeft w:val="0"/>
      <w:marRight w:val="0"/>
      <w:marTop w:val="0"/>
      <w:marBottom w:val="0"/>
      <w:divBdr>
        <w:top w:val="none" w:sz="0" w:space="0" w:color="auto"/>
        <w:left w:val="none" w:sz="0" w:space="0" w:color="auto"/>
        <w:bottom w:val="none" w:sz="0" w:space="0" w:color="auto"/>
        <w:right w:val="none" w:sz="0" w:space="0" w:color="auto"/>
      </w:divBdr>
      <w:divsChild>
        <w:div w:id="1099563080">
          <w:marLeft w:val="0"/>
          <w:marRight w:val="0"/>
          <w:marTop w:val="0"/>
          <w:marBottom w:val="0"/>
          <w:divBdr>
            <w:top w:val="none" w:sz="0" w:space="0" w:color="auto"/>
            <w:left w:val="none" w:sz="0" w:space="0" w:color="auto"/>
            <w:bottom w:val="none" w:sz="0" w:space="0" w:color="auto"/>
            <w:right w:val="none" w:sz="0" w:space="0" w:color="auto"/>
          </w:divBdr>
          <w:divsChild>
            <w:div w:id="1559245946">
              <w:marLeft w:val="0"/>
              <w:marRight w:val="0"/>
              <w:marTop w:val="0"/>
              <w:marBottom w:val="0"/>
              <w:divBdr>
                <w:top w:val="none" w:sz="0" w:space="0" w:color="auto"/>
                <w:left w:val="none" w:sz="0" w:space="0" w:color="auto"/>
                <w:bottom w:val="none" w:sz="0" w:space="0" w:color="auto"/>
                <w:right w:val="none" w:sz="0" w:space="0" w:color="auto"/>
              </w:divBdr>
              <w:divsChild>
                <w:div w:id="11045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143241">
      <w:bodyDiv w:val="1"/>
      <w:marLeft w:val="0"/>
      <w:marRight w:val="0"/>
      <w:marTop w:val="0"/>
      <w:marBottom w:val="0"/>
      <w:divBdr>
        <w:top w:val="none" w:sz="0" w:space="0" w:color="auto"/>
        <w:left w:val="none" w:sz="0" w:space="0" w:color="auto"/>
        <w:bottom w:val="none" w:sz="0" w:space="0" w:color="auto"/>
        <w:right w:val="none" w:sz="0" w:space="0" w:color="auto"/>
      </w:divBdr>
    </w:div>
    <w:div w:id="1329165092">
      <w:bodyDiv w:val="1"/>
      <w:marLeft w:val="0"/>
      <w:marRight w:val="0"/>
      <w:marTop w:val="0"/>
      <w:marBottom w:val="0"/>
      <w:divBdr>
        <w:top w:val="none" w:sz="0" w:space="0" w:color="auto"/>
        <w:left w:val="none" w:sz="0" w:space="0" w:color="auto"/>
        <w:bottom w:val="none" w:sz="0" w:space="0" w:color="auto"/>
        <w:right w:val="none" w:sz="0" w:space="0" w:color="auto"/>
      </w:divBdr>
    </w:div>
    <w:div w:id="1390618761">
      <w:bodyDiv w:val="1"/>
      <w:marLeft w:val="0"/>
      <w:marRight w:val="0"/>
      <w:marTop w:val="0"/>
      <w:marBottom w:val="0"/>
      <w:divBdr>
        <w:top w:val="none" w:sz="0" w:space="0" w:color="auto"/>
        <w:left w:val="none" w:sz="0" w:space="0" w:color="auto"/>
        <w:bottom w:val="none" w:sz="0" w:space="0" w:color="auto"/>
        <w:right w:val="none" w:sz="0" w:space="0" w:color="auto"/>
      </w:divBdr>
    </w:div>
    <w:div w:id="1391883183">
      <w:bodyDiv w:val="1"/>
      <w:marLeft w:val="0"/>
      <w:marRight w:val="0"/>
      <w:marTop w:val="0"/>
      <w:marBottom w:val="0"/>
      <w:divBdr>
        <w:top w:val="none" w:sz="0" w:space="0" w:color="auto"/>
        <w:left w:val="none" w:sz="0" w:space="0" w:color="auto"/>
        <w:bottom w:val="none" w:sz="0" w:space="0" w:color="auto"/>
        <w:right w:val="none" w:sz="0" w:space="0" w:color="auto"/>
      </w:divBdr>
    </w:div>
    <w:div w:id="1414936880">
      <w:bodyDiv w:val="1"/>
      <w:marLeft w:val="0"/>
      <w:marRight w:val="0"/>
      <w:marTop w:val="0"/>
      <w:marBottom w:val="0"/>
      <w:divBdr>
        <w:top w:val="none" w:sz="0" w:space="0" w:color="auto"/>
        <w:left w:val="none" w:sz="0" w:space="0" w:color="auto"/>
        <w:bottom w:val="none" w:sz="0" w:space="0" w:color="auto"/>
        <w:right w:val="none" w:sz="0" w:space="0" w:color="auto"/>
      </w:divBdr>
    </w:div>
    <w:div w:id="1422681540">
      <w:bodyDiv w:val="1"/>
      <w:marLeft w:val="0"/>
      <w:marRight w:val="0"/>
      <w:marTop w:val="0"/>
      <w:marBottom w:val="0"/>
      <w:divBdr>
        <w:top w:val="none" w:sz="0" w:space="0" w:color="auto"/>
        <w:left w:val="none" w:sz="0" w:space="0" w:color="auto"/>
        <w:bottom w:val="none" w:sz="0" w:space="0" w:color="auto"/>
        <w:right w:val="none" w:sz="0" w:space="0" w:color="auto"/>
      </w:divBdr>
      <w:divsChild>
        <w:div w:id="1655723640">
          <w:marLeft w:val="0"/>
          <w:marRight w:val="0"/>
          <w:marTop w:val="0"/>
          <w:marBottom w:val="0"/>
          <w:divBdr>
            <w:top w:val="none" w:sz="0" w:space="0" w:color="auto"/>
            <w:left w:val="none" w:sz="0" w:space="0" w:color="auto"/>
            <w:bottom w:val="none" w:sz="0" w:space="0" w:color="auto"/>
            <w:right w:val="none" w:sz="0" w:space="0" w:color="auto"/>
          </w:divBdr>
          <w:divsChild>
            <w:div w:id="642125277">
              <w:marLeft w:val="0"/>
              <w:marRight w:val="0"/>
              <w:marTop w:val="0"/>
              <w:marBottom w:val="0"/>
              <w:divBdr>
                <w:top w:val="none" w:sz="0" w:space="0" w:color="auto"/>
                <w:left w:val="none" w:sz="0" w:space="0" w:color="auto"/>
                <w:bottom w:val="none" w:sz="0" w:space="0" w:color="auto"/>
                <w:right w:val="none" w:sz="0" w:space="0" w:color="auto"/>
              </w:divBdr>
              <w:divsChild>
                <w:div w:id="11641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84407">
      <w:bodyDiv w:val="1"/>
      <w:marLeft w:val="0"/>
      <w:marRight w:val="0"/>
      <w:marTop w:val="0"/>
      <w:marBottom w:val="0"/>
      <w:divBdr>
        <w:top w:val="none" w:sz="0" w:space="0" w:color="auto"/>
        <w:left w:val="none" w:sz="0" w:space="0" w:color="auto"/>
        <w:bottom w:val="none" w:sz="0" w:space="0" w:color="auto"/>
        <w:right w:val="none" w:sz="0" w:space="0" w:color="auto"/>
      </w:divBdr>
    </w:div>
    <w:div w:id="1459836160">
      <w:bodyDiv w:val="1"/>
      <w:marLeft w:val="0"/>
      <w:marRight w:val="0"/>
      <w:marTop w:val="0"/>
      <w:marBottom w:val="0"/>
      <w:divBdr>
        <w:top w:val="none" w:sz="0" w:space="0" w:color="auto"/>
        <w:left w:val="none" w:sz="0" w:space="0" w:color="auto"/>
        <w:bottom w:val="none" w:sz="0" w:space="0" w:color="auto"/>
        <w:right w:val="none" w:sz="0" w:space="0" w:color="auto"/>
      </w:divBdr>
    </w:div>
    <w:div w:id="1506087162">
      <w:bodyDiv w:val="1"/>
      <w:marLeft w:val="0"/>
      <w:marRight w:val="0"/>
      <w:marTop w:val="0"/>
      <w:marBottom w:val="0"/>
      <w:divBdr>
        <w:top w:val="none" w:sz="0" w:space="0" w:color="auto"/>
        <w:left w:val="none" w:sz="0" w:space="0" w:color="auto"/>
        <w:bottom w:val="none" w:sz="0" w:space="0" w:color="auto"/>
        <w:right w:val="none" w:sz="0" w:space="0" w:color="auto"/>
      </w:divBdr>
      <w:divsChild>
        <w:div w:id="1823231307">
          <w:marLeft w:val="0"/>
          <w:marRight w:val="0"/>
          <w:marTop w:val="0"/>
          <w:marBottom w:val="0"/>
          <w:divBdr>
            <w:top w:val="none" w:sz="0" w:space="0" w:color="auto"/>
            <w:left w:val="none" w:sz="0" w:space="0" w:color="auto"/>
            <w:bottom w:val="none" w:sz="0" w:space="0" w:color="auto"/>
            <w:right w:val="none" w:sz="0" w:space="0" w:color="auto"/>
          </w:divBdr>
          <w:divsChild>
            <w:div w:id="647788605">
              <w:marLeft w:val="0"/>
              <w:marRight w:val="0"/>
              <w:marTop w:val="0"/>
              <w:marBottom w:val="0"/>
              <w:divBdr>
                <w:top w:val="none" w:sz="0" w:space="0" w:color="auto"/>
                <w:left w:val="none" w:sz="0" w:space="0" w:color="auto"/>
                <w:bottom w:val="none" w:sz="0" w:space="0" w:color="auto"/>
                <w:right w:val="none" w:sz="0" w:space="0" w:color="auto"/>
              </w:divBdr>
              <w:divsChild>
                <w:div w:id="80485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919">
      <w:bodyDiv w:val="1"/>
      <w:marLeft w:val="0"/>
      <w:marRight w:val="0"/>
      <w:marTop w:val="0"/>
      <w:marBottom w:val="0"/>
      <w:divBdr>
        <w:top w:val="none" w:sz="0" w:space="0" w:color="auto"/>
        <w:left w:val="none" w:sz="0" w:space="0" w:color="auto"/>
        <w:bottom w:val="none" w:sz="0" w:space="0" w:color="auto"/>
        <w:right w:val="none" w:sz="0" w:space="0" w:color="auto"/>
      </w:divBdr>
    </w:div>
    <w:div w:id="1569413553">
      <w:bodyDiv w:val="1"/>
      <w:marLeft w:val="0"/>
      <w:marRight w:val="0"/>
      <w:marTop w:val="0"/>
      <w:marBottom w:val="0"/>
      <w:divBdr>
        <w:top w:val="none" w:sz="0" w:space="0" w:color="auto"/>
        <w:left w:val="none" w:sz="0" w:space="0" w:color="auto"/>
        <w:bottom w:val="none" w:sz="0" w:space="0" w:color="auto"/>
        <w:right w:val="none" w:sz="0" w:space="0" w:color="auto"/>
      </w:divBdr>
    </w:div>
    <w:div w:id="1625848131">
      <w:bodyDiv w:val="1"/>
      <w:marLeft w:val="0"/>
      <w:marRight w:val="0"/>
      <w:marTop w:val="0"/>
      <w:marBottom w:val="0"/>
      <w:divBdr>
        <w:top w:val="none" w:sz="0" w:space="0" w:color="auto"/>
        <w:left w:val="none" w:sz="0" w:space="0" w:color="auto"/>
        <w:bottom w:val="none" w:sz="0" w:space="0" w:color="auto"/>
        <w:right w:val="none" w:sz="0" w:space="0" w:color="auto"/>
      </w:divBdr>
    </w:div>
    <w:div w:id="1635792475">
      <w:bodyDiv w:val="1"/>
      <w:marLeft w:val="0"/>
      <w:marRight w:val="0"/>
      <w:marTop w:val="0"/>
      <w:marBottom w:val="0"/>
      <w:divBdr>
        <w:top w:val="none" w:sz="0" w:space="0" w:color="auto"/>
        <w:left w:val="none" w:sz="0" w:space="0" w:color="auto"/>
        <w:bottom w:val="none" w:sz="0" w:space="0" w:color="auto"/>
        <w:right w:val="none" w:sz="0" w:space="0" w:color="auto"/>
      </w:divBdr>
    </w:div>
    <w:div w:id="1713536927">
      <w:bodyDiv w:val="1"/>
      <w:marLeft w:val="0"/>
      <w:marRight w:val="0"/>
      <w:marTop w:val="0"/>
      <w:marBottom w:val="0"/>
      <w:divBdr>
        <w:top w:val="none" w:sz="0" w:space="0" w:color="auto"/>
        <w:left w:val="none" w:sz="0" w:space="0" w:color="auto"/>
        <w:bottom w:val="none" w:sz="0" w:space="0" w:color="auto"/>
        <w:right w:val="none" w:sz="0" w:space="0" w:color="auto"/>
      </w:divBdr>
      <w:divsChild>
        <w:div w:id="1595750089">
          <w:blockQuote w:val="1"/>
          <w:marLeft w:val="30"/>
          <w:marRight w:val="720"/>
          <w:marTop w:val="100"/>
          <w:marBottom w:val="100"/>
          <w:divBdr>
            <w:top w:val="none" w:sz="0" w:space="0" w:color="auto"/>
            <w:left w:val="single" w:sz="12" w:space="9" w:color="0000FF"/>
            <w:bottom w:val="none" w:sz="0" w:space="0" w:color="auto"/>
            <w:right w:val="none" w:sz="0" w:space="0" w:color="auto"/>
          </w:divBdr>
        </w:div>
      </w:divsChild>
    </w:div>
    <w:div w:id="1725789639">
      <w:bodyDiv w:val="1"/>
      <w:marLeft w:val="0"/>
      <w:marRight w:val="0"/>
      <w:marTop w:val="0"/>
      <w:marBottom w:val="0"/>
      <w:divBdr>
        <w:top w:val="none" w:sz="0" w:space="0" w:color="auto"/>
        <w:left w:val="none" w:sz="0" w:space="0" w:color="auto"/>
        <w:bottom w:val="none" w:sz="0" w:space="0" w:color="auto"/>
        <w:right w:val="none" w:sz="0" w:space="0" w:color="auto"/>
      </w:divBdr>
    </w:div>
    <w:div w:id="1762411997">
      <w:bodyDiv w:val="1"/>
      <w:marLeft w:val="0"/>
      <w:marRight w:val="0"/>
      <w:marTop w:val="0"/>
      <w:marBottom w:val="0"/>
      <w:divBdr>
        <w:top w:val="none" w:sz="0" w:space="0" w:color="auto"/>
        <w:left w:val="none" w:sz="0" w:space="0" w:color="auto"/>
        <w:bottom w:val="none" w:sz="0" w:space="0" w:color="auto"/>
        <w:right w:val="none" w:sz="0" w:space="0" w:color="auto"/>
      </w:divBdr>
    </w:div>
    <w:div w:id="1823541561">
      <w:bodyDiv w:val="1"/>
      <w:marLeft w:val="0"/>
      <w:marRight w:val="0"/>
      <w:marTop w:val="0"/>
      <w:marBottom w:val="0"/>
      <w:divBdr>
        <w:top w:val="none" w:sz="0" w:space="0" w:color="auto"/>
        <w:left w:val="none" w:sz="0" w:space="0" w:color="auto"/>
        <w:bottom w:val="none" w:sz="0" w:space="0" w:color="auto"/>
        <w:right w:val="none" w:sz="0" w:space="0" w:color="auto"/>
      </w:divBdr>
      <w:divsChild>
        <w:div w:id="321466217">
          <w:marLeft w:val="0"/>
          <w:marRight w:val="0"/>
          <w:marTop w:val="0"/>
          <w:marBottom w:val="0"/>
          <w:divBdr>
            <w:top w:val="none" w:sz="0" w:space="0" w:color="auto"/>
            <w:left w:val="none" w:sz="0" w:space="0" w:color="auto"/>
            <w:bottom w:val="none" w:sz="0" w:space="0" w:color="auto"/>
            <w:right w:val="none" w:sz="0" w:space="0" w:color="auto"/>
          </w:divBdr>
          <w:divsChild>
            <w:div w:id="1482843163">
              <w:marLeft w:val="0"/>
              <w:marRight w:val="0"/>
              <w:marTop w:val="0"/>
              <w:marBottom w:val="0"/>
              <w:divBdr>
                <w:top w:val="none" w:sz="0" w:space="0" w:color="auto"/>
                <w:left w:val="none" w:sz="0" w:space="0" w:color="auto"/>
                <w:bottom w:val="none" w:sz="0" w:space="0" w:color="auto"/>
                <w:right w:val="none" w:sz="0" w:space="0" w:color="auto"/>
              </w:divBdr>
              <w:divsChild>
                <w:div w:id="2081436901">
                  <w:marLeft w:val="0"/>
                  <w:marRight w:val="0"/>
                  <w:marTop w:val="0"/>
                  <w:marBottom w:val="0"/>
                  <w:divBdr>
                    <w:top w:val="none" w:sz="0" w:space="0" w:color="auto"/>
                    <w:left w:val="none" w:sz="0" w:space="0" w:color="auto"/>
                    <w:bottom w:val="none" w:sz="0" w:space="0" w:color="auto"/>
                    <w:right w:val="none" w:sz="0" w:space="0" w:color="auto"/>
                  </w:divBdr>
                  <w:divsChild>
                    <w:div w:id="7196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680104">
      <w:bodyDiv w:val="1"/>
      <w:marLeft w:val="0"/>
      <w:marRight w:val="0"/>
      <w:marTop w:val="0"/>
      <w:marBottom w:val="0"/>
      <w:divBdr>
        <w:top w:val="none" w:sz="0" w:space="0" w:color="auto"/>
        <w:left w:val="none" w:sz="0" w:space="0" w:color="auto"/>
        <w:bottom w:val="none" w:sz="0" w:space="0" w:color="auto"/>
        <w:right w:val="none" w:sz="0" w:space="0" w:color="auto"/>
      </w:divBdr>
    </w:div>
    <w:div w:id="1841889789">
      <w:bodyDiv w:val="1"/>
      <w:marLeft w:val="0"/>
      <w:marRight w:val="0"/>
      <w:marTop w:val="0"/>
      <w:marBottom w:val="0"/>
      <w:divBdr>
        <w:top w:val="none" w:sz="0" w:space="0" w:color="auto"/>
        <w:left w:val="none" w:sz="0" w:space="0" w:color="auto"/>
        <w:bottom w:val="none" w:sz="0" w:space="0" w:color="auto"/>
        <w:right w:val="none" w:sz="0" w:space="0" w:color="auto"/>
      </w:divBdr>
    </w:div>
    <w:div w:id="1870606893">
      <w:bodyDiv w:val="1"/>
      <w:marLeft w:val="0"/>
      <w:marRight w:val="0"/>
      <w:marTop w:val="0"/>
      <w:marBottom w:val="0"/>
      <w:divBdr>
        <w:top w:val="none" w:sz="0" w:space="0" w:color="auto"/>
        <w:left w:val="none" w:sz="0" w:space="0" w:color="auto"/>
        <w:bottom w:val="none" w:sz="0" w:space="0" w:color="auto"/>
        <w:right w:val="none" w:sz="0" w:space="0" w:color="auto"/>
      </w:divBdr>
    </w:div>
    <w:div w:id="2041082354">
      <w:bodyDiv w:val="1"/>
      <w:marLeft w:val="0"/>
      <w:marRight w:val="0"/>
      <w:marTop w:val="0"/>
      <w:marBottom w:val="0"/>
      <w:divBdr>
        <w:top w:val="none" w:sz="0" w:space="0" w:color="auto"/>
        <w:left w:val="none" w:sz="0" w:space="0" w:color="auto"/>
        <w:bottom w:val="none" w:sz="0" w:space="0" w:color="auto"/>
        <w:right w:val="none" w:sz="0" w:space="0" w:color="auto"/>
      </w:divBdr>
    </w:div>
    <w:div w:id="2041323459">
      <w:bodyDiv w:val="1"/>
      <w:marLeft w:val="0"/>
      <w:marRight w:val="0"/>
      <w:marTop w:val="0"/>
      <w:marBottom w:val="0"/>
      <w:divBdr>
        <w:top w:val="none" w:sz="0" w:space="0" w:color="auto"/>
        <w:left w:val="none" w:sz="0" w:space="0" w:color="auto"/>
        <w:bottom w:val="none" w:sz="0" w:space="0" w:color="auto"/>
        <w:right w:val="none" w:sz="0" w:space="0" w:color="auto"/>
      </w:divBdr>
    </w:div>
    <w:div w:id="211971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14</Pages>
  <Words>7639</Words>
  <Characters>43543</Characters>
  <Application>Microsoft Office Word</Application>
  <DocSecurity>0</DocSecurity>
  <Lines>362</Lines>
  <Paragraphs>102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Microsoft Office</dc:creator>
  <cp:keywords/>
  <dc:description/>
  <cp:lastModifiedBy>Microsoft Office User</cp:lastModifiedBy>
  <cp:revision>31</cp:revision>
  <cp:lastPrinted>2018-09-12T20:09:00Z</cp:lastPrinted>
  <dcterms:created xsi:type="dcterms:W3CDTF">2025-08-30T15:45:00Z</dcterms:created>
  <dcterms:modified xsi:type="dcterms:W3CDTF">2026-09-17T10:45:00Z</dcterms:modified>
</cp:coreProperties>
</file>