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5A35" w:rsidRDefault="00225A35" w:rsidP="00CE5C5E"/>
    <w:p w:rsidR="00E25490" w:rsidRPr="004C26E3" w:rsidRDefault="00E25490" w:rsidP="00E25490">
      <w:pPr>
        <w:rPr>
          <w:b/>
          <w:bCs/>
        </w:rPr>
      </w:pPr>
      <w:r w:rsidRPr="004C26E3">
        <w:rPr>
          <w:b/>
          <w:bCs/>
        </w:rPr>
        <w:t xml:space="preserve">D404 10 25 </w:t>
      </w:r>
      <w:r w:rsidRPr="004C26E3">
        <w:t xml:space="preserve">– </w:t>
      </w:r>
      <w:r w:rsidRPr="004C26E3">
        <w:rPr>
          <w:b/>
          <w:bCs/>
        </w:rPr>
        <w:t>Esthétique et</w:t>
      </w:r>
      <w:r>
        <w:rPr>
          <w:b/>
          <w:bCs/>
        </w:rPr>
        <w:t xml:space="preserve"> </w:t>
      </w:r>
      <w:r w:rsidRPr="004C26E3">
        <w:rPr>
          <w:b/>
          <w:bCs/>
        </w:rPr>
        <w:t>enjeux éthiques </w:t>
      </w:r>
      <w:r w:rsidRPr="004C26E3">
        <w:t>: 24 h semestrielles</w:t>
      </w:r>
    </w:p>
    <w:p w:rsidR="00E25490" w:rsidRDefault="00E25490" w:rsidP="00E25490">
      <w:pPr>
        <w:tabs>
          <w:tab w:val="left" w:pos="6379"/>
          <w:tab w:val="left" w:pos="7350"/>
        </w:tabs>
        <w:rPr>
          <w:rFonts w:cs="Calibri"/>
        </w:rPr>
      </w:pPr>
    </w:p>
    <w:p w:rsidR="00E25490" w:rsidRPr="00E25490" w:rsidRDefault="00E25490" w:rsidP="00E25490">
      <w:pPr>
        <w:spacing w:line="240" w:lineRule="auto"/>
        <w:rPr>
          <w:rFonts w:cs="Calibri"/>
        </w:rPr>
      </w:pPr>
      <w:r w:rsidRPr="00E25490">
        <w:rPr>
          <w:rFonts w:cs="Calibri"/>
        </w:rPr>
        <w:t xml:space="preserve">Chiara </w:t>
      </w:r>
      <w:proofErr w:type="spellStart"/>
      <w:r w:rsidRPr="00E25490">
        <w:rPr>
          <w:rFonts w:cs="Calibri"/>
        </w:rPr>
        <w:t>Palermo</w:t>
      </w:r>
      <w:proofErr w:type="spellEnd"/>
      <w:r w:rsidRPr="00E25490">
        <w:rPr>
          <w:rFonts w:cs="Calibri"/>
        </w:rPr>
        <w:t xml:space="preserve"> </w:t>
      </w:r>
    </w:p>
    <w:p w:rsidR="00E25490" w:rsidRPr="00055D6E" w:rsidRDefault="00E25490" w:rsidP="00E25490">
      <w:pPr>
        <w:tabs>
          <w:tab w:val="left" w:pos="6379"/>
          <w:tab w:val="left" w:pos="7350"/>
        </w:tabs>
        <w:rPr>
          <w:rFonts w:cs="Calibri"/>
          <w:color w:val="FF0000"/>
        </w:rPr>
      </w:pPr>
      <w:r w:rsidRPr="00055D6E">
        <w:rPr>
          <w:rFonts w:cs="Calibri"/>
        </w:rPr>
        <w:tab/>
        <w:t xml:space="preserve">Lundi </w:t>
      </w:r>
      <w:r w:rsidRPr="00055D6E">
        <w:rPr>
          <w:rFonts w:cs="Calibri"/>
        </w:rPr>
        <w:tab/>
      </w:r>
      <w:r w:rsidRPr="00055D6E">
        <w:rPr>
          <w:rFonts w:cs="Calibri"/>
        </w:rPr>
        <w:tab/>
        <w:t xml:space="preserve">11 h – 13 h (salle </w:t>
      </w:r>
      <w:r w:rsidR="00BC375C">
        <w:rPr>
          <w:rFonts w:cs="Calibri"/>
        </w:rPr>
        <w:t>230</w:t>
      </w:r>
      <w:r w:rsidRPr="00055D6E">
        <w:rPr>
          <w:rFonts w:cs="Calibri"/>
        </w:rPr>
        <w:t>)</w:t>
      </w:r>
    </w:p>
    <w:p w:rsidR="00E25490" w:rsidRPr="004C26E3" w:rsidRDefault="00E25490" w:rsidP="00E25490"/>
    <w:p w:rsidR="00E25490" w:rsidRPr="00E25490" w:rsidRDefault="00E25490" w:rsidP="00225A35">
      <w:pPr>
        <w:spacing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fr-FR"/>
        </w:rPr>
      </w:pPr>
      <w:r w:rsidRPr="00E25490">
        <w:rPr>
          <w:rFonts w:asciiTheme="minorHAnsi" w:eastAsia="Times New Roman" w:hAnsiTheme="minorHAnsi" w:cstheme="minorHAnsi"/>
          <w:b/>
          <w:bCs/>
          <w:sz w:val="24"/>
          <w:szCs w:val="24"/>
          <w:lang w:val="fr-FR"/>
        </w:rPr>
        <w:t xml:space="preserve">Esthétiques de la réparation :  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fr-FR"/>
        </w:rPr>
        <w:t>H</w:t>
      </w:r>
      <w:r w:rsidRPr="00E25490">
        <w:rPr>
          <w:rFonts w:asciiTheme="minorHAnsi" w:eastAsia="Times New Roman" w:hAnsiTheme="minorHAnsi" w:cstheme="minorHAnsi"/>
          <w:b/>
          <w:bCs/>
          <w:sz w:val="24"/>
          <w:szCs w:val="24"/>
          <w:lang w:val="fr-FR"/>
        </w:rPr>
        <w:t>istoire, mémoire et matières de l’irréparable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val="fr-FR"/>
        </w:rPr>
        <w:t xml:space="preserve"> </w:t>
      </w:r>
    </w:p>
    <w:p w:rsidR="00225A35" w:rsidRPr="00225A35" w:rsidRDefault="00225A35" w:rsidP="00225A3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  <w:lang w:val="fr-FR"/>
        </w:rPr>
      </w:pPr>
      <w:r w:rsidRPr="00225A35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Ce cours se propose d'explorer la notion de « réparation » en prenant en considération l'implication des pratiques artistiques et matérielles dans le contexte d’une attention grandissante portée au « tournant de la réparation » dans les sciences humaines et sociales. Face à l’institutionnalisation et à la prolifération des appels à la réparation, cette notion n’est-elle pas exposée au risque d’un glissement de l’irréparable vers l’illusion d’une solution capable de substituer à la perte un retour à l’état antérieur ? Comment la création contemporaine appréhende-t-elle ce risque ? </w:t>
      </w:r>
    </w:p>
    <w:p w:rsidR="00225A35" w:rsidRPr="00225A35" w:rsidRDefault="00225A35" w:rsidP="00225A3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  <w:lang w:val="fr-FR"/>
        </w:rPr>
      </w:pPr>
    </w:p>
    <w:p w:rsidR="00225A35" w:rsidRPr="00225A35" w:rsidRDefault="00225A35" w:rsidP="00225A3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  <w:lang w:val="fr-FR"/>
        </w:rPr>
      </w:pPr>
      <w:r w:rsidRPr="00225A35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Nous proposons d’articuler ces interrogations autour d'une esthétique en dialogue avec l’éthique </w:t>
      </w:r>
      <w:proofErr w:type="gramStart"/>
      <w:r w:rsidRPr="00225A35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du </w:t>
      </w:r>
      <w:r w:rsidRPr="00225A35">
        <w:rPr>
          <w:rFonts w:asciiTheme="minorHAnsi" w:eastAsia="Times New Roman" w:hAnsiTheme="minorHAnsi" w:cstheme="minorHAnsi"/>
          <w:i/>
          <w:iCs/>
          <w:sz w:val="24"/>
          <w:szCs w:val="24"/>
          <w:lang w:val="fr-FR"/>
        </w:rPr>
        <w:t>care</w:t>
      </w:r>
      <w:proofErr w:type="gramEnd"/>
      <w:r w:rsidRPr="00225A35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et </w:t>
      </w:r>
      <w:r w:rsidRPr="00225A35">
        <w:rPr>
          <w:rStyle w:val="lev"/>
          <w:rFonts w:asciiTheme="minorHAnsi" w:hAnsiTheme="minorHAnsi" w:cstheme="minorHAnsi"/>
          <w:b w:val="0"/>
          <w:bCs w:val="0"/>
          <w:sz w:val="24"/>
          <w:szCs w:val="24"/>
        </w:rPr>
        <w:t>en privilégiant une démarche</w:t>
      </w:r>
      <w:r w:rsidRPr="00225A35">
        <w:rPr>
          <w:rFonts w:asciiTheme="minorHAnsi" w:hAnsiTheme="minorHAnsi" w:cstheme="minorHAnsi"/>
          <w:sz w:val="24"/>
          <w:szCs w:val="24"/>
        </w:rPr>
        <w:t xml:space="preserve"> </w:t>
      </w:r>
      <w:r w:rsidRPr="00225A35">
        <w:rPr>
          <w:rStyle w:val="lev"/>
          <w:rFonts w:asciiTheme="minorHAnsi" w:hAnsiTheme="minorHAnsi" w:cstheme="minorHAnsi"/>
          <w:b w:val="0"/>
          <w:bCs w:val="0"/>
          <w:sz w:val="24"/>
          <w:szCs w:val="24"/>
        </w:rPr>
        <w:t>inspirée</w:t>
      </w:r>
      <w:r w:rsidRPr="00225A35">
        <w:rPr>
          <w:rFonts w:asciiTheme="minorHAnsi" w:hAnsiTheme="minorHAnsi" w:cstheme="minorHAnsi"/>
          <w:sz w:val="24"/>
          <w:szCs w:val="24"/>
        </w:rPr>
        <w:t xml:space="preserve"> par la récente réflexion de la phénoménologie critique.</w:t>
      </w:r>
    </w:p>
    <w:p w:rsidR="00225A35" w:rsidRDefault="00225A35" w:rsidP="00CE5C5E">
      <w:pPr>
        <w:rPr>
          <w:lang w:val="fr-FR"/>
        </w:rPr>
      </w:pPr>
    </w:p>
    <w:p w:rsidR="00943D45" w:rsidRPr="00E25490" w:rsidRDefault="00225A35" w:rsidP="00943D45">
      <w:pPr>
        <w:rPr>
          <w:b/>
          <w:bCs/>
          <w:lang w:val="fr-FR"/>
        </w:rPr>
      </w:pPr>
      <w:r w:rsidRPr="009906B6">
        <w:rPr>
          <w:b/>
          <w:bCs/>
          <w:lang w:val="fr-FR"/>
        </w:rPr>
        <w:t xml:space="preserve">Bibliographie indicative </w:t>
      </w:r>
    </w:p>
    <w:p w:rsidR="00943D45" w:rsidRPr="00BC375C" w:rsidRDefault="00943D45" w:rsidP="00943D45">
      <w:pPr>
        <w:rPr>
          <w:lang w:val="en-US"/>
        </w:rPr>
      </w:pPr>
      <w:r w:rsidRPr="00943D45">
        <w:rPr>
          <w:lang w:val="fr-FR"/>
        </w:rPr>
        <w:t>Ahmed, Sara</w:t>
      </w:r>
      <w:r w:rsidRPr="00943D45">
        <w:rPr>
          <w:rStyle w:val="lev"/>
          <w:b w:val="0"/>
          <w:bCs w:val="0"/>
          <w:i/>
          <w:iCs/>
          <w:lang w:val="fr-FR"/>
        </w:rPr>
        <w:t xml:space="preserve">, Queer </w:t>
      </w:r>
      <w:proofErr w:type="spellStart"/>
      <w:proofErr w:type="gramStart"/>
      <w:r w:rsidRPr="00943D45">
        <w:rPr>
          <w:rStyle w:val="lev"/>
          <w:b w:val="0"/>
          <w:bCs w:val="0"/>
          <w:i/>
          <w:iCs/>
          <w:lang w:val="fr-FR"/>
        </w:rPr>
        <w:t>Phenomenology</w:t>
      </w:r>
      <w:proofErr w:type="spellEnd"/>
      <w:r w:rsidRPr="00943D45">
        <w:rPr>
          <w:rStyle w:val="lev"/>
          <w:b w:val="0"/>
          <w:bCs w:val="0"/>
          <w:i/>
          <w:iCs/>
          <w:lang w:val="fr-FR"/>
        </w:rPr>
        <w:t>:</w:t>
      </w:r>
      <w:proofErr w:type="gramEnd"/>
      <w:r w:rsidRPr="00943D45">
        <w:rPr>
          <w:rStyle w:val="lev"/>
          <w:b w:val="0"/>
          <w:bCs w:val="0"/>
          <w:i/>
          <w:iCs/>
          <w:lang w:val="fr-FR"/>
        </w:rPr>
        <w:t xml:space="preserve"> Orientations, </w:t>
      </w:r>
      <w:proofErr w:type="spellStart"/>
      <w:r w:rsidRPr="00943D45">
        <w:rPr>
          <w:rStyle w:val="lev"/>
          <w:b w:val="0"/>
          <w:bCs w:val="0"/>
          <w:i/>
          <w:iCs/>
          <w:lang w:val="fr-FR"/>
        </w:rPr>
        <w:t>Objects</w:t>
      </w:r>
      <w:proofErr w:type="spellEnd"/>
      <w:r w:rsidRPr="00943D45">
        <w:rPr>
          <w:rStyle w:val="lev"/>
          <w:b w:val="0"/>
          <w:bCs w:val="0"/>
          <w:i/>
          <w:iCs/>
          <w:lang w:val="fr-FR"/>
        </w:rPr>
        <w:t xml:space="preserve">, </w:t>
      </w:r>
      <w:proofErr w:type="spellStart"/>
      <w:r w:rsidRPr="00943D45">
        <w:rPr>
          <w:rStyle w:val="lev"/>
          <w:b w:val="0"/>
          <w:bCs w:val="0"/>
          <w:i/>
          <w:iCs/>
          <w:lang w:val="fr-FR"/>
        </w:rPr>
        <w:t>Others</w:t>
      </w:r>
      <w:proofErr w:type="spellEnd"/>
      <w:r w:rsidRPr="00943D45">
        <w:rPr>
          <w:lang w:val="fr-FR"/>
        </w:rPr>
        <w:t xml:space="preserve">, Duke </w:t>
      </w:r>
      <w:proofErr w:type="spellStart"/>
      <w:r w:rsidRPr="00943D45">
        <w:rPr>
          <w:lang w:val="fr-FR"/>
        </w:rPr>
        <w:t>University</w:t>
      </w:r>
      <w:proofErr w:type="spellEnd"/>
      <w:r w:rsidRPr="00943D45">
        <w:rPr>
          <w:lang w:val="fr-FR"/>
        </w:rPr>
        <w:t>, 2006</w:t>
      </w:r>
      <w:r>
        <w:rPr>
          <w:lang w:val="fr-FR"/>
        </w:rPr>
        <w:t xml:space="preserve"> ; Trad.fr. </w:t>
      </w:r>
      <w:r>
        <w:rPr>
          <w:rStyle w:val="Accentuation"/>
        </w:rPr>
        <w:t>Phénoménologie queer : Orientations, objets et autres</w:t>
      </w:r>
      <w:r>
        <w:t xml:space="preserve">, Paris, Éditions Le Manuscrit, coll. </w:t>
      </w:r>
      <w:r w:rsidRPr="00BC375C">
        <w:rPr>
          <w:lang w:val="en-US"/>
        </w:rPr>
        <w:t xml:space="preserve">« Genre(s) et </w:t>
      </w:r>
      <w:proofErr w:type="spellStart"/>
      <w:r w:rsidRPr="00BC375C">
        <w:rPr>
          <w:lang w:val="en-US"/>
        </w:rPr>
        <w:t>création</w:t>
      </w:r>
      <w:proofErr w:type="spellEnd"/>
      <w:r w:rsidRPr="00BC375C">
        <w:rPr>
          <w:lang w:val="en-US"/>
        </w:rPr>
        <w:t xml:space="preserve"> », 2022,</w:t>
      </w:r>
    </w:p>
    <w:p w:rsidR="00943D45" w:rsidRPr="00943D45" w:rsidRDefault="00943D45" w:rsidP="00943D45">
      <w:pPr>
        <w:rPr>
          <w:lang w:val="en-US"/>
        </w:rPr>
      </w:pPr>
      <w:r w:rsidRPr="00943D45">
        <w:rPr>
          <w:lang w:val="en-US"/>
        </w:rPr>
        <w:t xml:space="preserve">Ahmed, Sara, </w:t>
      </w:r>
      <w:r w:rsidRPr="00943D45">
        <w:rPr>
          <w:i/>
          <w:iCs/>
          <w:lang w:val="en-US"/>
        </w:rPr>
        <w:t>Living a Feminist Life</w:t>
      </w:r>
      <w:r w:rsidRPr="00943D45">
        <w:rPr>
          <w:lang w:val="en-US"/>
        </w:rPr>
        <w:t>, Durham, Duke University Press, 2017.</w:t>
      </w:r>
    </w:p>
    <w:p w:rsidR="00943D45" w:rsidRPr="00BC375C" w:rsidRDefault="00943D45" w:rsidP="00943D45">
      <w:pPr>
        <w:rPr>
          <w:lang w:val="fr-FR"/>
        </w:rPr>
      </w:pPr>
      <w:r w:rsidRPr="00BC375C">
        <w:rPr>
          <w:lang w:val="fr-FR"/>
        </w:rPr>
        <w:t xml:space="preserve">Attia, Kader, </w:t>
      </w:r>
      <w:r w:rsidRPr="00BC375C">
        <w:rPr>
          <w:i/>
          <w:iCs/>
          <w:lang w:val="fr-FR"/>
        </w:rPr>
        <w:t>Blessures, réparations et trace</w:t>
      </w:r>
      <w:r w:rsidRPr="00BC375C">
        <w:rPr>
          <w:lang w:val="fr-FR"/>
        </w:rPr>
        <w:t xml:space="preserve">, </w:t>
      </w:r>
      <w:proofErr w:type="spellStart"/>
      <w:r w:rsidRPr="00BC375C">
        <w:rPr>
          <w:lang w:val="fr-FR"/>
        </w:rPr>
        <w:t>Jacinto</w:t>
      </w:r>
      <w:proofErr w:type="spellEnd"/>
      <w:r w:rsidRPr="00BC375C">
        <w:rPr>
          <w:lang w:val="fr-FR"/>
        </w:rPr>
        <w:t xml:space="preserve"> </w:t>
      </w:r>
      <w:proofErr w:type="spellStart"/>
      <w:r w:rsidRPr="00BC375C">
        <w:rPr>
          <w:lang w:val="fr-FR"/>
        </w:rPr>
        <w:t>Lageira</w:t>
      </w:r>
      <w:proofErr w:type="spellEnd"/>
      <w:r w:rsidRPr="00BC375C">
        <w:rPr>
          <w:lang w:val="fr-FR"/>
        </w:rPr>
        <w:t xml:space="preserve"> éd., Beaux-Arts de Paris, 2026.</w:t>
      </w:r>
    </w:p>
    <w:p w:rsidR="00943D45" w:rsidRPr="00BC375C" w:rsidRDefault="00943D45" w:rsidP="00943D45">
      <w:pPr>
        <w:rPr>
          <w:lang w:val="fr-FR"/>
        </w:rPr>
      </w:pPr>
      <w:proofErr w:type="spellStart"/>
      <w:r w:rsidRPr="00BC375C">
        <w:rPr>
          <w:lang w:val="fr-FR"/>
        </w:rPr>
        <w:t>Dorlin</w:t>
      </w:r>
      <w:proofErr w:type="spellEnd"/>
      <w:r w:rsidRPr="00BC375C">
        <w:rPr>
          <w:lang w:val="fr-FR"/>
        </w:rPr>
        <w:t xml:space="preserve">, Elsa, </w:t>
      </w:r>
      <w:r w:rsidRPr="00BC375C">
        <w:rPr>
          <w:i/>
          <w:iCs/>
          <w:lang w:val="fr-FR"/>
        </w:rPr>
        <w:t>Se défendre. Une philosophie de la violence</w:t>
      </w:r>
      <w:r w:rsidRPr="00BC375C">
        <w:rPr>
          <w:lang w:val="fr-FR"/>
        </w:rPr>
        <w:t>, Paris, La Découverte, 252 p., 2017.</w:t>
      </w:r>
    </w:p>
    <w:p w:rsidR="00943D45" w:rsidRPr="00BC375C" w:rsidRDefault="00943D45" w:rsidP="00943D45">
      <w:pPr>
        <w:rPr>
          <w:lang w:val="fr-FR"/>
        </w:rPr>
      </w:pPr>
      <w:r w:rsidRPr="00BC375C">
        <w:rPr>
          <w:lang w:val="fr-FR"/>
        </w:rPr>
        <w:t xml:space="preserve">Fanon, Frantz, </w:t>
      </w:r>
      <w:r w:rsidRPr="00BC375C">
        <w:rPr>
          <w:i/>
          <w:iCs/>
          <w:lang w:val="fr-FR"/>
        </w:rPr>
        <w:t>Peau noire, masques blancs</w:t>
      </w:r>
      <w:r w:rsidRPr="00BC375C">
        <w:rPr>
          <w:lang w:val="fr-FR"/>
        </w:rPr>
        <w:t>, Paris, Seuil, 1952.</w:t>
      </w:r>
    </w:p>
    <w:p w:rsidR="00943D45" w:rsidRPr="00BC375C" w:rsidRDefault="00943D45" w:rsidP="00943D45">
      <w:pPr>
        <w:rPr>
          <w:lang w:val="fr-FR"/>
        </w:rPr>
      </w:pPr>
      <w:r w:rsidRPr="00BC375C">
        <w:rPr>
          <w:lang w:val="fr-FR"/>
        </w:rPr>
        <w:t xml:space="preserve">Garrau, Marie et Mickaëlle Provost (dir.), </w:t>
      </w:r>
      <w:r w:rsidRPr="00BC375C">
        <w:rPr>
          <w:i/>
          <w:iCs/>
          <w:lang w:val="fr-FR"/>
        </w:rPr>
        <w:t>Expériences vécues du genre et de la race. Pour une phénoménologie critique</w:t>
      </w:r>
      <w:r w:rsidRPr="00BC375C">
        <w:rPr>
          <w:lang w:val="fr-FR"/>
        </w:rPr>
        <w:t>, Paris, Éditions de la Sorbonne, 2022.</w:t>
      </w:r>
    </w:p>
    <w:p w:rsidR="00C36604" w:rsidRPr="00943D45" w:rsidRDefault="00C36604" w:rsidP="00943D45">
      <w:pPr>
        <w:rPr>
          <w:lang w:val="fr-FR"/>
        </w:rPr>
      </w:pPr>
      <w:proofErr w:type="spellStart"/>
      <w:r w:rsidRPr="00C36604">
        <w:rPr>
          <w:lang w:val="fr-FR"/>
        </w:rPr>
        <w:t>Kristensen</w:t>
      </w:r>
      <w:proofErr w:type="spellEnd"/>
      <w:r w:rsidRPr="00C36604">
        <w:rPr>
          <w:lang w:val="fr-FR"/>
        </w:rPr>
        <w:t xml:space="preserve">, Stefan et Leoni, Federico, </w:t>
      </w:r>
      <w:r>
        <w:rPr>
          <w:i/>
          <w:iCs/>
        </w:rPr>
        <w:t>Guérir par l’art. Mobilisations de l’énergie rituelle</w:t>
      </w:r>
      <w:r>
        <w:t>, Hermann, 2026.</w:t>
      </w:r>
    </w:p>
    <w:p w:rsidR="00943D45" w:rsidRPr="00943D45" w:rsidRDefault="00943D45" w:rsidP="00943D45">
      <w:pPr>
        <w:rPr>
          <w:lang w:val="fr-FR"/>
        </w:rPr>
      </w:pPr>
      <w:r w:rsidRPr="00943D45">
        <w:rPr>
          <w:lang w:val="fr-FR"/>
        </w:rPr>
        <w:t xml:space="preserve">Lageira, Jacinto, </w:t>
      </w:r>
      <w:r w:rsidRPr="00943D45">
        <w:rPr>
          <w:i/>
          <w:iCs/>
          <w:lang w:val="fr-FR"/>
        </w:rPr>
        <w:t>L’Art comme Histoire, Un entrelacement de poétiques</w:t>
      </w:r>
      <w:r w:rsidRPr="00943D45">
        <w:rPr>
          <w:lang w:val="fr-FR"/>
        </w:rPr>
        <w:t>, Mimesis, 2016.</w:t>
      </w:r>
    </w:p>
    <w:p w:rsidR="00943D45" w:rsidRPr="00BC375C" w:rsidRDefault="00943D45" w:rsidP="00943D45">
      <w:pPr>
        <w:rPr>
          <w:lang w:val="fr-FR"/>
        </w:rPr>
      </w:pPr>
      <w:r w:rsidRPr="00BC375C">
        <w:rPr>
          <w:lang w:val="fr-FR"/>
        </w:rPr>
        <w:t xml:space="preserve">Young, Iris Marion (trad. Donald A. Landes, Marie-Anne </w:t>
      </w:r>
      <w:proofErr w:type="spellStart"/>
      <w:r w:rsidRPr="00BC375C">
        <w:rPr>
          <w:lang w:val="fr-FR"/>
        </w:rPr>
        <w:t>Casselot</w:t>
      </w:r>
      <w:proofErr w:type="spellEnd"/>
      <w:r w:rsidRPr="00BC375C">
        <w:rPr>
          <w:lang w:val="fr-FR"/>
        </w:rPr>
        <w:t xml:space="preserve">, Capucine Mercier), « Lancer comme une fille. Une phénoménologie de la motilité, de la spatialité et du comportement corporel féminins », Symposium : Canadian Journal of Continental </w:t>
      </w:r>
      <w:proofErr w:type="spellStart"/>
      <w:r w:rsidRPr="00BC375C">
        <w:rPr>
          <w:lang w:val="fr-FR"/>
        </w:rPr>
        <w:t>Philosophy</w:t>
      </w:r>
      <w:proofErr w:type="spellEnd"/>
      <w:r w:rsidRPr="00BC375C">
        <w:rPr>
          <w:lang w:val="fr-FR"/>
        </w:rPr>
        <w:t>, no 2, 2017, p. 19-43.</w:t>
      </w:r>
    </w:p>
    <w:p w:rsidR="00943D45" w:rsidRPr="00C36604" w:rsidRDefault="00943D45" w:rsidP="009906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9906B6" w:rsidRPr="00C36604" w:rsidRDefault="009906B6" w:rsidP="00CE5C5E">
      <w:pPr>
        <w:rPr>
          <w:lang w:val="fr-FR"/>
        </w:rPr>
      </w:pPr>
    </w:p>
    <w:sectPr w:rsidR="009906B6" w:rsidRPr="00C36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234D6"/>
    <w:multiLevelType w:val="multilevel"/>
    <w:tmpl w:val="61FA3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5615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5E"/>
    <w:rsid w:val="001D3516"/>
    <w:rsid w:val="00225A35"/>
    <w:rsid w:val="00395773"/>
    <w:rsid w:val="00943D45"/>
    <w:rsid w:val="009906B6"/>
    <w:rsid w:val="00BC375C"/>
    <w:rsid w:val="00C36604"/>
    <w:rsid w:val="00CE5C5E"/>
    <w:rsid w:val="00E2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882EF2"/>
  <w15:chartTrackingRefBased/>
  <w15:docId w15:val="{6C3E9BDC-284B-EF43-A2A9-36456E55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C5E"/>
    <w:pPr>
      <w:spacing w:line="276" w:lineRule="auto"/>
    </w:pPr>
    <w:rPr>
      <w:rFonts w:ascii="Arial" w:eastAsia="Arial" w:hAnsi="Arial" w:cs="Arial"/>
      <w:sz w:val="22"/>
      <w:szCs w:val="22"/>
      <w:lang w:val="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906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link w:val="Titre3Car"/>
    <w:uiPriority w:val="9"/>
    <w:qFormat/>
    <w:rsid w:val="009906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225A35"/>
    <w:rPr>
      <w:b/>
      <w:bCs/>
    </w:rPr>
  </w:style>
  <w:style w:type="character" w:styleId="Accentuation">
    <w:name w:val="Emphasis"/>
    <w:basedOn w:val="Policepardfaut"/>
    <w:uiPriority w:val="20"/>
    <w:qFormat/>
    <w:rsid w:val="00225A35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9906B6"/>
    <w:rPr>
      <w:color w:val="0000FF"/>
      <w:u w:val="single"/>
    </w:rPr>
  </w:style>
  <w:style w:type="character" w:customStyle="1" w:styleId="nowrap">
    <w:name w:val="nowrap"/>
    <w:basedOn w:val="Policepardfaut"/>
    <w:rsid w:val="009906B6"/>
  </w:style>
  <w:style w:type="character" w:customStyle="1" w:styleId="Titre3Car">
    <w:name w:val="Titre 3 Car"/>
    <w:basedOn w:val="Policepardfaut"/>
    <w:link w:val="Titre3"/>
    <w:uiPriority w:val="9"/>
    <w:rsid w:val="009906B6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woocommerce-price-amount">
    <w:name w:val="woocommerce-price-amount"/>
    <w:basedOn w:val="Policepardfaut"/>
    <w:rsid w:val="009906B6"/>
  </w:style>
  <w:style w:type="character" w:customStyle="1" w:styleId="woocommerce-price-currencysymbol">
    <w:name w:val="woocommerce-price-currencysymbol"/>
    <w:basedOn w:val="Policepardfaut"/>
    <w:rsid w:val="009906B6"/>
  </w:style>
  <w:style w:type="paragraph" w:styleId="NormalWeb">
    <w:name w:val="Normal (Web)"/>
    <w:basedOn w:val="Normal"/>
    <w:uiPriority w:val="99"/>
    <w:semiHidden/>
    <w:unhideWhenUsed/>
    <w:rsid w:val="00990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9906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" w:eastAsia="fr-FR"/>
    </w:rPr>
  </w:style>
  <w:style w:type="character" w:customStyle="1" w:styleId="vndci">
    <w:name w:val="vndci"/>
    <w:basedOn w:val="Policepardfaut"/>
    <w:rsid w:val="00943D45"/>
  </w:style>
  <w:style w:type="character" w:customStyle="1" w:styleId="pxxqye">
    <w:name w:val="pxxqye"/>
    <w:basedOn w:val="Policepardfaut"/>
    <w:rsid w:val="00943D45"/>
  </w:style>
  <w:style w:type="paragraph" w:customStyle="1" w:styleId="z1qcye">
    <w:name w:val="z1qcye"/>
    <w:basedOn w:val="Normal"/>
    <w:rsid w:val="0094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inqyif">
    <w:name w:val="inqyif"/>
    <w:basedOn w:val="Policepardfaut"/>
    <w:rsid w:val="00943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0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8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1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9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2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9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11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0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8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9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40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43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73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317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214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650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272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5341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1081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896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5889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1996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8519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400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7053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6012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79087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89299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1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2026-09-28T09:17:00Z</dcterms:created>
  <dcterms:modified xsi:type="dcterms:W3CDTF">2026-09-28T09:17:00Z</dcterms:modified>
</cp:coreProperties>
</file>