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A62BB" w14:textId="77777777" w:rsidR="00FD0B53" w:rsidRPr="005A7112" w:rsidRDefault="00FD0B53" w:rsidP="00FD0B53">
      <w:pPr>
        <w:pStyle w:val="Titre1"/>
        <w:pBdr>
          <w:bottom w:val="single" w:sz="14" w:space="7" w:color="1F3A5F"/>
        </w:pBdr>
        <w:spacing w:line="360" w:lineRule="auto"/>
        <w:jc w:val="both"/>
        <w:rPr>
          <w:rFonts w:ascii="Times New Roman" w:hAnsi="Times New Roman" w:cs="Times New Roman"/>
          <w:sz w:val="24"/>
          <w:szCs w:val="24"/>
        </w:rPr>
      </w:pPr>
      <w:r w:rsidRPr="005A7112">
        <w:rPr>
          <w:rFonts w:ascii="Times New Roman" w:hAnsi="Times New Roman" w:cs="Times New Roman"/>
          <w:sz w:val="24"/>
          <w:szCs w:val="24"/>
        </w:rPr>
        <w:t>L’objet de la « science nouvelle » : l’esprit des lois et non les lois</w:t>
      </w:r>
    </w:p>
    <w:p w14:paraId="360A8EC1" w14:textId="77777777" w:rsidR="00FD0B53" w:rsidRPr="005A7112" w:rsidRDefault="008D27D3" w:rsidP="00FD0B53">
      <w:pPr>
        <w:spacing w:line="360" w:lineRule="auto"/>
        <w:rPr>
          <w:rFonts w:ascii="Times New Roman" w:hAnsi="Times New Roman"/>
          <w:sz w:val="24"/>
        </w:rPr>
      </w:pPr>
      <w:r w:rsidRPr="005A7112">
        <w:rPr>
          <w:rFonts w:ascii="Times New Roman" w:hAnsi="Times New Roman"/>
          <w:sz w:val="24"/>
        </w:rPr>
        <w:t>S</w:t>
      </w:r>
      <w:r w:rsidR="00FD0B53" w:rsidRPr="005A7112">
        <w:rPr>
          <w:rFonts w:ascii="Times New Roman" w:hAnsi="Times New Roman"/>
          <w:sz w:val="24"/>
        </w:rPr>
        <w:t xml:space="preserve">ociétés, lois, usages, religions, gouvernements relèvent de l’espace et du temps (et non immuables), </w:t>
      </w:r>
      <w:r w:rsidRPr="005A7112">
        <w:rPr>
          <w:rFonts w:ascii="Times New Roman" w:hAnsi="Times New Roman"/>
          <w:sz w:val="24"/>
        </w:rPr>
        <w:t xml:space="preserve">par conséquent </w:t>
      </w:r>
      <w:r w:rsidR="00FD0B53" w:rsidRPr="005A7112">
        <w:rPr>
          <w:rFonts w:ascii="Times New Roman" w:hAnsi="Times New Roman"/>
          <w:sz w:val="24"/>
        </w:rPr>
        <w:t>sont soumis au devenir.</w:t>
      </w:r>
      <w:r w:rsidRPr="005A7112">
        <w:rPr>
          <w:rFonts w:ascii="Times New Roman" w:hAnsi="Times New Roman"/>
          <w:sz w:val="24"/>
        </w:rPr>
        <w:t xml:space="preserve"> Ils peuvent d</w:t>
      </w:r>
      <w:r w:rsidR="00FD0B53" w:rsidRPr="005A7112">
        <w:rPr>
          <w:rFonts w:ascii="Times New Roman" w:hAnsi="Times New Roman"/>
          <w:sz w:val="24"/>
        </w:rPr>
        <w:t>onc</w:t>
      </w:r>
      <w:r w:rsidRPr="005A7112">
        <w:rPr>
          <w:rFonts w:ascii="Times New Roman" w:hAnsi="Times New Roman"/>
          <w:sz w:val="24"/>
        </w:rPr>
        <w:t xml:space="preserve"> </w:t>
      </w:r>
      <w:r w:rsidR="00FD0B53" w:rsidRPr="005A7112">
        <w:rPr>
          <w:rFonts w:ascii="Times New Roman" w:hAnsi="Times New Roman"/>
          <w:sz w:val="24"/>
        </w:rPr>
        <w:t xml:space="preserve">être objets de science. </w:t>
      </w:r>
    </w:p>
    <w:p w14:paraId="492ED4B9" w14:textId="77777777" w:rsidR="005A7112" w:rsidRDefault="00FD0B53" w:rsidP="00FD0B53">
      <w:pPr>
        <w:spacing w:line="360" w:lineRule="auto"/>
        <w:rPr>
          <w:rFonts w:ascii="Times New Roman" w:hAnsi="Times New Roman"/>
          <w:sz w:val="24"/>
        </w:rPr>
      </w:pPr>
      <w:r w:rsidRPr="005A7112">
        <w:rPr>
          <w:rFonts w:ascii="Times New Roman" w:hAnsi="Times New Roman"/>
          <w:sz w:val="24"/>
        </w:rPr>
        <w:t xml:space="preserve">Rendre raison de </w:t>
      </w:r>
      <w:r w:rsidRPr="005A7112">
        <w:rPr>
          <w:rFonts w:ascii="Times New Roman" w:hAnsi="Times New Roman"/>
          <w:i/>
          <w:iCs/>
          <w:sz w:val="24"/>
        </w:rPr>
        <w:t>ce qui est</w:t>
      </w:r>
      <w:r w:rsidRPr="005A7112">
        <w:rPr>
          <w:rFonts w:ascii="Times New Roman" w:hAnsi="Times New Roman"/>
          <w:sz w:val="24"/>
        </w:rPr>
        <w:t xml:space="preserve"> </w:t>
      </w:r>
      <w:proofErr w:type="spellStart"/>
      <w:r w:rsidRPr="005A7112">
        <w:rPr>
          <w:rFonts w:ascii="Times New Roman" w:hAnsi="Times New Roman"/>
          <w:sz w:val="24"/>
        </w:rPr>
        <w:t>est</w:t>
      </w:r>
      <w:proofErr w:type="spellEnd"/>
      <w:r w:rsidRPr="005A7112">
        <w:rPr>
          <w:rFonts w:ascii="Times New Roman" w:hAnsi="Times New Roman"/>
          <w:sz w:val="24"/>
        </w:rPr>
        <w:t xml:space="preserve"> la meilleure façon d’éclairer le souverain, le législateur, le citoyen sur ce qu’ils doivent faire. Il appartient donc au lecteur d’en tirer les conséquences qui s’imposent, de mener les réformes qu’il juge opportunes. L’EL doit « faire penser</w:t>
      </w:r>
      <w:proofErr w:type="gramStart"/>
      <w:r w:rsidRPr="005A7112">
        <w:rPr>
          <w:rFonts w:ascii="Times New Roman" w:hAnsi="Times New Roman"/>
          <w:sz w:val="24"/>
        </w:rPr>
        <w:t> »…</w:t>
      </w:r>
      <w:proofErr w:type="gramEnd"/>
      <w:r w:rsidRPr="005A7112">
        <w:rPr>
          <w:rFonts w:ascii="Times New Roman" w:hAnsi="Times New Roman"/>
          <w:sz w:val="24"/>
        </w:rPr>
        <w:t xml:space="preserve"> </w:t>
      </w:r>
      <w:r w:rsidR="008D27D3" w:rsidRPr="005A7112">
        <w:rPr>
          <w:rFonts w:ascii="Times New Roman" w:hAnsi="Times New Roman"/>
          <w:sz w:val="24"/>
        </w:rPr>
        <w:t>La</w:t>
      </w:r>
      <w:r w:rsidRPr="005A7112">
        <w:rPr>
          <w:rFonts w:ascii="Times New Roman" w:hAnsi="Times New Roman"/>
          <w:sz w:val="24"/>
        </w:rPr>
        <w:t xml:space="preserve"> neutralité « idéologique »</w:t>
      </w:r>
      <w:r w:rsidR="008D27D3" w:rsidRPr="005A7112">
        <w:rPr>
          <w:rFonts w:ascii="Times New Roman" w:hAnsi="Times New Roman"/>
          <w:sz w:val="24"/>
        </w:rPr>
        <w:t xml:space="preserve"> affichée</w:t>
      </w:r>
      <w:r w:rsidRPr="005A7112">
        <w:rPr>
          <w:rFonts w:ascii="Times New Roman" w:hAnsi="Times New Roman"/>
          <w:sz w:val="24"/>
        </w:rPr>
        <w:t xml:space="preserve"> n’est pas une pure clause de forme, mais relève de la méthode elle-même : elle ne vaut pas seulement au niveau de l’explication, pour être ensuite abandonnée dans une évaluation comparée des gouvernements, car la diversité présente et passée des gouvernements et des peuples est indépassable et irréductible (on ne quitte jamais l’expérience, le cas particulier et son contexte). </w:t>
      </w:r>
    </w:p>
    <w:p w14:paraId="4E134E64" w14:textId="19E033C5"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D’où le double but de l’ouvrage : </w:t>
      </w:r>
    </w:p>
    <w:p w14:paraId="55B328B8" w14:textId="77777777" w:rsidR="00FD0B53" w:rsidRPr="005A7112" w:rsidRDefault="00FD0B53" w:rsidP="00FD0B53">
      <w:pPr>
        <w:pStyle w:val="Titre11"/>
        <w:spacing w:line="360" w:lineRule="auto"/>
        <w:jc w:val="both"/>
        <w:rPr>
          <w:rFonts w:ascii="Times New Roman" w:hAnsi="Times New Roman" w:cs="Times New Roman"/>
          <w:sz w:val="24"/>
          <w:szCs w:val="24"/>
        </w:rPr>
      </w:pPr>
      <w:r w:rsidRPr="005A7112">
        <w:rPr>
          <w:rFonts w:ascii="Times New Roman" w:hAnsi="Times New Roman" w:cs="Times New Roman"/>
          <w:sz w:val="24"/>
          <w:szCs w:val="24"/>
        </w:rPr>
        <w:t>a) pas de meilleur gouvernement en soi</w:t>
      </w:r>
    </w:p>
    <w:p w14:paraId="552E053E"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A la question traditionnelle depuis Platon du meilleur gouvernement, Montesquieu substitue la question du gouvernement </w:t>
      </w:r>
      <w:r w:rsidRPr="005A7112">
        <w:rPr>
          <w:rFonts w:ascii="Times New Roman" w:hAnsi="Times New Roman"/>
          <w:i/>
          <w:iCs/>
          <w:sz w:val="24"/>
        </w:rPr>
        <w:t>le plus convenable</w:t>
      </w:r>
      <w:r w:rsidRPr="005A7112">
        <w:rPr>
          <w:rFonts w:ascii="Times New Roman" w:hAnsi="Times New Roman"/>
          <w:sz w:val="24"/>
        </w:rPr>
        <w:t xml:space="preserve"> compte tenu du peuple, de l’époque, du lieu (climat, étendue, sol) et de son esprit :</w:t>
      </w:r>
    </w:p>
    <w:p w14:paraId="618BF2AA"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Livre I, chap.3, pp.94-95 : « </w:t>
      </w:r>
      <w:r w:rsidRPr="005A7112">
        <w:rPr>
          <w:rFonts w:ascii="Times New Roman" w:hAnsi="Times New Roman"/>
          <w:b/>
          <w:bCs/>
          <w:sz w:val="24"/>
        </w:rPr>
        <w:t>Il vaut mieux dire que le gouvernement le plus conforme à la nature est celui dont la disposition particulière se rapporte mieux à la disposition du peuple pour lequel il est établi </w:t>
      </w:r>
      <w:r w:rsidRPr="005A7112">
        <w:rPr>
          <w:rFonts w:ascii="Times New Roman" w:hAnsi="Times New Roman"/>
          <w:sz w:val="24"/>
        </w:rPr>
        <w:t>»</w:t>
      </w:r>
    </w:p>
    <w:p w14:paraId="50E9471D" w14:textId="77777777" w:rsidR="00FD0B53" w:rsidRPr="005A7112" w:rsidRDefault="00FD0B53" w:rsidP="00FD0B53">
      <w:pPr>
        <w:pStyle w:val="Corpsdetexte"/>
        <w:rPr>
          <w:rFonts w:ascii="Times New Roman" w:hAnsi="Times New Roman"/>
          <w:sz w:val="24"/>
        </w:rPr>
      </w:pPr>
      <w:r w:rsidRPr="005A7112">
        <w:rPr>
          <w:rFonts w:ascii="Times New Roman" w:hAnsi="Times New Roman"/>
          <w:sz w:val="24"/>
        </w:rPr>
        <w:t>= Montesquieu substitue au principe du meilleur le principe de convenance. « </w:t>
      </w:r>
      <w:proofErr w:type="gramStart"/>
      <w:r w:rsidRPr="005A7112">
        <w:rPr>
          <w:rFonts w:ascii="Times New Roman" w:hAnsi="Times New Roman"/>
          <w:sz w:val="24"/>
        </w:rPr>
        <w:t>le</w:t>
      </w:r>
      <w:proofErr w:type="gramEnd"/>
      <w:r w:rsidRPr="005A7112">
        <w:rPr>
          <w:rFonts w:ascii="Times New Roman" w:hAnsi="Times New Roman"/>
          <w:sz w:val="24"/>
        </w:rPr>
        <w:t xml:space="preserve"> plus conforme à la nature » ne signifie pas le plus conforme à une essence, à une forme, mais le plus conforme à un devenir. Le gouvernement le meilleur est celui qui est le plus approprié à un peuple considéré, selon ses caractéristiques et à un moment de son histoire, c’est-à-dire en un certain temps et en un certain lieu. </w:t>
      </w:r>
    </w:p>
    <w:p w14:paraId="2059F7D5"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u w:val="single"/>
        </w:rPr>
        <w:t>Relativisme</w:t>
      </w:r>
      <w:r w:rsidRPr="005A7112">
        <w:rPr>
          <w:rFonts w:ascii="Times New Roman" w:hAnsi="Times New Roman"/>
          <w:sz w:val="24"/>
        </w:rPr>
        <w:t> ? Non, car une évaluation devient possible : celle de la plus ou moins grande conformité de ce gouvernement au peuple pour lequel il est institué. Avec visée politique d’inspirer des changements ou de donner les éléments d’un art de gouverner…</w:t>
      </w:r>
    </w:p>
    <w:p w14:paraId="3685671E"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Montesquieu n’affirmera donc jamais que la constitution d’Angleterre devrait être adoptée par tous les pays du monde. Il se demandera plutôt quel est le meilleur gouvernement pour la France.</w:t>
      </w:r>
    </w:p>
    <w:p w14:paraId="36D1C157" w14:textId="56351A6C"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 </w:t>
      </w:r>
      <w:r w:rsidR="005B7D4E">
        <w:rPr>
          <w:rFonts w:ascii="Times New Roman" w:hAnsi="Times New Roman"/>
          <w:sz w:val="24"/>
        </w:rPr>
        <w:t xml:space="preserve">Il n’y a </w:t>
      </w:r>
      <w:r w:rsidRPr="005A7112">
        <w:rPr>
          <w:rFonts w:ascii="Times New Roman" w:hAnsi="Times New Roman"/>
          <w:sz w:val="24"/>
        </w:rPr>
        <w:t xml:space="preserve">pas de meilleure forme de gouvernement ni de hiérarchie des gouvernements. </w:t>
      </w:r>
    </w:p>
    <w:p w14:paraId="27F2FF79" w14:textId="1BF8BC1C" w:rsidR="00FD0B53" w:rsidRPr="005A7112" w:rsidRDefault="00FD0B53" w:rsidP="00FD0B53">
      <w:pPr>
        <w:pStyle w:val="Titre11"/>
        <w:spacing w:line="360" w:lineRule="auto"/>
        <w:jc w:val="both"/>
        <w:rPr>
          <w:rFonts w:ascii="Times New Roman" w:hAnsi="Times New Roman" w:cs="Times New Roman"/>
          <w:sz w:val="24"/>
          <w:szCs w:val="24"/>
        </w:rPr>
      </w:pPr>
      <w:r w:rsidRPr="005A7112">
        <w:rPr>
          <w:rFonts w:ascii="Times New Roman" w:hAnsi="Times New Roman" w:cs="Times New Roman"/>
          <w:sz w:val="24"/>
          <w:szCs w:val="24"/>
        </w:rPr>
        <w:t xml:space="preserve">b) </w:t>
      </w:r>
      <w:r w:rsidR="00C173E8">
        <w:rPr>
          <w:rFonts w:ascii="Times New Roman" w:hAnsi="Times New Roman" w:cs="Times New Roman"/>
          <w:sz w:val="24"/>
          <w:szCs w:val="24"/>
        </w:rPr>
        <w:t>O</w:t>
      </w:r>
      <w:r w:rsidRPr="005A7112">
        <w:rPr>
          <w:rFonts w:ascii="Times New Roman" w:hAnsi="Times New Roman" w:cs="Times New Roman"/>
          <w:sz w:val="24"/>
          <w:szCs w:val="24"/>
        </w:rPr>
        <w:t>bjet d’étude : les lois politiques et civiles dans leurs différents rapports</w:t>
      </w:r>
    </w:p>
    <w:p w14:paraId="303F88C5" w14:textId="77777777" w:rsidR="00FD0B53" w:rsidRPr="005A7112" w:rsidRDefault="00FD0B53" w:rsidP="00FD0B53">
      <w:pPr>
        <w:pStyle w:val="Corpsdetexte"/>
        <w:rPr>
          <w:rFonts w:ascii="Times New Roman" w:hAnsi="Times New Roman"/>
          <w:sz w:val="24"/>
        </w:rPr>
      </w:pPr>
      <w:r w:rsidRPr="005A7112">
        <w:rPr>
          <w:rFonts w:ascii="Times New Roman" w:hAnsi="Times New Roman"/>
          <w:sz w:val="24"/>
        </w:rPr>
        <w:t xml:space="preserve">Livre I, chap.3, p.95 : </w:t>
      </w:r>
    </w:p>
    <w:p w14:paraId="32709E56" w14:textId="77777777" w:rsid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lastRenderedPageBreak/>
        <w:t xml:space="preserve">i) « La </w:t>
      </w:r>
      <w:r w:rsidRPr="005A7112">
        <w:rPr>
          <w:rFonts w:ascii="Times New Roman" w:hAnsi="Times New Roman"/>
          <w:sz w:val="24"/>
          <w:u w:val="single"/>
        </w:rPr>
        <w:t>loi</w:t>
      </w:r>
      <w:r w:rsidRPr="005A7112">
        <w:rPr>
          <w:rFonts w:ascii="Times New Roman" w:hAnsi="Times New Roman"/>
          <w:sz w:val="24"/>
        </w:rPr>
        <w:t xml:space="preserve">, en général, est la raison humaine, en tant qu’elle gouverne tous les peuples de la terre ; et les lois politiques et civiles de chaque nation ne doivent être que les cas particuliers où s’applique cette raison humaine » </w:t>
      </w:r>
    </w:p>
    <w:p w14:paraId="106EAFCE" w14:textId="24A393FA" w:rsidR="00FD0B53" w:rsidRP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 1</w:t>
      </w:r>
      <w:r w:rsidRPr="005A7112">
        <w:rPr>
          <w:rFonts w:ascii="Times New Roman" w:hAnsi="Times New Roman"/>
          <w:sz w:val="24"/>
          <w:vertAlign w:val="superscript"/>
        </w:rPr>
        <w:t>ère</w:t>
      </w:r>
      <w:r w:rsidRPr="005A7112">
        <w:rPr>
          <w:rFonts w:ascii="Times New Roman" w:hAnsi="Times New Roman"/>
          <w:sz w:val="24"/>
        </w:rPr>
        <w:t xml:space="preserve"> caractéristique des lois politiques et civiles : elles sont l’expression ou l’application particulière de la raison humaine. Autrement dit, elles sont expression d’une rationalité (</w:t>
      </w:r>
      <w:r w:rsidR="008D27D3" w:rsidRPr="005A7112">
        <w:rPr>
          <w:rFonts w:ascii="Times New Roman" w:hAnsi="Times New Roman"/>
          <w:sz w:val="24"/>
        </w:rPr>
        <w:t>c</w:t>
      </w:r>
      <w:r w:rsidRPr="005A7112">
        <w:rPr>
          <w:rFonts w:ascii="Times New Roman" w:hAnsi="Times New Roman"/>
          <w:sz w:val="24"/>
        </w:rPr>
        <w:t xml:space="preserve">f. postulat de </w:t>
      </w:r>
      <w:r w:rsidRPr="005A7112">
        <w:rPr>
          <w:rFonts w:ascii="Times New Roman" w:hAnsi="Times New Roman"/>
          <w:i/>
          <w:iCs/>
          <w:sz w:val="24"/>
        </w:rPr>
        <w:t>rationalité</w:t>
      </w:r>
      <w:r w:rsidRPr="005A7112">
        <w:rPr>
          <w:rFonts w:ascii="Times New Roman" w:hAnsi="Times New Roman"/>
          <w:sz w:val="24"/>
        </w:rPr>
        <w:t>). Toutes les lois ont rapport à la raison.</w:t>
      </w:r>
    </w:p>
    <w:p w14:paraId="015B3B32" w14:textId="77777777" w:rsidR="00FD0B53" w:rsidRP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 xml:space="preserve">ii) « Elles doivent être tellement propres au peuple pour lequel elles sont faites, que c’est un très grand hasard si celles d’une nation peuvent convenir à une autre » </w:t>
      </w:r>
    </w:p>
    <w:p w14:paraId="23FA99F9"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2</w:t>
      </w:r>
      <w:r w:rsidRPr="005A7112">
        <w:rPr>
          <w:rFonts w:ascii="Times New Roman" w:hAnsi="Times New Roman"/>
          <w:sz w:val="24"/>
          <w:vertAlign w:val="superscript"/>
        </w:rPr>
        <w:t>ème</w:t>
      </w:r>
      <w:r w:rsidRPr="005A7112">
        <w:rPr>
          <w:rFonts w:ascii="Times New Roman" w:hAnsi="Times New Roman"/>
          <w:sz w:val="24"/>
        </w:rPr>
        <w:t xml:space="preserve"> caractéristique : n’étant pas universelles, mais particulières, c’est-à-dire faites pour un peuple particulier, elles sont originales, singulières, uniques. = tension toujours entre une exigence d’universalité et l’affirmation d’une individualité irréductible qui interdit d’exporter ce qui a lieu ici à ce qui a lieu ailleurs. Cf. exigence de </w:t>
      </w:r>
      <w:r w:rsidRPr="005A7112">
        <w:rPr>
          <w:rFonts w:ascii="Times New Roman" w:hAnsi="Times New Roman"/>
          <w:i/>
          <w:iCs/>
          <w:sz w:val="24"/>
        </w:rPr>
        <w:t>contextualisation</w:t>
      </w:r>
      <w:r w:rsidRPr="005A7112">
        <w:rPr>
          <w:rFonts w:ascii="Times New Roman" w:hAnsi="Times New Roman"/>
          <w:sz w:val="24"/>
        </w:rPr>
        <w:t> : toutes les lois ont rapport au peuple particulier pour lesquelles elles sont faites.</w:t>
      </w:r>
    </w:p>
    <w:p w14:paraId="5FF1B0C2" w14:textId="77777777" w:rsidR="00FD0B53" w:rsidRP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 xml:space="preserve">iii) « Il faut qu’elles se rapportent à la nature et au principe du gouvernement… » </w:t>
      </w:r>
    </w:p>
    <w:p w14:paraId="5616FCDF"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3</w:t>
      </w:r>
      <w:r w:rsidRPr="005A7112">
        <w:rPr>
          <w:rFonts w:ascii="Times New Roman" w:hAnsi="Times New Roman"/>
          <w:sz w:val="24"/>
          <w:vertAlign w:val="superscript"/>
        </w:rPr>
        <w:t>ème</w:t>
      </w:r>
      <w:r w:rsidRPr="005A7112">
        <w:rPr>
          <w:rFonts w:ascii="Times New Roman" w:hAnsi="Times New Roman"/>
          <w:sz w:val="24"/>
        </w:rPr>
        <w:t xml:space="preserve"> caractéristique : elles relatives à la nature et au principe du gouvernement choisi. Lois dans une démocratie ne sont pas les mêmes que celles d’une monarchie, car elles reflètent ce gouvernement, sont inspirées par lui. = l’étude du rapport des lois avec la nature et le principe de chaque gouvernement va occuper directement les livre II à V compris. Toutes les lois ont rapport au </w:t>
      </w:r>
      <w:r w:rsidRPr="005A7112">
        <w:rPr>
          <w:rFonts w:ascii="Times New Roman" w:hAnsi="Times New Roman"/>
          <w:i/>
          <w:iCs/>
          <w:sz w:val="24"/>
        </w:rPr>
        <w:t>type</w:t>
      </w:r>
      <w:r w:rsidRPr="005A7112">
        <w:rPr>
          <w:rFonts w:ascii="Times New Roman" w:hAnsi="Times New Roman"/>
          <w:sz w:val="24"/>
        </w:rPr>
        <w:t xml:space="preserve"> de gouvernement considéré.</w:t>
      </w:r>
    </w:p>
    <w:p w14:paraId="4AEFD8DE" w14:textId="77777777" w:rsidR="00FD0B53" w:rsidRP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 xml:space="preserve">iv) « Elles doivent être relatives au </w:t>
      </w:r>
      <w:r w:rsidRPr="005A7112">
        <w:rPr>
          <w:rFonts w:ascii="Times New Roman" w:hAnsi="Times New Roman"/>
          <w:i/>
          <w:iCs/>
          <w:sz w:val="24"/>
        </w:rPr>
        <w:t>physique</w:t>
      </w:r>
      <w:r w:rsidRPr="005A7112">
        <w:rPr>
          <w:rFonts w:ascii="Times New Roman" w:hAnsi="Times New Roman"/>
          <w:sz w:val="24"/>
        </w:rPr>
        <w:t xml:space="preserve"> du pays ; au climat glacé… » </w:t>
      </w:r>
    </w:p>
    <w:p w14:paraId="6E5F9F07"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4</w:t>
      </w:r>
      <w:r w:rsidRPr="005A7112">
        <w:rPr>
          <w:rFonts w:ascii="Times New Roman" w:hAnsi="Times New Roman"/>
          <w:sz w:val="24"/>
          <w:vertAlign w:val="superscript"/>
        </w:rPr>
        <w:t>ème</w:t>
      </w:r>
      <w:r w:rsidRPr="005A7112">
        <w:rPr>
          <w:rFonts w:ascii="Times New Roman" w:hAnsi="Times New Roman"/>
          <w:sz w:val="24"/>
        </w:rPr>
        <w:t xml:space="preserve"> caractéristique : elles sont relatives à la configuration du pays (climat, c’est-à-dire climat et latitude, sol, géographie), de ses habitants (genre de vie, liberté, religion, inclinations, richesses, nombre, commerce, mœurs, manières). Toutes les lois sont déterminées par des </w:t>
      </w:r>
      <w:r w:rsidRPr="005A7112">
        <w:rPr>
          <w:rFonts w:ascii="Times New Roman" w:hAnsi="Times New Roman"/>
          <w:i/>
          <w:iCs/>
          <w:sz w:val="24"/>
        </w:rPr>
        <w:t>causes physiques</w:t>
      </w:r>
      <w:r w:rsidRPr="005A7112">
        <w:rPr>
          <w:rFonts w:ascii="Times New Roman" w:hAnsi="Times New Roman"/>
          <w:sz w:val="24"/>
        </w:rPr>
        <w:t xml:space="preserve"> (géographie) et des </w:t>
      </w:r>
      <w:r w:rsidRPr="005A7112">
        <w:rPr>
          <w:rFonts w:ascii="Times New Roman" w:hAnsi="Times New Roman"/>
          <w:i/>
          <w:iCs/>
          <w:sz w:val="24"/>
        </w:rPr>
        <w:t>causes morales</w:t>
      </w:r>
      <w:r w:rsidRPr="005A7112">
        <w:rPr>
          <w:rFonts w:ascii="Times New Roman" w:hAnsi="Times New Roman"/>
          <w:sz w:val="24"/>
        </w:rPr>
        <w:t xml:space="preserve"> (religion, manières, mœurs). L’ensemble de ces causes, plus ou moins mêlées et déterminantes, forme l’esprit général d’une nation.</w:t>
      </w:r>
    </w:p>
    <w:p w14:paraId="46BFAFB1" w14:textId="77777777" w:rsid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 xml:space="preserve">v) « Enfin elles ont des rapports entre elles ; elles en ont avec leur origine, avec l’objet du législateur, avec l’ordre des choses sur lesquelles elles sont établies » </w:t>
      </w:r>
    </w:p>
    <w:p w14:paraId="6564BC56" w14:textId="1D830767" w:rsidR="00FD0B53" w:rsidRPr="005A7112" w:rsidRDefault="00FD0B53" w:rsidP="005A7112">
      <w:pPr>
        <w:spacing w:line="360" w:lineRule="auto"/>
        <w:rPr>
          <w:rFonts w:ascii="Times New Roman" w:hAnsi="Times New Roman"/>
          <w:sz w:val="24"/>
        </w:rPr>
      </w:pPr>
      <w:r w:rsidRPr="005A7112">
        <w:rPr>
          <w:rFonts w:ascii="Times New Roman" w:hAnsi="Times New Roman"/>
          <w:sz w:val="24"/>
        </w:rPr>
        <w:t>= 5</w:t>
      </w:r>
      <w:r w:rsidRPr="005A7112">
        <w:rPr>
          <w:rFonts w:ascii="Times New Roman" w:hAnsi="Times New Roman"/>
          <w:sz w:val="24"/>
          <w:vertAlign w:val="superscript"/>
        </w:rPr>
        <w:t>ème</w:t>
      </w:r>
      <w:r w:rsidRPr="005A7112">
        <w:rPr>
          <w:rFonts w:ascii="Times New Roman" w:hAnsi="Times New Roman"/>
          <w:sz w:val="24"/>
        </w:rPr>
        <w:t xml:space="preserve"> caractéristique : elles forment un système dont toutes les parties sont déterminées les unes par rapport aux autres et par la constitution dont elles procèdent. Les lois interagissent les unes sur les autres, se déterminent les unes sur les autres.</w:t>
      </w:r>
    </w:p>
    <w:p w14:paraId="649A258D"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u w:val="single"/>
        </w:rPr>
        <w:t>Le but de l’ouvrage</w:t>
      </w:r>
      <w:r w:rsidRPr="005A7112">
        <w:rPr>
          <w:rFonts w:ascii="Times New Roman" w:hAnsi="Times New Roman"/>
          <w:sz w:val="24"/>
        </w:rPr>
        <w:t> est de considérer les lois non en elles-mêmes et pour elles-mêmes, mais selon tous ces rapports. Pp.95-96 : « </w:t>
      </w:r>
      <w:r w:rsidRPr="005A7112">
        <w:rPr>
          <w:rFonts w:ascii="Times New Roman" w:hAnsi="Times New Roman"/>
          <w:b/>
          <w:bCs/>
          <w:sz w:val="24"/>
        </w:rPr>
        <w:t>J’examinerai tous ces rapports : ils forment tous ensemble ce que l’on appelle l’</w:t>
      </w:r>
      <w:r w:rsidRPr="005A7112">
        <w:rPr>
          <w:rFonts w:ascii="Times New Roman" w:hAnsi="Times New Roman"/>
          <w:b/>
          <w:bCs/>
          <w:i/>
          <w:iCs/>
          <w:sz w:val="24"/>
        </w:rPr>
        <w:t>Esprit des lois</w:t>
      </w:r>
      <w:r w:rsidRPr="005A7112">
        <w:rPr>
          <w:rFonts w:ascii="Times New Roman" w:hAnsi="Times New Roman"/>
          <w:b/>
          <w:bCs/>
          <w:sz w:val="24"/>
        </w:rPr>
        <w:t> </w:t>
      </w:r>
      <w:r w:rsidRPr="005A7112">
        <w:rPr>
          <w:rFonts w:ascii="Times New Roman" w:hAnsi="Times New Roman"/>
          <w:sz w:val="24"/>
        </w:rPr>
        <w:t xml:space="preserve">». p.96 : « je ne traite point des lois, mais de l’esprit des lois, et (…) cet esprit consiste dans les divers rapports que les lois peuvent avoir avec diverses choses ». </w:t>
      </w:r>
    </w:p>
    <w:p w14:paraId="089F8B29" w14:textId="77777777" w:rsidR="00FD0B53" w:rsidRPr="005A7112" w:rsidRDefault="00FD0B53" w:rsidP="00FD0B53">
      <w:pPr>
        <w:pStyle w:val="Listedecours"/>
        <w:spacing w:line="360" w:lineRule="auto"/>
        <w:rPr>
          <w:rFonts w:ascii="Times New Roman" w:hAnsi="Times New Roman"/>
          <w:sz w:val="24"/>
        </w:rPr>
      </w:pPr>
      <w:r w:rsidRPr="005A7112">
        <w:rPr>
          <w:rFonts w:ascii="Times New Roman" w:hAnsi="Times New Roman"/>
          <w:sz w:val="24"/>
        </w:rPr>
        <w:lastRenderedPageBreak/>
        <w:t xml:space="preserve">- Considérer l’esprit des lois, c’est considérer les lois sous tous ces points de vue, relativement à toutes ces déterminations, et non en elles-mêmes. Le but n’est pas l’étude des lois, mais l’analyse de ses principes. Le texte a donc pour objet la </w:t>
      </w:r>
      <w:r w:rsidRPr="005A7112">
        <w:rPr>
          <w:rFonts w:ascii="Times New Roman" w:hAnsi="Times New Roman"/>
          <w:i/>
          <w:iCs/>
          <w:sz w:val="24"/>
        </w:rPr>
        <w:t>causalité</w:t>
      </w:r>
      <w:r w:rsidRPr="005A7112">
        <w:rPr>
          <w:rFonts w:ascii="Times New Roman" w:hAnsi="Times New Roman"/>
          <w:sz w:val="24"/>
        </w:rPr>
        <w:t xml:space="preserve"> ou plus précisément les modes de la causalité que sont i) le rapport du particulier au général ; ii) la cause finale éminemment contextualisée ; iii) le rapport d’expression ou d’émanation ; iv) la cause efficiente (sous sa forme physique et morale) ; v) la causalité réciproque. = L’esprit des lois n’est autre que l’ensemble de ces formes de causalité ou de détermination. Il est le contenu de ce concept varié et riche qu’est le concept de causalité ;</w:t>
      </w:r>
    </w:p>
    <w:p w14:paraId="6BAA5DD0" w14:textId="77777777" w:rsidR="00FD0B53" w:rsidRPr="005A7112" w:rsidRDefault="00FD0B53" w:rsidP="00FD0B53">
      <w:pPr>
        <w:pStyle w:val="Listedecours"/>
        <w:spacing w:line="360" w:lineRule="auto"/>
        <w:rPr>
          <w:rFonts w:ascii="Times New Roman" w:hAnsi="Times New Roman"/>
          <w:sz w:val="24"/>
        </w:rPr>
      </w:pPr>
      <w:r w:rsidRPr="005A7112">
        <w:rPr>
          <w:rFonts w:ascii="Times New Roman" w:hAnsi="Times New Roman"/>
          <w:sz w:val="24"/>
        </w:rPr>
        <w:t xml:space="preserve">- Examiner tous ces rapports : c’est déterminer </w:t>
      </w:r>
      <w:r w:rsidRPr="005A7112">
        <w:rPr>
          <w:rFonts w:ascii="Times New Roman" w:hAnsi="Times New Roman"/>
          <w:i/>
          <w:iCs/>
          <w:sz w:val="24"/>
        </w:rPr>
        <w:t>les lois des lois</w:t>
      </w:r>
      <w:r w:rsidRPr="005A7112">
        <w:rPr>
          <w:rFonts w:ascii="Times New Roman" w:hAnsi="Times New Roman"/>
          <w:sz w:val="24"/>
        </w:rPr>
        <w:t>, puisque la loi définit un rapport nécessaire dérivant de la nature de la chose (livre I, chap.1, p.87 : définition la plus générale des lois : « les rapports nécessaires qui dérivent de la nature des choses »). L’esprit des lois est un ensemble de rapports de rapports, ces derniers ayant également des rapports entre eux puisque les lois agissent les une</w:t>
      </w:r>
      <w:r w:rsidR="008D27D3" w:rsidRPr="005A7112">
        <w:rPr>
          <w:rFonts w:ascii="Times New Roman" w:hAnsi="Times New Roman"/>
          <w:sz w:val="24"/>
        </w:rPr>
        <w:t>s</w:t>
      </w:r>
      <w:r w:rsidRPr="005A7112">
        <w:rPr>
          <w:rFonts w:ascii="Times New Roman" w:hAnsi="Times New Roman"/>
          <w:sz w:val="24"/>
        </w:rPr>
        <w:t xml:space="preserve"> sur les autres. L’esprit des lois = l’ensemble des rapports entretenus par les lois positives avec les composantes de la nature des choses (= tout ce qui les déterminent). !! pas de principe explicatif unique (climat ou autre), mais au contraire pluralité de facteurs dont il faut à chaque fois évaluer l’importance relative.</w:t>
      </w:r>
    </w:p>
    <w:p w14:paraId="01DDDE11" w14:textId="10E446A1" w:rsidR="008D27D3" w:rsidRPr="005A7112" w:rsidRDefault="00FD0B53" w:rsidP="00FD0B53">
      <w:pPr>
        <w:pStyle w:val="Listedecours"/>
        <w:spacing w:line="360" w:lineRule="auto"/>
        <w:rPr>
          <w:rFonts w:ascii="Times New Roman" w:hAnsi="Times New Roman"/>
          <w:sz w:val="24"/>
        </w:rPr>
      </w:pPr>
      <w:r w:rsidRPr="005A7112">
        <w:rPr>
          <w:rFonts w:ascii="Times New Roman" w:hAnsi="Times New Roman"/>
          <w:sz w:val="24"/>
        </w:rPr>
        <w:t xml:space="preserve">- </w:t>
      </w:r>
      <w:r w:rsidR="005A7112">
        <w:rPr>
          <w:rFonts w:ascii="Times New Roman" w:hAnsi="Times New Roman"/>
          <w:sz w:val="24"/>
        </w:rPr>
        <w:t>L</w:t>
      </w:r>
      <w:r w:rsidRPr="005A7112">
        <w:rPr>
          <w:rFonts w:ascii="Times New Roman" w:hAnsi="Times New Roman"/>
          <w:sz w:val="24"/>
        </w:rPr>
        <w:t>’</w:t>
      </w:r>
      <w:r w:rsidRPr="005A7112">
        <w:rPr>
          <w:rFonts w:ascii="Times New Roman" w:hAnsi="Times New Roman"/>
          <w:sz w:val="24"/>
          <w:u w:val="single"/>
        </w:rPr>
        <w:t>esprit</w:t>
      </w:r>
      <w:r w:rsidRPr="005A7112">
        <w:rPr>
          <w:rFonts w:ascii="Times New Roman" w:hAnsi="Times New Roman"/>
          <w:sz w:val="24"/>
        </w:rPr>
        <w:t xml:space="preserve"> désigne donc la totalité des rapports dont les combinaisons diverses conditionnent le phénomène. Il n’est que ces rapports, de même que pour Montesquieu l’esprit n’est pas une faculté dotée d’une nature, une entité séparée, mais le lieu où se produisent les associations d’idées et de sentiments tirés de l’expérience, c’est-à-dire le centre d’un réseau de rapports. </w:t>
      </w:r>
      <w:r w:rsidR="008D27D3" w:rsidRPr="005A7112">
        <w:rPr>
          <w:rFonts w:ascii="Times New Roman" w:hAnsi="Times New Roman"/>
          <w:sz w:val="24"/>
        </w:rPr>
        <w:t xml:space="preserve">Bertrand </w:t>
      </w:r>
      <w:r w:rsidRPr="005A7112">
        <w:rPr>
          <w:rFonts w:ascii="Times New Roman" w:hAnsi="Times New Roman"/>
          <w:sz w:val="24"/>
        </w:rPr>
        <w:t xml:space="preserve">Binoche </w:t>
      </w:r>
      <w:r w:rsidR="008D27D3" w:rsidRPr="005A7112">
        <w:rPr>
          <w:rFonts w:ascii="Times New Roman" w:hAnsi="Times New Roman"/>
          <w:sz w:val="24"/>
        </w:rPr>
        <w:t>(</w:t>
      </w:r>
      <w:r w:rsidR="008D27D3" w:rsidRPr="005A7112">
        <w:rPr>
          <w:rFonts w:ascii="Times New Roman" w:hAnsi="Times New Roman"/>
          <w:i/>
          <w:iCs/>
          <w:sz w:val="24"/>
        </w:rPr>
        <w:t xml:space="preserve">Introduction à </w:t>
      </w:r>
      <w:r w:rsidR="008D27D3" w:rsidRPr="005A7112">
        <w:rPr>
          <w:rFonts w:ascii="Times New Roman" w:hAnsi="Times New Roman"/>
          <w:sz w:val="24"/>
        </w:rPr>
        <w:t>De l’esprit des lois</w:t>
      </w:r>
      <w:r w:rsidR="008D27D3" w:rsidRPr="005A7112">
        <w:rPr>
          <w:rFonts w:ascii="Times New Roman" w:hAnsi="Times New Roman"/>
          <w:i/>
          <w:iCs/>
          <w:sz w:val="24"/>
        </w:rPr>
        <w:t xml:space="preserve"> de Montesquieu</w:t>
      </w:r>
      <w:r w:rsidR="005A7112">
        <w:rPr>
          <w:rFonts w:ascii="Times New Roman" w:hAnsi="Times New Roman"/>
          <w:sz w:val="24"/>
        </w:rPr>
        <w:t xml:space="preserve">, </w:t>
      </w:r>
      <w:r w:rsidRPr="005A7112">
        <w:rPr>
          <w:rFonts w:ascii="Times New Roman" w:hAnsi="Times New Roman"/>
          <w:sz w:val="24"/>
        </w:rPr>
        <w:t>p.154</w:t>
      </w:r>
      <w:r w:rsidR="008D27D3" w:rsidRPr="005A7112">
        <w:rPr>
          <w:rFonts w:ascii="Times New Roman" w:hAnsi="Times New Roman"/>
          <w:sz w:val="24"/>
        </w:rPr>
        <w:t>)</w:t>
      </w:r>
      <w:r w:rsidRPr="005A7112">
        <w:rPr>
          <w:rFonts w:ascii="Times New Roman" w:hAnsi="Times New Roman"/>
          <w:sz w:val="24"/>
        </w:rPr>
        <w:t xml:space="preserve"> rapproche l’esprit de </w:t>
      </w:r>
    </w:p>
    <w:p w14:paraId="379CDC10" w14:textId="2FC01751" w:rsidR="00FD0B53" w:rsidRPr="005A7112" w:rsidRDefault="005A7112" w:rsidP="00FD0B53">
      <w:pPr>
        <w:spacing w:line="360" w:lineRule="auto"/>
        <w:rPr>
          <w:rFonts w:ascii="Times New Roman" w:hAnsi="Times New Roman"/>
          <w:sz w:val="24"/>
        </w:rPr>
      </w:pPr>
      <w:r>
        <w:rPr>
          <w:rFonts w:ascii="Times New Roman" w:hAnsi="Times New Roman"/>
          <w:sz w:val="24"/>
        </w:rPr>
        <w:t>i</w:t>
      </w:r>
      <w:r w:rsidR="00FD0B53" w:rsidRPr="005A7112">
        <w:rPr>
          <w:rFonts w:ascii="Times New Roman" w:hAnsi="Times New Roman"/>
          <w:sz w:val="24"/>
        </w:rPr>
        <w:t>) sa signification chez les alchimistes d’essentiel que l’on obtient après distillation (l’esprit-de-vin, l’esprit-de-sel) : c’est ce à quoi il faut restreindre l’exposé pour ne pas l’encombrer de détails. Si l’esprit est totalité, c’est seulement de l’essentiel, c’est-à-dire des principes</w:t>
      </w:r>
      <w:r w:rsidR="008D27D3" w:rsidRPr="005A7112">
        <w:rPr>
          <w:rFonts w:ascii="Times New Roman" w:hAnsi="Times New Roman"/>
          <w:sz w:val="24"/>
        </w:rPr>
        <w:t>. C</w:t>
      </w:r>
      <w:r w:rsidR="00FD0B53" w:rsidRPr="005A7112">
        <w:rPr>
          <w:rFonts w:ascii="Times New Roman" w:hAnsi="Times New Roman"/>
          <w:sz w:val="24"/>
        </w:rPr>
        <w:t>f. procédé de systématisation pour dégager des principes comme on extrait d’un mélange ses produits subtils</w:t>
      </w:r>
      <w:r w:rsidR="008D27D3" w:rsidRPr="005A7112">
        <w:rPr>
          <w:rFonts w:ascii="Times New Roman" w:hAnsi="Times New Roman"/>
          <w:sz w:val="24"/>
        </w:rPr>
        <w:t>.</w:t>
      </w:r>
    </w:p>
    <w:p w14:paraId="17B319E6" w14:textId="472860FA" w:rsidR="00FD0B53" w:rsidRPr="005A7112" w:rsidRDefault="005A7112" w:rsidP="00FD0B53">
      <w:pPr>
        <w:spacing w:line="360" w:lineRule="auto"/>
        <w:rPr>
          <w:rFonts w:ascii="Times New Roman" w:hAnsi="Times New Roman"/>
          <w:sz w:val="24"/>
        </w:rPr>
      </w:pPr>
      <w:r>
        <w:rPr>
          <w:rFonts w:ascii="Times New Roman" w:hAnsi="Times New Roman"/>
          <w:sz w:val="24"/>
        </w:rPr>
        <w:t>ii</w:t>
      </w:r>
      <w:r w:rsidR="00FD0B53" w:rsidRPr="005A7112">
        <w:rPr>
          <w:rFonts w:ascii="Times New Roman" w:hAnsi="Times New Roman"/>
          <w:sz w:val="24"/>
        </w:rPr>
        <w:t xml:space="preserve">) </w:t>
      </w:r>
      <w:r w:rsidR="008D27D3" w:rsidRPr="005A7112">
        <w:rPr>
          <w:rFonts w:ascii="Times New Roman" w:hAnsi="Times New Roman"/>
          <w:sz w:val="24"/>
        </w:rPr>
        <w:t>L</w:t>
      </w:r>
      <w:r w:rsidR="00FD0B53" w:rsidRPr="005A7112">
        <w:rPr>
          <w:rFonts w:ascii="Times New Roman" w:hAnsi="Times New Roman"/>
          <w:sz w:val="24"/>
        </w:rPr>
        <w:t xml:space="preserve">’esprit comme état d’esprit : c’est la disposition d’esprit, l’effet psychologique individuel ou collectif qui résulte de l’esprit en son premier sens. Ainsi est-il question de l’esprit d’une nation (à différencier du </w:t>
      </w:r>
      <w:proofErr w:type="spellStart"/>
      <w:r w:rsidR="00FD0B53" w:rsidRPr="005A7112">
        <w:rPr>
          <w:rFonts w:ascii="Times New Roman" w:hAnsi="Times New Roman"/>
          <w:i/>
          <w:iCs/>
          <w:sz w:val="24"/>
        </w:rPr>
        <w:t>Volksgeist</w:t>
      </w:r>
      <w:proofErr w:type="spellEnd"/>
      <w:r w:rsidR="00FD0B53" w:rsidRPr="005A7112">
        <w:rPr>
          <w:rFonts w:ascii="Times New Roman" w:hAnsi="Times New Roman"/>
          <w:sz w:val="24"/>
        </w:rPr>
        <w:t xml:space="preserve"> hégélien car l’esprit chez Montesquieu n’a pas de caractère organique, vital) ou l’esprit de commerce, l’esprit d’une religion, l’esprit d’égalité dans la démocratie</w:t>
      </w:r>
      <w:r w:rsidR="008D27D3" w:rsidRPr="005A7112">
        <w:rPr>
          <w:rFonts w:ascii="Times New Roman" w:hAnsi="Times New Roman"/>
          <w:sz w:val="24"/>
        </w:rPr>
        <w:t>.</w:t>
      </w:r>
      <w:r w:rsidR="00FD0B53" w:rsidRPr="005A7112">
        <w:rPr>
          <w:rFonts w:ascii="Times New Roman" w:hAnsi="Times New Roman"/>
          <w:sz w:val="24"/>
        </w:rPr>
        <w:t xml:space="preserve"> </w:t>
      </w:r>
    </w:p>
    <w:p w14:paraId="4CF54CFE" w14:textId="0D1938C4" w:rsidR="00FD0B53" w:rsidRPr="005A7112" w:rsidRDefault="005A7112" w:rsidP="00FD0B53">
      <w:pPr>
        <w:spacing w:line="360" w:lineRule="auto"/>
        <w:rPr>
          <w:rFonts w:ascii="Times New Roman" w:hAnsi="Times New Roman"/>
          <w:sz w:val="24"/>
        </w:rPr>
      </w:pPr>
      <w:r>
        <w:rPr>
          <w:rFonts w:ascii="Times New Roman" w:hAnsi="Times New Roman"/>
          <w:sz w:val="24"/>
        </w:rPr>
        <w:t>iii</w:t>
      </w:r>
      <w:r w:rsidR="00FD0B53" w:rsidRPr="005A7112">
        <w:rPr>
          <w:rFonts w:ascii="Times New Roman" w:hAnsi="Times New Roman"/>
          <w:sz w:val="24"/>
        </w:rPr>
        <w:t xml:space="preserve">) </w:t>
      </w:r>
      <w:r w:rsidR="008D27D3" w:rsidRPr="005A7112">
        <w:rPr>
          <w:rFonts w:ascii="Times New Roman" w:hAnsi="Times New Roman"/>
          <w:sz w:val="24"/>
        </w:rPr>
        <w:t>L’</w:t>
      </w:r>
      <w:r w:rsidR="00FD0B53" w:rsidRPr="005A7112">
        <w:rPr>
          <w:rFonts w:ascii="Times New Roman" w:hAnsi="Times New Roman"/>
          <w:sz w:val="24"/>
        </w:rPr>
        <w:t>esprit</w:t>
      </w:r>
      <w:r w:rsidR="008D27D3" w:rsidRPr="005A7112">
        <w:rPr>
          <w:rFonts w:ascii="Times New Roman" w:hAnsi="Times New Roman"/>
          <w:sz w:val="24"/>
        </w:rPr>
        <w:t xml:space="preserve"> (intention, fin)</w:t>
      </w:r>
      <w:r w:rsidR="00FD0B53" w:rsidRPr="005A7112">
        <w:rPr>
          <w:rFonts w:ascii="Times New Roman" w:hAnsi="Times New Roman"/>
          <w:sz w:val="24"/>
        </w:rPr>
        <w:t xml:space="preserve"> </w:t>
      </w:r>
      <w:r w:rsidR="008D27D3" w:rsidRPr="005A7112">
        <w:rPr>
          <w:rFonts w:ascii="Times New Roman" w:hAnsi="Times New Roman"/>
          <w:sz w:val="24"/>
        </w:rPr>
        <w:t>s’oppose</w:t>
      </w:r>
      <w:r w:rsidR="00FD0B53" w:rsidRPr="005A7112">
        <w:rPr>
          <w:rFonts w:ascii="Times New Roman" w:hAnsi="Times New Roman"/>
          <w:sz w:val="24"/>
        </w:rPr>
        <w:t xml:space="preserve"> à la lettre</w:t>
      </w:r>
      <w:r w:rsidR="008D27D3" w:rsidRPr="005A7112">
        <w:rPr>
          <w:rFonts w:ascii="Times New Roman" w:hAnsi="Times New Roman"/>
          <w:sz w:val="24"/>
        </w:rPr>
        <w:t>.</w:t>
      </w:r>
    </w:p>
    <w:p w14:paraId="79978E34" w14:textId="54AA38E2" w:rsidR="00FD0B53" w:rsidRPr="005A7112" w:rsidRDefault="00FD0B53" w:rsidP="00FD0B53">
      <w:pPr>
        <w:pStyle w:val="Titre11"/>
        <w:spacing w:line="360" w:lineRule="auto"/>
        <w:jc w:val="both"/>
        <w:rPr>
          <w:rFonts w:ascii="Times New Roman" w:hAnsi="Times New Roman" w:cs="Times New Roman"/>
          <w:sz w:val="24"/>
          <w:szCs w:val="24"/>
          <w:u w:val="single"/>
        </w:rPr>
      </w:pPr>
      <w:r w:rsidRPr="005A7112">
        <w:rPr>
          <w:rFonts w:ascii="Times New Roman" w:hAnsi="Times New Roman" w:cs="Times New Roman"/>
          <w:sz w:val="24"/>
          <w:szCs w:val="24"/>
        </w:rPr>
        <w:t>L’ambiguïté du projet de Montesquieu</w:t>
      </w:r>
    </w:p>
    <w:p w14:paraId="46374A3D"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a) </w:t>
      </w:r>
      <w:r w:rsidRPr="005A7112">
        <w:rPr>
          <w:rFonts w:ascii="Times New Roman" w:hAnsi="Times New Roman"/>
          <w:sz w:val="24"/>
          <w:u w:val="single"/>
        </w:rPr>
        <w:t xml:space="preserve">Question : esprit des lois </w:t>
      </w:r>
      <w:r w:rsidRPr="005A7112">
        <w:rPr>
          <w:rFonts w:ascii="Times New Roman" w:hAnsi="Times New Roman"/>
          <w:i/>
          <w:iCs/>
          <w:sz w:val="24"/>
          <w:u w:val="single"/>
        </w:rPr>
        <w:t>seulement</w:t>
      </w:r>
      <w:r w:rsidRPr="005A7112">
        <w:rPr>
          <w:rFonts w:ascii="Times New Roman" w:hAnsi="Times New Roman"/>
          <w:sz w:val="24"/>
          <w:u w:val="single"/>
        </w:rPr>
        <w:t> ?</w:t>
      </w:r>
      <w:r w:rsidRPr="005A7112">
        <w:rPr>
          <w:rFonts w:ascii="Times New Roman" w:hAnsi="Times New Roman"/>
          <w:sz w:val="24"/>
        </w:rPr>
        <w:t xml:space="preserve"> La seconde partie de la </w:t>
      </w:r>
      <w:r w:rsidRPr="005A7112">
        <w:rPr>
          <w:rFonts w:ascii="Times New Roman" w:hAnsi="Times New Roman"/>
          <w:i/>
          <w:iCs/>
          <w:sz w:val="24"/>
        </w:rPr>
        <w:t>Défense de l’Esprit des lois</w:t>
      </w:r>
      <w:r w:rsidRPr="005A7112">
        <w:rPr>
          <w:rFonts w:ascii="Times New Roman" w:hAnsi="Times New Roman"/>
          <w:sz w:val="24"/>
        </w:rPr>
        <w:t xml:space="preserve"> p.1224 : « On peut dire que le sujet en est immense, puisqu’il embrasse toutes les institutions qui sont reçues parmi les hommes ».</w:t>
      </w:r>
    </w:p>
    <w:p w14:paraId="5227EEFC" w14:textId="77777777" w:rsidR="00FD0B53" w:rsidRPr="005A7112" w:rsidRDefault="00FD0B53" w:rsidP="00FD0B53">
      <w:pPr>
        <w:pStyle w:val="Corpsdetexte"/>
        <w:rPr>
          <w:rFonts w:ascii="Times New Roman" w:hAnsi="Times New Roman"/>
          <w:sz w:val="24"/>
        </w:rPr>
      </w:pPr>
      <w:r w:rsidRPr="005A7112">
        <w:rPr>
          <w:rFonts w:ascii="Times New Roman" w:hAnsi="Times New Roman"/>
          <w:sz w:val="24"/>
        </w:rPr>
        <w:lastRenderedPageBreak/>
        <w:t xml:space="preserve">= extension à toutes les </w:t>
      </w:r>
      <w:r w:rsidRPr="005A7112">
        <w:rPr>
          <w:rFonts w:ascii="Times New Roman" w:hAnsi="Times New Roman"/>
          <w:i/>
          <w:iCs/>
          <w:sz w:val="24"/>
        </w:rPr>
        <w:t>institutions</w:t>
      </w:r>
      <w:r w:rsidRPr="005A7112">
        <w:rPr>
          <w:rFonts w:ascii="Times New Roman" w:hAnsi="Times New Roman"/>
          <w:sz w:val="24"/>
        </w:rPr>
        <w:t xml:space="preserve"> humaines (mœurs et manières et pas seulement lois civiles et politiques), distinguées des institutions divines et de la nature. Objet de l’ouvrage : l’esprit de toutes les institutions humaines, c’est-à-dire l’étude différentielle de toutes les contraintes que s’inventent les hommes pour régler leurs comportements. Cf. étude du rapport lois/mœurs/manières…</w:t>
      </w:r>
    </w:p>
    <w:p w14:paraId="610817CE" w14:textId="73F87B9A" w:rsidR="00FD0B53" w:rsidRPr="005A7112" w:rsidRDefault="00FD0B53" w:rsidP="005A7112">
      <w:pPr>
        <w:pStyle w:val="Corpsdetexte"/>
        <w:rPr>
          <w:rFonts w:ascii="Times New Roman" w:hAnsi="Times New Roman"/>
          <w:sz w:val="24"/>
          <w:u w:val="single"/>
        </w:rPr>
      </w:pPr>
      <w:r w:rsidRPr="005A7112">
        <w:rPr>
          <w:rFonts w:ascii="Times New Roman" w:hAnsi="Times New Roman"/>
          <w:sz w:val="24"/>
        </w:rPr>
        <w:t>b)</w:t>
      </w:r>
      <w:r w:rsidR="005A7112" w:rsidRPr="005A7112">
        <w:rPr>
          <w:rFonts w:ascii="Times New Roman" w:hAnsi="Times New Roman"/>
          <w:sz w:val="24"/>
        </w:rPr>
        <w:t xml:space="preserve"> </w:t>
      </w:r>
      <w:r w:rsidR="005A7112">
        <w:rPr>
          <w:rFonts w:ascii="Times New Roman" w:hAnsi="Times New Roman"/>
          <w:sz w:val="24"/>
          <w:u w:val="single"/>
        </w:rPr>
        <w:t>A</w:t>
      </w:r>
      <w:r w:rsidRPr="005A7112">
        <w:rPr>
          <w:rFonts w:ascii="Times New Roman" w:hAnsi="Times New Roman"/>
          <w:sz w:val="24"/>
          <w:u w:val="single"/>
        </w:rPr>
        <w:t>mbiguïtés de la maîtrise</w:t>
      </w:r>
    </w:p>
    <w:p w14:paraId="0E862703" w14:textId="6C9E4045" w:rsidR="00FD0B53" w:rsidRPr="005A7112" w:rsidRDefault="00FD0B53" w:rsidP="00FD0B53">
      <w:pPr>
        <w:pStyle w:val="Corpsdetexte"/>
        <w:rPr>
          <w:rFonts w:ascii="Times New Roman" w:hAnsi="Times New Roman"/>
          <w:sz w:val="24"/>
        </w:rPr>
      </w:pPr>
      <w:r w:rsidRPr="005A7112">
        <w:rPr>
          <w:rFonts w:ascii="Times New Roman" w:hAnsi="Times New Roman"/>
          <w:sz w:val="24"/>
        </w:rPr>
        <w:t>La découverte de lois permet une maîtrise et une puissance (</w:t>
      </w:r>
      <w:r w:rsidR="008D27D3" w:rsidRPr="005A7112">
        <w:rPr>
          <w:rFonts w:ascii="Times New Roman" w:hAnsi="Times New Roman"/>
          <w:sz w:val="24"/>
        </w:rPr>
        <w:t xml:space="preserve">suivant l’adage de </w:t>
      </w:r>
      <w:r w:rsidR="005A7112">
        <w:rPr>
          <w:rFonts w:ascii="Times New Roman" w:hAnsi="Times New Roman"/>
          <w:sz w:val="24"/>
        </w:rPr>
        <w:t xml:space="preserve">Francis </w:t>
      </w:r>
      <w:r w:rsidR="008D27D3" w:rsidRPr="005A7112">
        <w:rPr>
          <w:rFonts w:ascii="Times New Roman" w:hAnsi="Times New Roman"/>
          <w:sz w:val="24"/>
        </w:rPr>
        <w:t>Bacon,</w:t>
      </w:r>
      <w:r w:rsidRPr="005A7112">
        <w:rPr>
          <w:rFonts w:ascii="Times New Roman" w:hAnsi="Times New Roman"/>
          <w:sz w:val="24"/>
        </w:rPr>
        <w:t xml:space="preserve"> « On ne triomphe de la nature qu’en lui obéissant</w:t>
      </w:r>
      <w:proofErr w:type="gramStart"/>
      <w:r w:rsidRPr="005A7112">
        <w:rPr>
          <w:rFonts w:ascii="Times New Roman" w:hAnsi="Times New Roman"/>
          <w:sz w:val="24"/>
        </w:rPr>
        <w:t> »…</w:t>
      </w:r>
      <w:proofErr w:type="gramEnd"/>
      <w:r w:rsidRPr="005A7112">
        <w:rPr>
          <w:rFonts w:ascii="Times New Roman" w:hAnsi="Times New Roman"/>
          <w:sz w:val="24"/>
        </w:rPr>
        <w:t xml:space="preserve">) : une fois identifié les rapports qui font l’esprit des institutions humaines, on pourra obtenir les moyens nécessaires pour obtenir une fin : les lois découvertes deviennent des impératifs hypothétiques, sorte d’application politique et juridique du projet baconien de maîtrise de la nature. D’où les maximes importantes présentes tout le long de EL (ex. : V, 7, p.160 : « Maxime générale : dans un sénat… » ; XII, 5, p.382 : « Maxime importante… » ; XVI, 15, p.510 : « C’est donc une règle générale que… » ; XIX, 12, p.574 : « C’est une maxime capitale… »). </w:t>
      </w:r>
    </w:p>
    <w:p w14:paraId="4B934427"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 </w:t>
      </w:r>
      <w:r w:rsidRPr="005A7112">
        <w:rPr>
          <w:rFonts w:ascii="Times New Roman" w:hAnsi="Times New Roman"/>
          <w:i/>
          <w:iCs/>
          <w:sz w:val="24"/>
        </w:rPr>
        <w:t>La science est indissociable d’une technique qui est l’art de gouverner</w:t>
      </w:r>
      <w:r w:rsidRPr="005A7112">
        <w:rPr>
          <w:rFonts w:ascii="Times New Roman" w:hAnsi="Times New Roman"/>
          <w:sz w:val="24"/>
        </w:rPr>
        <w:t xml:space="preserve"> : XII, 25, p.409 : « Le sublime de l’administration est de bien connaître quelle est la partie du pouvoir, grande ou petite, que l’on doit employer dans les diverses circonstances » = il s’agit de l’exercice efficace du pouvoir. </w:t>
      </w:r>
      <w:r w:rsidR="008D27D3" w:rsidRPr="005A7112">
        <w:rPr>
          <w:rFonts w:ascii="Times New Roman" w:hAnsi="Times New Roman"/>
          <w:sz w:val="24"/>
        </w:rPr>
        <w:t>À</w:t>
      </w:r>
      <w:r w:rsidRPr="005A7112">
        <w:rPr>
          <w:rFonts w:ascii="Times New Roman" w:hAnsi="Times New Roman"/>
          <w:sz w:val="24"/>
        </w:rPr>
        <w:t xml:space="preserve"> cet égard, si l’on sait quels moyens préférer pour telle fin, rien ne dit quelle fin il faut vouloir : despotisme ou liberté politique… Après tout le seul souci commun à tous les </w:t>
      </w:r>
      <w:r w:rsidR="008D27D3" w:rsidRPr="005A7112">
        <w:rPr>
          <w:rFonts w:ascii="Times New Roman" w:hAnsi="Times New Roman"/>
          <w:sz w:val="24"/>
        </w:rPr>
        <w:t>États</w:t>
      </w:r>
      <w:r w:rsidRPr="005A7112">
        <w:rPr>
          <w:rFonts w:ascii="Times New Roman" w:hAnsi="Times New Roman"/>
          <w:sz w:val="24"/>
        </w:rPr>
        <w:t xml:space="preserve"> est de se maintenir (XIX, 12, §1). En ce sens, la « science nouvelle », en tant qu’instrumentalisée, se trouve, </w:t>
      </w:r>
      <w:r w:rsidRPr="005A7112">
        <w:rPr>
          <w:rFonts w:ascii="Times New Roman" w:hAnsi="Times New Roman"/>
          <w:i/>
          <w:iCs/>
          <w:sz w:val="24"/>
        </w:rPr>
        <w:t>ipso facto</w:t>
      </w:r>
      <w:r w:rsidRPr="005A7112">
        <w:rPr>
          <w:rFonts w:ascii="Times New Roman" w:hAnsi="Times New Roman"/>
          <w:sz w:val="24"/>
        </w:rPr>
        <w:t xml:space="preserve">, indépendante des normes morales et religieuses, car utilisable pour le bien ou pour le mal. </w:t>
      </w:r>
    </w:p>
    <w:p w14:paraId="6BAA707F"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Cependant : deux restrictions :</w:t>
      </w:r>
    </w:p>
    <w:p w14:paraId="04AA9A4C" w14:textId="77777777" w:rsidR="00FD0B53" w:rsidRP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i) Montesquieu n’en reste pas à la constitution d’un art rationnel de gouverner, abstraction faite de tout autre but que le maintien du gouvernement, puisqu’il condamne le despotisme.</w:t>
      </w:r>
    </w:p>
    <w:p w14:paraId="1FEE074A" w14:textId="77777777" w:rsidR="00FD0B53" w:rsidRPr="005A7112" w:rsidRDefault="00FD0B53" w:rsidP="00FD0B53">
      <w:pPr>
        <w:keepLines/>
        <w:spacing w:line="360" w:lineRule="auto"/>
        <w:ind w:left="403" w:hanging="317"/>
        <w:rPr>
          <w:rFonts w:ascii="Times New Roman" w:hAnsi="Times New Roman"/>
          <w:sz w:val="24"/>
        </w:rPr>
      </w:pPr>
      <w:r w:rsidRPr="005A7112">
        <w:rPr>
          <w:rFonts w:ascii="Times New Roman" w:hAnsi="Times New Roman"/>
          <w:sz w:val="24"/>
        </w:rPr>
        <w:t xml:space="preserve">ii) </w:t>
      </w:r>
      <w:r w:rsidRPr="005A7112">
        <w:rPr>
          <w:rFonts w:ascii="Times New Roman" w:hAnsi="Times New Roman"/>
          <w:i/>
          <w:iCs/>
          <w:sz w:val="24"/>
        </w:rPr>
        <w:t>Prudence</w:t>
      </w:r>
      <w:r w:rsidRPr="005A7112">
        <w:rPr>
          <w:rFonts w:ascii="Times New Roman" w:hAnsi="Times New Roman"/>
          <w:sz w:val="24"/>
        </w:rPr>
        <w:t xml:space="preserve"> revendiquée dans un temps de lumières : Préface pp.82-83 : « dans un temps de lumière, on tremble encore lorsqu’on fait les plus grands biens… ». </w:t>
      </w:r>
    </w:p>
    <w:p w14:paraId="099A65C6" w14:textId="5A657808"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 la maîtrise acquise renvoie paradoxalement à certaine impuissance, car les hommes sont condamnés à agir sans se trouver en mesure de prévoir à moyen terme tous les effets de leurs actes. Dès 1725, dans le </w:t>
      </w:r>
      <w:r w:rsidRPr="005A7112">
        <w:rPr>
          <w:rFonts w:ascii="Times New Roman" w:hAnsi="Times New Roman"/>
          <w:i/>
          <w:iCs/>
          <w:sz w:val="24"/>
        </w:rPr>
        <w:t>Traité des devoirs</w:t>
      </w:r>
      <w:r w:rsidRPr="005A7112">
        <w:rPr>
          <w:rFonts w:ascii="Times New Roman" w:hAnsi="Times New Roman"/>
          <w:sz w:val="24"/>
        </w:rPr>
        <w:t xml:space="preserve"> : « La plupart des effets arrivent par des voies si singulières ou dépendent de causes si imperceptibles et si éloignées qu’on ne peut guère les prévoir » et c’est pourquoi « si (…) on consulte les histoires, on ne trouvera partout que de grands évènements imprévus » (OC 172). Contre la notion de </w:t>
      </w:r>
      <w:r w:rsidRPr="005A7112">
        <w:rPr>
          <w:rFonts w:ascii="Times New Roman" w:hAnsi="Times New Roman"/>
          <w:sz w:val="24"/>
          <w:u w:val="single"/>
        </w:rPr>
        <w:t>Fortune</w:t>
      </w:r>
      <w:r w:rsidRPr="005A7112">
        <w:rPr>
          <w:rFonts w:ascii="Times New Roman" w:hAnsi="Times New Roman"/>
          <w:sz w:val="24"/>
        </w:rPr>
        <w:t xml:space="preserve"> : </w:t>
      </w:r>
      <w:r w:rsidRPr="005A7112">
        <w:rPr>
          <w:rFonts w:ascii="Times New Roman" w:hAnsi="Times New Roman"/>
          <w:i/>
          <w:iCs/>
          <w:sz w:val="24"/>
        </w:rPr>
        <w:t>Considérations sur la grandeur et la décadence des Romains</w:t>
      </w:r>
      <w:r w:rsidRPr="005A7112">
        <w:rPr>
          <w:rFonts w:ascii="Times New Roman" w:hAnsi="Times New Roman"/>
          <w:sz w:val="24"/>
        </w:rPr>
        <w:t xml:space="preserve"> (1734), XVIII, §13 : « Ce n’est pas la fortune qui domine le monde : on peut le demander aux Romains qui eurent une suite continuelle de prospérités quand ils se gouvernèrent sur un certain plan, et une suite non interrompue de revers lorsqu’ils se conduisirent sur un autre. Il y a des causes générales, soit morales, soit physiques, qui agissent dans chaque monarchie, l’élèvent, la maintiennent </w:t>
      </w:r>
      <w:proofErr w:type="gramStart"/>
      <w:r w:rsidRPr="005A7112">
        <w:rPr>
          <w:rFonts w:ascii="Times New Roman" w:hAnsi="Times New Roman"/>
          <w:sz w:val="24"/>
        </w:rPr>
        <w:t>ou</w:t>
      </w:r>
      <w:proofErr w:type="gramEnd"/>
      <w:r w:rsidRPr="005A7112">
        <w:rPr>
          <w:rFonts w:ascii="Times New Roman" w:hAnsi="Times New Roman"/>
          <w:sz w:val="24"/>
        </w:rPr>
        <w:t xml:space="preserve"> la </w:t>
      </w:r>
      <w:r w:rsidRPr="005A7112">
        <w:rPr>
          <w:rFonts w:ascii="Times New Roman" w:hAnsi="Times New Roman"/>
          <w:sz w:val="24"/>
        </w:rPr>
        <w:lastRenderedPageBreak/>
        <w:t xml:space="preserve">précipitent ; tous les accidents sont soumis à ces causes ; et, si le hasard d’une bataille, c’est-à-dire une cause particulière, a ruiné un </w:t>
      </w:r>
      <w:r w:rsidR="005A7112" w:rsidRPr="005A7112">
        <w:rPr>
          <w:rFonts w:ascii="Times New Roman" w:hAnsi="Times New Roman"/>
          <w:sz w:val="24"/>
        </w:rPr>
        <w:t>État</w:t>
      </w:r>
      <w:r w:rsidRPr="005A7112">
        <w:rPr>
          <w:rFonts w:ascii="Times New Roman" w:hAnsi="Times New Roman"/>
          <w:sz w:val="24"/>
        </w:rPr>
        <w:t xml:space="preserve">, il y avait une cause générale qui faisait que cet </w:t>
      </w:r>
      <w:r w:rsidR="005A7112" w:rsidRPr="005A7112">
        <w:rPr>
          <w:rFonts w:ascii="Times New Roman" w:hAnsi="Times New Roman"/>
          <w:sz w:val="24"/>
        </w:rPr>
        <w:t>État</w:t>
      </w:r>
      <w:r w:rsidRPr="005A7112">
        <w:rPr>
          <w:rFonts w:ascii="Times New Roman" w:hAnsi="Times New Roman"/>
          <w:sz w:val="24"/>
        </w:rPr>
        <w:t xml:space="preserve"> devait périr par une seule bataille : en un mot, l’allure principale entraîne avec elle tous les accidents particuliers ». </w:t>
      </w:r>
    </w:p>
    <w:p w14:paraId="033EFFC6"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De même dans EL, X, 13, pp.313-314 : ce n’est pas la bataille de </w:t>
      </w:r>
      <w:proofErr w:type="spellStart"/>
      <w:r w:rsidRPr="005A7112">
        <w:rPr>
          <w:rFonts w:ascii="Times New Roman" w:hAnsi="Times New Roman"/>
          <w:sz w:val="24"/>
        </w:rPr>
        <w:t>Pultava</w:t>
      </w:r>
      <w:proofErr w:type="spellEnd"/>
      <w:r w:rsidRPr="005A7112">
        <w:rPr>
          <w:rFonts w:ascii="Times New Roman" w:hAnsi="Times New Roman"/>
          <w:sz w:val="24"/>
        </w:rPr>
        <w:t xml:space="preserve"> (8 juillet 1709) entre Charles XII de Suède et Pierre 1</w:t>
      </w:r>
      <w:r w:rsidRPr="005A7112">
        <w:rPr>
          <w:rFonts w:ascii="Times New Roman" w:hAnsi="Times New Roman"/>
          <w:sz w:val="24"/>
          <w:vertAlign w:val="superscript"/>
        </w:rPr>
        <w:t>er</w:t>
      </w:r>
      <w:r w:rsidRPr="005A7112">
        <w:rPr>
          <w:rFonts w:ascii="Times New Roman" w:hAnsi="Times New Roman"/>
          <w:sz w:val="24"/>
        </w:rPr>
        <w:t xml:space="preserve"> de Russie qui « détruisit Charles. S’il n’avait pas été détruit dans ce lieu, il l’aurait été dans un autre. Les accidents de la fortune se réparent aisément ; on ne peut parer à des évènements qui naissent continuellement de la nature des choses ». Car ce que voulait Charles, son royaume ne pouvait le soutenir. = les causes particulières, les circonstances passagères sont soumises à des causes plus générales qui sont les véritables causes de la défaite ou de la victoire (</w:t>
      </w:r>
      <w:r w:rsidR="008D27D3" w:rsidRPr="005A7112">
        <w:rPr>
          <w:rFonts w:ascii="Times New Roman" w:hAnsi="Times New Roman"/>
          <w:sz w:val="24"/>
        </w:rPr>
        <w:t xml:space="preserve">Montesquieu reprend ici le vocabulaire de </w:t>
      </w:r>
      <w:r w:rsidRPr="005A7112">
        <w:rPr>
          <w:rFonts w:ascii="Times New Roman" w:hAnsi="Times New Roman"/>
          <w:sz w:val="24"/>
        </w:rPr>
        <w:t xml:space="preserve">Malebranche </w:t>
      </w:r>
      <w:r w:rsidR="008D27D3" w:rsidRPr="005A7112">
        <w:rPr>
          <w:rFonts w:ascii="Times New Roman" w:hAnsi="Times New Roman"/>
          <w:sz w:val="24"/>
        </w:rPr>
        <w:t xml:space="preserve">et sa distinction entre </w:t>
      </w:r>
      <w:r w:rsidRPr="005A7112">
        <w:rPr>
          <w:rFonts w:ascii="Times New Roman" w:hAnsi="Times New Roman"/>
          <w:sz w:val="24"/>
        </w:rPr>
        <w:t>causes générales/</w:t>
      </w:r>
      <w:r w:rsidR="008D27D3" w:rsidRPr="005A7112">
        <w:rPr>
          <w:rFonts w:ascii="Times New Roman" w:hAnsi="Times New Roman"/>
          <w:sz w:val="24"/>
        </w:rPr>
        <w:t xml:space="preserve"> causes </w:t>
      </w:r>
      <w:r w:rsidRPr="005A7112">
        <w:rPr>
          <w:rFonts w:ascii="Times New Roman" w:hAnsi="Times New Roman"/>
          <w:sz w:val="24"/>
        </w:rPr>
        <w:t>occasionnelles).</w:t>
      </w:r>
    </w:p>
    <w:p w14:paraId="22E7142A"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 pas de téléologie ni au niveau de l’humanité, ni au niveau local : pluralité des histoires, non confondues dans une téléologie universelle. </w:t>
      </w:r>
    </w:p>
    <w:p w14:paraId="15FD62CF"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u w:val="single"/>
        </w:rPr>
        <w:t>Conséquences</w:t>
      </w:r>
      <w:r w:rsidRPr="005A7112">
        <w:rPr>
          <w:rFonts w:ascii="Times New Roman" w:hAnsi="Times New Roman"/>
          <w:sz w:val="24"/>
        </w:rPr>
        <w:t xml:space="preserve"> : </w:t>
      </w:r>
    </w:p>
    <w:p w14:paraId="34C4579F" w14:textId="77777777" w:rsidR="00FD0B53" w:rsidRPr="005A7112" w:rsidRDefault="00FD0B53" w:rsidP="00FD0B53">
      <w:pPr>
        <w:pStyle w:val="Listedecours"/>
        <w:spacing w:line="360" w:lineRule="auto"/>
        <w:rPr>
          <w:rFonts w:ascii="Times New Roman" w:hAnsi="Times New Roman"/>
          <w:sz w:val="24"/>
        </w:rPr>
      </w:pPr>
      <w:r w:rsidRPr="005A7112">
        <w:rPr>
          <w:rFonts w:ascii="Times New Roman" w:hAnsi="Times New Roman"/>
          <w:sz w:val="24"/>
        </w:rPr>
        <w:t>- la politique n’est pas une habileté à manœuvrer au nom de la raison d’</w:t>
      </w:r>
      <w:r w:rsidR="008D27D3" w:rsidRPr="005A7112">
        <w:rPr>
          <w:rFonts w:ascii="Times New Roman" w:hAnsi="Times New Roman"/>
          <w:sz w:val="24"/>
        </w:rPr>
        <w:t>État</w:t>
      </w:r>
      <w:r w:rsidRPr="005A7112">
        <w:rPr>
          <w:rFonts w:ascii="Times New Roman" w:hAnsi="Times New Roman"/>
          <w:sz w:val="24"/>
        </w:rPr>
        <w:t>, car cette prétendue habileté se trouve par définition impuissante à produire les effets voulus. Il faut donc adopter « une conduite simple et naturelle » (OC 173b) qui ne sera pas moins efficace. Puisque « en politique on ne peut jamais savoir quel sera le résultat des changements qu’on fait » (</w:t>
      </w:r>
      <w:r w:rsidRPr="005A7112">
        <w:rPr>
          <w:rFonts w:ascii="Times New Roman" w:hAnsi="Times New Roman"/>
          <w:i/>
          <w:iCs/>
          <w:sz w:val="24"/>
        </w:rPr>
        <w:t>Pensées</w:t>
      </w:r>
      <w:r w:rsidRPr="005A7112">
        <w:rPr>
          <w:rFonts w:ascii="Times New Roman" w:hAnsi="Times New Roman"/>
          <w:sz w:val="24"/>
        </w:rPr>
        <w:t xml:space="preserve"> 1767), autant se conduire droitement : on y gagnera de la morale sans y perdre la politique. Comme les faits sont si étroitement liés par la nature des choses et les circonstances que tout bouleversement se trouve susceptible de produire des effets débordant les anticipations les plus sagaces.</w:t>
      </w:r>
    </w:p>
    <w:p w14:paraId="6B623FFB" w14:textId="77777777" w:rsidR="00FD0B53" w:rsidRPr="005A7112" w:rsidRDefault="00FD0B53" w:rsidP="00FD0B53">
      <w:pPr>
        <w:pStyle w:val="Listedecours"/>
        <w:spacing w:line="360" w:lineRule="auto"/>
        <w:rPr>
          <w:rFonts w:ascii="Times New Roman" w:hAnsi="Times New Roman"/>
          <w:sz w:val="24"/>
        </w:rPr>
      </w:pPr>
      <w:r w:rsidRPr="005A7112">
        <w:rPr>
          <w:rFonts w:ascii="Times New Roman" w:hAnsi="Times New Roman"/>
          <w:sz w:val="24"/>
        </w:rPr>
        <w:t xml:space="preserve">- cela minimise l’efficace des individus, par rapport aux contraintes de la nature des choses, même des </w:t>
      </w:r>
      <w:r w:rsidRPr="005A7112">
        <w:rPr>
          <w:rFonts w:ascii="Times New Roman" w:hAnsi="Times New Roman"/>
          <w:sz w:val="24"/>
          <w:u w:val="single"/>
        </w:rPr>
        <w:t>grands hommes</w:t>
      </w:r>
      <w:r w:rsidRPr="005A7112">
        <w:rPr>
          <w:rFonts w:ascii="Times New Roman" w:hAnsi="Times New Roman"/>
          <w:sz w:val="24"/>
        </w:rPr>
        <w:t xml:space="preserve"> (ce qui n’empêche pas admiration pour Alexandre, César) : « Si César et Pompée avaient pensé comme Caton, d’autres auraient pensé comme firent César et Pompée ; et la république, destinée à périr, aurait été entraînée au précipice par une autre main » (CGR, XI, §37). D’où confiance plus grande dans l’organisation des pouvoirs étatiques que dans les qualités des hommes qui les exercent = </w:t>
      </w:r>
      <w:r w:rsidRPr="005A7112">
        <w:rPr>
          <w:rFonts w:ascii="Times New Roman" w:hAnsi="Times New Roman"/>
          <w:i/>
          <w:iCs/>
          <w:sz w:val="24"/>
        </w:rPr>
        <w:t>constitutionalisme</w:t>
      </w:r>
      <w:r w:rsidRPr="005A7112">
        <w:rPr>
          <w:rFonts w:ascii="Times New Roman" w:hAnsi="Times New Roman"/>
          <w:sz w:val="24"/>
        </w:rPr>
        <w:t xml:space="preserve"> de Montesquieu. </w:t>
      </w:r>
    </w:p>
    <w:p w14:paraId="333D7C7E"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Enfin, cela minimise l’</w:t>
      </w:r>
      <w:r w:rsidRPr="005A7112">
        <w:rPr>
          <w:rFonts w:ascii="Times New Roman" w:hAnsi="Times New Roman"/>
          <w:sz w:val="24"/>
          <w:u w:val="single"/>
        </w:rPr>
        <w:t>exemplarité</w:t>
      </w:r>
      <w:r w:rsidRPr="005A7112">
        <w:rPr>
          <w:rFonts w:ascii="Times New Roman" w:hAnsi="Times New Roman"/>
          <w:sz w:val="24"/>
        </w:rPr>
        <w:t xml:space="preserve"> de ces personnages = contre l’</w:t>
      </w:r>
      <w:r w:rsidRPr="005A7112">
        <w:rPr>
          <w:rFonts w:ascii="Times New Roman" w:hAnsi="Times New Roman"/>
          <w:i/>
          <w:iCs/>
          <w:sz w:val="24"/>
        </w:rPr>
        <w:t>historia</w:t>
      </w:r>
      <w:r w:rsidRPr="005A7112">
        <w:rPr>
          <w:rFonts w:ascii="Times New Roman" w:hAnsi="Times New Roman"/>
          <w:sz w:val="24"/>
        </w:rPr>
        <w:t xml:space="preserve"> </w:t>
      </w:r>
      <w:proofErr w:type="spellStart"/>
      <w:r w:rsidRPr="005A7112">
        <w:rPr>
          <w:rFonts w:ascii="Times New Roman" w:hAnsi="Times New Roman"/>
          <w:i/>
          <w:iCs/>
          <w:sz w:val="24"/>
        </w:rPr>
        <w:t>magistra</w:t>
      </w:r>
      <w:proofErr w:type="spellEnd"/>
      <w:r w:rsidRPr="005A7112">
        <w:rPr>
          <w:rFonts w:ascii="Times New Roman" w:hAnsi="Times New Roman"/>
          <w:i/>
          <w:iCs/>
          <w:sz w:val="24"/>
        </w:rPr>
        <w:t xml:space="preserve"> vitae</w:t>
      </w:r>
      <w:r w:rsidRPr="005A7112">
        <w:rPr>
          <w:rFonts w:ascii="Times New Roman" w:hAnsi="Times New Roman"/>
          <w:sz w:val="24"/>
        </w:rPr>
        <w:t> : erreur de Charles XII : au lieu de se régler sur la disposition actuelle des choses, il a pris pour modèle Alexandre. « Il n’était point Alexandre ; mais il aurait été le meilleur soldat d’Alexandre ». = Naïveté de l’</w:t>
      </w:r>
      <w:r w:rsidRPr="005A7112">
        <w:rPr>
          <w:rFonts w:ascii="Times New Roman" w:hAnsi="Times New Roman"/>
          <w:i/>
          <w:iCs/>
          <w:sz w:val="24"/>
        </w:rPr>
        <w:t>historia</w:t>
      </w:r>
      <w:r w:rsidRPr="005A7112">
        <w:rPr>
          <w:rFonts w:ascii="Times New Roman" w:hAnsi="Times New Roman"/>
          <w:sz w:val="24"/>
        </w:rPr>
        <w:t xml:space="preserve"> </w:t>
      </w:r>
      <w:proofErr w:type="spellStart"/>
      <w:r w:rsidRPr="005A7112">
        <w:rPr>
          <w:rFonts w:ascii="Times New Roman" w:hAnsi="Times New Roman"/>
          <w:i/>
          <w:iCs/>
          <w:sz w:val="24"/>
        </w:rPr>
        <w:t>magistra</w:t>
      </w:r>
      <w:proofErr w:type="spellEnd"/>
      <w:r w:rsidRPr="005A7112">
        <w:rPr>
          <w:rFonts w:ascii="Times New Roman" w:hAnsi="Times New Roman"/>
          <w:i/>
          <w:iCs/>
          <w:sz w:val="24"/>
        </w:rPr>
        <w:t xml:space="preserve"> vitae</w:t>
      </w:r>
      <w:r w:rsidRPr="005A7112">
        <w:rPr>
          <w:rFonts w:ascii="Times New Roman" w:hAnsi="Times New Roman"/>
          <w:sz w:val="24"/>
        </w:rPr>
        <w:t xml:space="preserve"> est de s’en tenir à des similitudes apparentes, auxquelles elle donne une fonction exemplaire en ignorant les différences réelles. </w:t>
      </w:r>
    </w:p>
    <w:p w14:paraId="58DDAE6F" w14:textId="691C0601" w:rsidR="00FD0B53" w:rsidRPr="005A7112" w:rsidRDefault="005A7112" w:rsidP="00FD0B53">
      <w:pPr>
        <w:pStyle w:val="Titre21"/>
        <w:spacing w:line="360" w:lineRule="auto"/>
        <w:jc w:val="both"/>
        <w:rPr>
          <w:rFonts w:ascii="Times New Roman" w:eastAsia="Times New Roman" w:hAnsi="Times New Roman" w:cs="Times New Roman"/>
          <w:b w:val="0"/>
          <w:color w:val="222831"/>
          <w:sz w:val="24"/>
          <w:szCs w:val="24"/>
          <w:lang w:eastAsia="fr-FR"/>
        </w:rPr>
      </w:pPr>
      <w:r>
        <w:rPr>
          <w:rFonts w:ascii="Times New Roman" w:eastAsia="Times New Roman" w:hAnsi="Times New Roman" w:cs="Times New Roman"/>
          <w:b w:val="0"/>
          <w:color w:val="222831"/>
          <w:sz w:val="24"/>
          <w:szCs w:val="24"/>
          <w:lang w:eastAsia="fr-FR"/>
        </w:rPr>
        <w:lastRenderedPageBreak/>
        <w:t>c</w:t>
      </w:r>
      <w:r w:rsidR="00FD0B53" w:rsidRPr="005A7112">
        <w:rPr>
          <w:rFonts w:ascii="Times New Roman" w:eastAsia="Times New Roman" w:hAnsi="Times New Roman" w:cs="Times New Roman"/>
          <w:b w:val="0"/>
          <w:color w:val="222831"/>
          <w:sz w:val="24"/>
          <w:szCs w:val="24"/>
          <w:lang w:eastAsia="fr-FR"/>
        </w:rPr>
        <w:t xml:space="preserve">) </w:t>
      </w:r>
      <w:r w:rsidR="00FD0B53" w:rsidRPr="005A7112">
        <w:rPr>
          <w:rFonts w:ascii="Times New Roman" w:eastAsia="Times New Roman" w:hAnsi="Times New Roman" w:cs="Times New Roman"/>
          <w:b w:val="0"/>
          <w:color w:val="222831"/>
          <w:sz w:val="24"/>
          <w:szCs w:val="24"/>
          <w:u w:val="single"/>
          <w:lang w:eastAsia="fr-FR"/>
        </w:rPr>
        <w:t>le pragmatisme</w:t>
      </w:r>
      <w:r w:rsidR="00FD0B53" w:rsidRPr="005A7112">
        <w:rPr>
          <w:rFonts w:ascii="Times New Roman" w:eastAsia="Times New Roman" w:hAnsi="Times New Roman" w:cs="Times New Roman"/>
          <w:b w:val="0"/>
          <w:color w:val="222831"/>
          <w:sz w:val="24"/>
          <w:szCs w:val="24"/>
          <w:lang w:eastAsia="fr-FR"/>
        </w:rPr>
        <w:t> :</w:t>
      </w:r>
    </w:p>
    <w:p w14:paraId="4B79CF29"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Relativiser cette connaissance de soi et l’ambition de délivrer l’homme de ses préjugés (</w:t>
      </w:r>
      <w:r w:rsidR="008D27D3" w:rsidRPr="005A7112">
        <w:rPr>
          <w:rFonts w:ascii="Times New Roman" w:hAnsi="Times New Roman"/>
          <w:sz w:val="24"/>
        </w:rPr>
        <w:t>c</w:t>
      </w:r>
      <w:r w:rsidRPr="005A7112">
        <w:rPr>
          <w:rFonts w:ascii="Times New Roman" w:hAnsi="Times New Roman"/>
          <w:sz w:val="24"/>
        </w:rPr>
        <w:t>f. préface p.83) : il est important de ne pas changer l’esprit général d’une nation, pour corriger ses défauts. En effet, si cet esprit n’est pas contraire aux principes du gouvernement, on perdrait plus à les corriger qu’à les souffrir : XIX, chap.5, p.568, avec exemple des Français : « Si en général le caractère est bon, qu’importe de quelques défauts qui s’y trouvent ? ». Chap.6, p.569 : « Qu’on nous laisse comme nous sommes ». En effet, « La nature répare tout » : elle nous a donné une vivacité capable d’offenser et une politesse en nous inspirant le goût pour le monde = compensation. Montesquieu répète : « Qu’on nous laisse tels que nous sommes. Nos qualités indiscrètes, jointes à notre peu de malice, font que les lois qui gêneraient l’humeur sociable parmi nous ne seraient point convenables »</w:t>
      </w:r>
    </w:p>
    <w:p w14:paraId="1B0D34E2"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Le but n’est pas de rendre les hommes tels qu’ils devraient être, mais de les laisser tels qu’ils sont (Machiavel). Il s’agit alors de déterminer ce qui leur convient, compte tenu de ce qu’ils sont. = </w:t>
      </w:r>
      <w:r w:rsidRPr="005A7112">
        <w:rPr>
          <w:rFonts w:ascii="Times New Roman" w:hAnsi="Times New Roman"/>
          <w:i/>
          <w:iCs/>
          <w:sz w:val="24"/>
        </w:rPr>
        <w:t>Substitution la convenance au devoir-être</w:t>
      </w:r>
      <w:r w:rsidRPr="005A7112">
        <w:rPr>
          <w:rFonts w:ascii="Times New Roman" w:hAnsi="Times New Roman"/>
          <w:sz w:val="24"/>
        </w:rPr>
        <w:t xml:space="preserve">. </w:t>
      </w:r>
    </w:p>
    <w:p w14:paraId="64B28589"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Ainsi</w:t>
      </w:r>
      <w:r w:rsidR="008D27D3" w:rsidRPr="005A7112">
        <w:rPr>
          <w:rFonts w:ascii="Times New Roman" w:hAnsi="Times New Roman"/>
          <w:sz w:val="24"/>
        </w:rPr>
        <w:t xml:space="preserve"> il n’y a</w:t>
      </w:r>
      <w:r w:rsidRPr="005A7112">
        <w:rPr>
          <w:rFonts w:ascii="Times New Roman" w:hAnsi="Times New Roman"/>
          <w:sz w:val="24"/>
        </w:rPr>
        <w:t xml:space="preserve"> pas de condamnation morale des vices, car ils peuvent produire de grands biens, selon qu’ils sont unis à d’autres qualités morales : chap.9, p.572, si l’orgueil produit souvent dans un peuple la paresse, la pauvreté, l’abandon de tout, chez les Romains, joint à l’ambition et à la grandeur des idées produisit de grands effets. Chap.10, p.573 : « Les divers caractères des nations sont mêlés de vertus et de vices, de bonnes et de mauvaises qualités. Les heureux mélanges sont ceux dont il résulte de grands biens (…) il y en a dont il résulte de grands maux » = ce qui compte, c’est le résultat « politique » produit par le mélange des qualités : chap.11, p.574 : « Je n’ai point dit ceci… » </w:t>
      </w:r>
    </w:p>
    <w:p w14:paraId="2FB9C4E4"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position ambiguë, voire contradictoire chez Montesquieu, entre volonté d’éclairer l’homme, de travailler au bien commun, et les doutes quant à l’efficacité réelle de l’action politique, un certain pragmatisme (effet de la neutralité méthodologique) mêlé de complaisance = quand l’explication n’est pas loin de la justification, quand le fait semble devenir droit…</w:t>
      </w:r>
    </w:p>
    <w:p w14:paraId="04C33CCB" w14:textId="77777777" w:rsidR="00FD0B53" w:rsidRPr="005A7112" w:rsidRDefault="00FD0B53" w:rsidP="005A7112">
      <w:pPr>
        <w:spacing w:line="360" w:lineRule="auto"/>
        <w:rPr>
          <w:rFonts w:ascii="Times New Roman" w:hAnsi="Times New Roman"/>
          <w:sz w:val="24"/>
        </w:rPr>
      </w:pPr>
      <w:r w:rsidRPr="005A7112">
        <w:rPr>
          <w:rFonts w:ascii="Times New Roman" w:hAnsi="Times New Roman"/>
          <w:sz w:val="24"/>
        </w:rPr>
        <w:t xml:space="preserve">c) </w:t>
      </w:r>
      <w:r w:rsidRPr="005A7112">
        <w:rPr>
          <w:rFonts w:ascii="Times New Roman" w:hAnsi="Times New Roman"/>
          <w:sz w:val="24"/>
          <w:u w:val="single"/>
        </w:rPr>
        <w:t>Le cas de l’esclavage</w:t>
      </w:r>
      <w:r w:rsidRPr="005A7112">
        <w:rPr>
          <w:rFonts w:ascii="Times New Roman" w:hAnsi="Times New Roman"/>
          <w:sz w:val="24"/>
        </w:rPr>
        <w:t xml:space="preserve"> </w:t>
      </w:r>
    </w:p>
    <w:p w14:paraId="50FFE2AE"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Au livre XV, Chap.1, p.466, l’esclavage est condamné : « Il n’est pas bon par sa nature ». Mais le gouvernement despotique est celui dans lequel il est le plus tolérable (car tous les sujets se trouvent dans un état d’esclavage politique). Pp.466-467 : Il ne doit pas avoir lieu dans la monarchie, dans la démocratie ni dans l’aristocratie.</w:t>
      </w:r>
    </w:p>
    <w:p w14:paraId="03A80A20" w14:textId="77777777" w:rsidR="00FD0B53" w:rsidRPr="005A7112" w:rsidRDefault="00FD0B53" w:rsidP="00FD0B53">
      <w:pPr>
        <w:pStyle w:val="Corpsdetexte"/>
        <w:rPr>
          <w:rFonts w:ascii="Times New Roman" w:hAnsi="Times New Roman"/>
          <w:sz w:val="24"/>
        </w:rPr>
      </w:pPr>
      <w:r w:rsidRPr="005A7112">
        <w:rPr>
          <w:rFonts w:ascii="Times New Roman" w:hAnsi="Times New Roman"/>
          <w:sz w:val="24"/>
        </w:rPr>
        <w:t xml:space="preserve">Au chap.2, Montesquieu critique le prétendu droit d’asservir, tiré de la guerre, de l’aliénation volontaire par vente, et par la naissance. Ainsi : l’esclavage est aussi opposé au droit civil qu’au droit naturel. </w:t>
      </w:r>
    </w:p>
    <w:p w14:paraId="60992A17" w14:textId="77777777" w:rsidR="00FD0B53" w:rsidRPr="005A7112" w:rsidRDefault="00FD0B53" w:rsidP="00FD0B53">
      <w:pPr>
        <w:pStyle w:val="Corpsdetexte"/>
        <w:rPr>
          <w:rFonts w:ascii="Times New Roman" w:hAnsi="Times New Roman"/>
          <w:sz w:val="24"/>
        </w:rPr>
      </w:pPr>
      <w:r w:rsidRPr="005A7112">
        <w:rPr>
          <w:rFonts w:ascii="Times New Roman" w:hAnsi="Times New Roman"/>
          <w:sz w:val="24"/>
        </w:rPr>
        <w:t xml:space="preserve">Cependant les commentateurs ont cru déceler une ambiguïté complaisante de Montesquieu à l’égard d’un esclavage « très doux » que l’on trouve dans certains pays : il est fondé sur le libre choix d’un </w:t>
      </w:r>
      <w:r w:rsidRPr="005A7112">
        <w:rPr>
          <w:rFonts w:ascii="Times New Roman" w:hAnsi="Times New Roman"/>
          <w:sz w:val="24"/>
        </w:rPr>
        <w:lastRenderedPageBreak/>
        <w:t>homme pour son utilité. C’est une forme de convention : XV, 6, p.474 : « C’est là l’origine juste et conforme à la raison… ». Outre cette origine conventionnelle, il y a la nature des choses : les conditions naturelles (le climat) expliquent l’esclavage : chap.7, pp.474-475 : « Il y a des pays où la chaleur… ».</w:t>
      </w:r>
    </w:p>
    <w:p w14:paraId="3BD7FE15" w14:textId="77777777" w:rsidR="005A7112" w:rsidRDefault="00FD0B53" w:rsidP="00FD0B53">
      <w:pPr>
        <w:spacing w:line="360" w:lineRule="auto"/>
        <w:rPr>
          <w:rFonts w:ascii="Times New Roman" w:hAnsi="Times New Roman"/>
          <w:sz w:val="24"/>
        </w:rPr>
      </w:pPr>
      <w:r w:rsidRPr="005A7112">
        <w:rPr>
          <w:rFonts w:ascii="Times New Roman" w:hAnsi="Times New Roman"/>
          <w:sz w:val="24"/>
          <w:u w:val="single"/>
        </w:rPr>
        <w:t>Réponse</w:t>
      </w:r>
      <w:r w:rsidRPr="005A7112">
        <w:rPr>
          <w:rFonts w:ascii="Times New Roman" w:hAnsi="Times New Roman"/>
          <w:sz w:val="24"/>
        </w:rPr>
        <w:t xml:space="preserve"> : </w:t>
      </w:r>
    </w:p>
    <w:p w14:paraId="6EF0A498" w14:textId="585B2645"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i) ne pas minimiser la condamnation du droit d’esclavage dans les quatre premiers chapitres. Chap.5 sur l’esclavage des nègres pour montrer l’inanité des arguments avancés ; </w:t>
      </w:r>
    </w:p>
    <w:p w14:paraId="20E75F2B" w14:textId="77777777" w:rsidR="00FD0B53" w:rsidRPr="005A7112" w:rsidRDefault="00FD0B53" w:rsidP="005A7112">
      <w:pPr>
        <w:pStyle w:val="Corpsdetexte"/>
        <w:keepLines/>
        <w:rPr>
          <w:rFonts w:ascii="Times New Roman" w:hAnsi="Times New Roman"/>
          <w:sz w:val="24"/>
        </w:rPr>
      </w:pPr>
      <w:r w:rsidRPr="005A7112">
        <w:rPr>
          <w:rFonts w:ascii="Times New Roman" w:hAnsi="Times New Roman"/>
          <w:sz w:val="24"/>
        </w:rPr>
        <w:t>ii) l’esclavage est tolérable dans les gouvernements despotiques. Autant dire qu’il est intolérable ; </w:t>
      </w:r>
    </w:p>
    <w:p w14:paraId="673AC983" w14:textId="77777777" w:rsidR="00FD0B53" w:rsidRPr="005A7112" w:rsidRDefault="00FD0B53" w:rsidP="005A7112">
      <w:pPr>
        <w:keepLines/>
        <w:spacing w:line="360" w:lineRule="auto"/>
        <w:rPr>
          <w:rFonts w:ascii="Times New Roman" w:hAnsi="Times New Roman"/>
          <w:sz w:val="24"/>
        </w:rPr>
      </w:pPr>
      <w:r w:rsidRPr="005A7112">
        <w:rPr>
          <w:rFonts w:ascii="Times New Roman" w:hAnsi="Times New Roman"/>
          <w:sz w:val="24"/>
        </w:rPr>
        <w:t xml:space="preserve">iii) le cas évoqué au chap.6, p.474, d’un esclavage « doux » fondé sur le choix libre d’un homme est décrit comme « une convention réciproque entre les deux parties » = véritable esclavage ? esclavage, par définition, n’est jamais au bénéfice de l’esclave (chap.2, p.469) ! </w:t>
      </w:r>
    </w:p>
    <w:p w14:paraId="55519F13" w14:textId="77777777" w:rsidR="00FD0B53" w:rsidRPr="005A7112" w:rsidRDefault="00FD0B53" w:rsidP="005A7112">
      <w:pPr>
        <w:keepLines/>
        <w:spacing w:line="360" w:lineRule="auto"/>
        <w:rPr>
          <w:rFonts w:ascii="Times New Roman" w:hAnsi="Times New Roman"/>
          <w:sz w:val="24"/>
        </w:rPr>
      </w:pPr>
      <w:r w:rsidRPr="005A7112">
        <w:rPr>
          <w:rFonts w:ascii="Times New Roman" w:hAnsi="Times New Roman"/>
          <w:sz w:val="24"/>
        </w:rPr>
        <w:t xml:space="preserve">iv) enfin, la considération de raisons naturelles à l’esclavage dans certains pays (chap.7) ne signifie pas une légitimation, mais une observation de fait. Chap.7, p.475 : « Mais, comme tous les hommes naissent égaux, il faut dire… ». </w:t>
      </w:r>
    </w:p>
    <w:p w14:paraId="375078BD"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La raison naturelle ne signifie la raison juste = ambiguïté du terme de nature : peut désigner ce qui est – ordre du fait – et ce qui doit être – ordre du droit. Explication d’un constat et non justification. De plus, si la « servitude naturelle » est bornée à certains pays particuliers, Montesquieu montre le lien de cet esclavage avec de mauvaises lois (il n’est donc pas si naturel !) : fin du chap.8, p.476 : « Parce que les lois étaient mal faites, on a trouvé… » </w:t>
      </w:r>
    </w:p>
    <w:p w14:paraId="2534C686"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 </w:t>
      </w:r>
      <w:r w:rsidRPr="005A7112">
        <w:rPr>
          <w:rFonts w:ascii="Times New Roman" w:hAnsi="Times New Roman"/>
          <w:sz w:val="24"/>
          <w:u w:val="single"/>
        </w:rPr>
        <w:t>toute la complexité du projet de Montesquieu</w:t>
      </w:r>
      <w:r w:rsidRPr="005A7112">
        <w:rPr>
          <w:rFonts w:ascii="Times New Roman" w:hAnsi="Times New Roman"/>
          <w:sz w:val="24"/>
        </w:rPr>
        <w:t xml:space="preserve"> : </w:t>
      </w:r>
    </w:p>
    <w:p w14:paraId="74B0D0AD"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a) volonté de dire </w:t>
      </w:r>
      <w:r w:rsidRPr="005A7112">
        <w:rPr>
          <w:rFonts w:ascii="Times New Roman" w:hAnsi="Times New Roman"/>
          <w:i/>
          <w:iCs/>
          <w:sz w:val="24"/>
        </w:rPr>
        <w:t>ce qui est</w:t>
      </w:r>
      <w:r w:rsidRPr="005A7112">
        <w:rPr>
          <w:rFonts w:ascii="Times New Roman" w:hAnsi="Times New Roman"/>
          <w:sz w:val="24"/>
        </w:rPr>
        <w:t xml:space="preserve"> : c’est la nature en un premier sens. </w:t>
      </w:r>
      <w:proofErr w:type="spellStart"/>
      <w:r w:rsidRPr="005A7112">
        <w:rPr>
          <w:rFonts w:ascii="Times New Roman" w:hAnsi="Times New Roman"/>
          <w:sz w:val="24"/>
        </w:rPr>
        <w:t>A</w:t>
      </w:r>
      <w:proofErr w:type="spellEnd"/>
      <w:r w:rsidRPr="005A7112">
        <w:rPr>
          <w:rFonts w:ascii="Times New Roman" w:hAnsi="Times New Roman"/>
          <w:sz w:val="24"/>
        </w:rPr>
        <w:t xml:space="preserve"> propos de la pratique de la polygamie : livre XVI, chap.4, p.499 : « Dans tout ceci je ne justifie pas les usages, mais j’en rends les raisons ». Rendre raison n’est pas légitimer. La nature au premier sens du terme peut être contre-nature, le fait n’est pas droit (neutralité méthodologique).</w:t>
      </w:r>
    </w:p>
    <w:p w14:paraId="3E42806C"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b) produire un jugement sur ce </w:t>
      </w:r>
      <w:r w:rsidRPr="005A7112">
        <w:rPr>
          <w:rFonts w:ascii="Times New Roman" w:hAnsi="Times New Roman"/>
          <w:i/>
          <w:iCs/>
          <w:sz w:val="24"/>
        </w:rPr>
        <w:t>qui devrait être</w:t>
      </w:r>
      <w:r w:rsidRPr="005A7112">
        <w:rPr>
          <w:rFonts w:ascii="Times New Roman" w:hAnsi="Times New Roman"/>
          <w:sz w:val="24"/>
        </w:rPr>
        <w:t>, selon la logique propre d’un gouvernement et des conditions naturelles = nature comme ce qui convient à tel type de gouvernement, sous tel ou tel climat… Ici aussi, cette nature (essence) peut être contre nature. La structure dégagée, le type de gouvernement implique un droit positif d’un certain type (lois politiques et lois civiles), qui n’est pas pour autant un droit « juste ».</w:t>
      </w:r>
    </w:p>
    <w:p w14:paraId="18458794" w14:textId="77777777"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c) porter des jugements critiques : contre le despotisme, contre l’esclavage des nègres, contre les autodafés au cours desquels sont brûlés les juifs (livre XXV, chap.13 : discours du juif, sous la forme d’une « Très humble remontrance aux inquisiteurs d’Espagne et de Portugal »), contre les tribunaux d’inquisition, qui confondent ce qui relève des lois divines et ce qui relève des lois civiles (livre XXVI, chap.12) contre). </w:t>
      </w:r>
    </w:p>
    <w:p w14:paraId="3E6EF229" w14:textId="43AE6C3C" w:rsidR="00FD0B53" w:rsidRPr="005A7112" w:rsidRDefault="00FD0B53" w:rsidP="00FD0B53">
      <w:pPr>
        <w:spacing w:line="360" w:lineRule="auto"/>
        <w:rPr>
          <w:rFonts w:ascii="Times New Roman" w:hAnsi="Times New Roman"/>
          <w:sz w:val="24"/>
        </w:rPr>
      </w:pPr>
      <w:r w:rsidRPr="005A7112">
        <w:rPr>
          <w:rFonts w:ascii="Times New Roman" w:hAnsi="Times New Roman"/>
          <w:sz w:val="24"/>
        </w:rPr>
        <w:lastRenderedPageBreak/>
        <w:t>Dans ces  jugements, Montesquieu peut : i) montrer la fausseté des raisons invoquées : ainsi les arguments des jurisconsultes en faveur de l’esclavage (critique des raisons par la Raison), ou ii) dénoncer l’horreur d’une loi ou règle cruelle = ce qui choque la sensibilité, fait « frémir la nature même » à propos de la violation de la pudeur dans la punition des crimes au livre (XII, chap.14, p.396)  = ordre du cœur : « on ne peut parler sans frémir de ces gouvernements monstrueux » livre III, chap.9 à propos du despotisme, crimes des Espagnols en Amérique, châtiments cruels, torture. Livre XV, chap.8, p.476, à propos de l’esclavage</w:t>
      </w:r>
      <w:r w:rsidR="008D27D3" w:rsidRPr="005A7112">
        <w:rPr>
          <w:rFonts w:ascii="Times New Roman" w:hAnsi="Times New Roman"/>
          <w:sz w:val="24"/>
        </w:rPr>
        <w:t> :</w:t>
      </w:r>
      <w:r w:rsidRPr="005A7112">
        <w:rPr>
          <w:rFonts w:ascii="Times New Roman" w:hAnsi="Times New Roman"/>
          <w:sz w:val="24"/>
        </w:rPr>
        <w:t xml:space="preserve"> « je ne sais si c’est l’esprit ou le cœur qui me dicte cet article-ci ». Révolte, indignation, colère. </w:t>
      </w:r>
    </w:p>
    <w:p w14:paraId="414CEDFB" w14:textId="5C91E8E8" w:rsidR="00FD0B53" w:rsidRPr="005A7112" w:rsidRDefault="00FD0B53" w:rsidP="00FD0B53">
      <w:pPr>
        <w:spacing w:line="360" w:lineRule="auto"/>
        <w:rPr>
          <w:rFonts w:ascii="Times New Roman" w:hAnsi="Times New Roman"/>
          <w:sz w:val="24"/>
        </w:rPr>
      </w:pPr>
      <w:r w:rsidRPr="005A7112">
        <w:rPr>
          <w:rFonts w:ascii="Times New Roman" w:hAnsi="Times New Roman"/>
          <w:sz w:val="24"/>
        </w:rPr>
        <w:t xml:space="preserve">Ainsi, </w:t>
      </w:r>
      <w:r w:rsidR="005A7112">
        <w:rPr>
          <w:rFonts w:ascii="Times New Roman" w:hAnsi="Times New Roman"/>
          <w:sz w:val="24"/>
        </w:rPr>
        <w:t xml:space="preserve">il n’y a </w:t>
      </w:r>
      <w:r w:rsidRPr="005A7112">
        <w:rPr>
          <w:rFonts w:ascii="Times New Roman" w:hAnsi="Times New Roman"/>
          <w:sz w:val="24"/>
        </w:rPr>
        <w:t>pas de contradiction à dire que l’esclavage est contre nature et à pourtant examiner la manière dont les lois civiles doivent faire, quand on considère qu’il est admis, pour qu’on n’en abuse pas (chap.11, 12, 16 : il faut avoir de l’humanité pour eux), ou pour en éviter les dangers (chap.13, p.481 : « il est très important qu’il n’y ait point trop d’esclaves », car ils ne peuvent être que les ennemis naturels de la société qui les exclut). Enfin il envisage les règlements à faire entre le maître et les esclaves au chap.17.</w:t>
      </w:r>
    </w:p>
    <w:p w14:paraId="3F527CEB" w14:textId="14B95C62" w:rsidR="00B5210E" w:rsidRPr="005A7112" w:rsidRDefault="00FD0B53" w:rsidP="008D27D3">
      <w:pPr>
        <w:pStyle w:val="Synthsefinale"/>
        <w:pBdr>
          <w:bottom w:val="single" w:sz="8" w:space="4" w:color="D9E2F0"/>
        </w:pBdr>
        <w:spacing w:line="360" w:lineRule="auto"/>
        <w:rPr>
          <w:rFonts w:ascii="Times New Roman" w:hAnsi="Times New Roman"/>
          <w:sz w:val="24"/>
        </w:rPr>
      </w:pPr>
      <w:r w:rsidRPr="005A7112">
        <w:rPr>
          <w:rFonts w:ascii="Times New Roman" w:hAnsi="Times New Roman"/>
          <w:sz w:val="24"/>
        </w:rPr>
        <w:t xml:space="preserve">Les tensions de l’EL s’articulent autour du rapport du droit au fait et du problème de l’ambiguïté de la neutralité méthodologique. D’où </w:t>
      </w:r>
      <w:r w:rsidR="00C535FC">
        <w:rPr>
          <w:rFonts w:ascii="Times New Roman" w:hAnsi="Times New Roman"/>
          <w:sz w:val="24"/>
        </w:rPr>
        <w:t xml:space="preserve">les </w:t>
      </w:r>
      <w:r w:rsidRPr="005A7112">
        <w:rPr>
          <w:rFonts w:ascii="Times New Roman" w:hAnsi="Times New Roman"/>
          <w:sz w:val="24"/>
        </w:rPr>
        <w:t>deux parties</w:t>
      </w:r>
      <w:r w:rsidR="00C535FC">
        <w:rPr>
          <w:rFonts w:ascii="Times New Roman" w:hAnsi="Times New Roman"/>
          <w:sz w:val="24"/>
        </w:rPr>
        <w:t xml:space="preserve"> de ce cours qui suivront</w:t>
      </w:r>
      <w:r w:rsidRPr="005A7112">
        <w:rPr>
          <w:rFonts w:ascii="Times New Roman" w:hAnsi="Times New Roman"/>
          <w:sz w:val="24"/>
        </w:rPr>
        <w:t xml:space="preserve">, qui mettent à chaque fois en jeu (mais différemment) ce rapport : 1) La loi comme rapport et la notion de « nature des choses » ; 2) le rapport de la </w:t>
      </w:r>
      <w:r w:rsidRPr="00C535FC">
        <w:rPr>
          <w:rFonts w:ascii="Times New Roman" w:hAnsi="Times New Roman"/>
          <w:i/>
          <w:iCs/>
          <w:sz w:val="24"/>
        </w:rPr>
        <w:t>nature</w:t>
      </w:r>
      <w:r w:rsidRPr="005A7112">
        <w:rPr>
          <w:rFonts w:ascii="Times New Roman" w:hAnsi="Times New Roman"/>
          <w:sz w:val="24"/>
        </w:rPr>
        <w:t xml:space="preserve"> au </w:t>
      </w:r>
      <w:r w:rsidRPr="00C535FC">
        <w:rPr>
          <w:rFonts w:ascii="Times New Roman" w:hAnsi="Times New Roman"/>
          <w:i/>
          <w:iCs/>
          <w:sz w:val="24"/>
        </w:rPr>
        <w:t>principe</w:t>
      </w:r>
      <w:r w:rsidRPr="005A7112">
        <w:rPr>
          <w:rFonts w:ascii="Times New Roman" w:hAnsi="Times New Roman"/>
          <w:sz w:val="24"/>
        </w:rPr>
        <w:t xml:space="preserve"> dans la typologie des gouvernements et la question de la liberté politique</w:t>
      </w:r>
      <w:r w:rsidR="00C535FC">
        <w:rPr>
          <w:rFonts w:ascii="Times New Roman" w:hAnsi="Times New Roman"/>
          <w:sz w:val="24"/>
        </w:rPr>
        <w:t>.</w:t>
      </w:r>
    </w:p>
    <w:sectPr w:rsidR="00B5210E" w:rsidRPr="005A7112">
      <w:headerReference w:type="default" r:id="rId6"/>
      <w:footerReference w:type="default" r:id="rId7"/>
      <w:pgSz w:w="11906" w:h="16838"/>
      <w:pgMar w:top="950" w:right="1094" w:bottom="950" w:left="1094" w:header="490" w:footer="4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A2DA9" w14:textId="77777777" w:rsidR="004838C0" w:rsidRDefault="004838C0">
      <w:pPr>
        <w:spacing w:after="0" w:line="240" w:lineRule="auto"/>
      </w:pPr>
      <w:r>
        <w:separator/>
      </w:r>
    </w:p>
  </w:endnote>
  <w:endnote w:type="continuationSeparator" w:id="0">
    <w:p w14:paraId="56928C24" w14:textId="77777777" w:rsidR="004838C0" w:rsidRDefault="00483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Liberation Seri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B4FF" w14:textId="52836B05" w:rsidR="00AE323D" w:rsidRDefault="004838C0">
    <w:pPr>
      <w:spacing w:before="40"/>
      <w:jc w:val="center"/>
    </w:pPr>
    <w:r>
      <w:rPr>
        <w:color w:val="5B6573"/>
        <w:sz w:val="16"/>
      </w:rPr>
      <w:t xml:space="preserve">Page </w:t>
    </w:r>
    <w:r>
      <w:fldChar w:fldCharType="begin"/>
    </w:r>
    <w:r>
      <w:instrText>PAGE</w:instrText>
    </w:r>
    <w:r>
      <w:fldChar w:fldCharType="separate"/>
    </w:r>
    <w:r>
      <w:rPr>
        <w:color w:val="5B6573"/>
        <w:sz w:val="16"/>
      </w:rPr>
      <w:t>1</w:t>
    </w:r>
    <w:r>
      <w:rPr>
        <w:color w:val="5B6573"/>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CAF7F" w14:textId="77777777" w:rsidR="004838C0" w:rsidRDefault="004838C0">
      <w:pPr>
        <w:spacing w:after="0" w:line="240" w:lineRule="auto"/>
      </w:pPr>
      <w:r>
        <w:separator/>
      </w:r>
    </w:p>
  </w:footnote>
  <w:footnote w:type="continuationSeparator" w:id="0">
    <w:p w14:paraId="66400805" w14:textId="77777777" w:rsidR="004838C0" w:rsidRDefault="00483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33E07" w14:textId="77777777" w:rsidR="00AE323D" w:rsidRDefault="004838C0">
    <w:pPr>
      <w:pBdr>
        <w:bottom w:val="single" w:sz="4" w:space="3" w:color="D9E2F0"/>
      </w:pBdr>
      <w:spacing w:after="40"/>
      <w:jc w:val="right"/>
    </w:pPr>
    <w:r>
      <w:rPr>
        <w:b/>
        <w:color w:val="5B6573"/>
        <w:sz w:val="16"/>
      </w:rPr>
      <w:t>MONTESQUIEU  •  DE L’ESPRIT DES LOIS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0EA"/>
    <w:rsid w:val="0045115D"/>
    <w:rsid w:val="004838C0"/>
    <w:rsid w:val="005A7112"/>
    <w:rsid w:val="005B7D4E"/>
    <w:rsid w:val="008D27D3"/>
    <w:rsid w:val="008F40EA"/>
    <w:rsid w:val="00AE323D"/>
    <w:rsid w:val="00B5210E"/>
    <w:rsid w:val="00C173E8"/>
    <w:rsid w:val="00C535FC"/>
    <w:rsid w:val="00FD0B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7FDBF"/>
  <w15:chartTrackingRefBased/>
  <w15:docId w15:val="{5DCECA9E-AB21-4FA1-91F5-A7D2639D2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B53"/>
    <w:pPr>
      <w:spacing w:after="80" w:line="257" w:lineRule="auto"/>
      <w:jc w:val="both"/>
    </w:pPr>
    <w:rPr>
      <w:rFonts w:ascii="Liberation Sans" w:eastAsia="Times New Roman" w:hAnsi="Liberation Sans" w:cs="Times New Roman"/>
      <w:color w:val="222831"/>
      <w:sz w:val="19"/>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FD0B53"/>
    <w:pPr>
      <w:spacing w:line="360" w:lineRule="auto"/>
    </w:pPr>
  </w:style>
  <w:style w:type="character" w:customStyle="1" w:styleId="CorpsdetexteCar">
    <w:name w:val="Corps de texte Car"/>
    <w:basedOn w:val="Policepardfaut"/>
    <w:link w:val="Corpsdetexte"/>
    <w:semiHidden/>
    <w:rsid w:val="00FD0B53"/>
    <w:rPr>
      <w:rFonts w:ascii="Times New Roman" w:eastAsia="Times New Roman" w:hAnsi="Times New Roman" w:cs="Times New Roman"/>
      <w:sz w:val="24"/>
      <w:szCs w:val="24"/>
      <w:lang w:eastAsia="fr-FR"/>
    </w:rPr>
  </w:style>
  <w:style w:type="paragraph" w:customStyle="1" w:styleId="Titre1">
    <w:name w:val="Titre1"/>
    <w:pPr>
      <w:keepNext/>
      <w:spacing w:after="240" w:line="247" w:lineRule="auto"/>
    </w:pPr>
    <w:rPr>
      <w:rFonts w:ascii="Liberation Sans" w:hAnsi="Liberation Sans"/>
      <w:b/>
      <w:color w:val="1F3A5F"/>
      <w:sz w:val="42"/>
    </w:rPr>
  </w:style>
  <w:style w:type="paragraph" w:customStyle="1" w:styleId="Titre11">
    <w:name w:val="Titre 11"/>
    <w:pPr>
      <w:keepNext/>
      <w:spacing w:before="260" w:after="120"/>
    </w:pPr>
    <w:rPr>
      <w:rFonts w:ascii="Liberation Sans" w:hAnsi="Liberation Sans"/>
      <w:b/>
      <w:color w:val="1F3A5F"/>
      <w:sz w:val="28"/>
    </w:rPr>
  </w:style>
  <w:style w:type="paragraph" w:customStyle="1" w:styleId="Titre21">
    <w:name w:val="Titre 21"/>
    <w:pPr>
      <w:keepNext/>
      <w:spacing w:before="180" w:after="80"/>
    </w:pPr>
    <w:rPr>
      <w:rFonts w:ascii="Liberation Sans" w:hAnsi="Liberation Sans"/>
      <w:b/>
      <w:color w:val="365F86"/>
      <w:sz w:val="23"/>
    </w:rPr>
  </w:style>
  <w:style w:type="paragraph" w:customStyle="1" w:styleId="Titre31">
    <w:name w:val="Titre 31"/>
    <w:pPr>
      <w:keepNext/>
      <w:spacing w:before="120" w:after="60"/>
    </w:pPr>
    <w:rPr>
      <w:rFonts w:ascii="Liberation Sans" w:hAnsi="Liberation Sans"/>
      <w:b/>
      <w:color w:val="365F86"/>
      <w:sz w:val="21"/>
    </w:rPr>
  </w:style>
  <w:style w:type="paragraph" w:customStyle="1" w:styleId="Citationdecours">
    <w:name w:val="Citation de cours"/>
    <w:pPr>
      <w:keepLines/>
      <w:spacing w:before="40" w:after="90"/>
      <w:ind w:left="317" w:right="230"/>
    </w:pPr>
    <w:rPr>
      <w:rFonts w:ascii="Liberation Serif" w:hAnsi="Liberation Serif"/>
      <w:color w:val="5B6573"/>
      <w:sz w:val="18"/>
    </w:rPr>
  </w:style>
  <w:style w:type="paragraph" w:customStyle="1" w:styleId="Listedecours">
    <w:name w:val="Liste de cours"/>
    <w:basedOn w:val="Normal"/>
    <w:pPr>
      <w:keepLines/>
      <w:ind w:left="374" w:hanging="259"/>
    </w:pPr>
  </w:style>
  <w:style w:type="paragraph" w:customStyle="1" w:styleId="Synthsefinale">
    <w:name w:val="Synthèse finale"/>
    <w:basedOn w:val="Normal"/>
    <w:pPr>
      <w:keepLines/>
      <w:spacing w:before="180" w:after="140"/>
      <w:ind w:left="173" w:right="115"/>
    </w:pPr>
    <w:rPr>
      <w:b/>
      <w:color w:val="1F3A5F"/>
    </w:rPr>
  </w:style>
  <w:style w:type="paragraph" w:styleId="Paragraphedeliste">
    <w:name w:val="List Paragraph"/>
    <w:basedOn w:val="Normal"/>
    <w:uiPriority w:val="34"/>
    <w:qFormat/>
    <w:rsid w:val="005A7112"/>
    <w:pPr>
      <w:ind w:left="720"/>
      <w:contextualSpacing/>
    </w:pPr>
  </w:style>
  <w:style w:type="paragraph" w:styleId="En-tte">
    <w:name w:val="header"/>
    <w:basedOn w:val="Normal"/>
    <w:link w:val="En-tteCar"/>
    <w:uiPriority w:val="99"/>
    <w:unhideWhenUsed/>
    <w:rsid w:val="005A7112"/>
    <w:pPr>
      <w:tabs>
        <w:tab w:val="center" w:pos="4536"/>
        <w:tab w:val="right" w:pos="9072"/>
      </w:tabs>
      <w:spacing w:after="0" w:line="240" w:lineRule="auto"/>
    </w:pPr>
  </w:style>
  <w:style w:type="character" w:customStyle="1" w:styleId="En-tteCar">
    <w:name w:val="En-tête Car"/>
    <w:basedOn w:val="Policepardfaut"/>
    <w:link w:val="En-tte"/>
    <w:uiPriority w:val="99"/>
    <w:rsid w:val="005A7112"/>
    <w:rPr>
      <w:rFonts w:ascii="Liberation Sans" w:eastAsia="Times New Roman" w:hAnsi="Liberation Sans" w:cs="Times New Roman"/>
      <w:color w:val="222831"/>
      <w:sz w:val="19"/>
      <w:szCs w:val="24"/>
      <w:lang w:eastAsia="fr-FR"/>
    </w:rPr>
  </w:style>
  <w:style w:type="paragraph" w:styleId="Pieddepage">
    <w:name w:val="footer"/>
    <w:basedOn w:val="Normal"/>
    <w:link w:val="PieddepageCar"/>
    <w:uiPriority w:val="99"/>
    <w:unhideWhenUsed/>
    <w:rsid w:val="005A711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A7112"/>
    <w:rPr>
      <w:rFonts w:ascii="Liberation Sans" w:eastAsia="Times New Roman" w:hAnsi="Liberation Sans" w:cs="Times New Roman"/>
      <w:color w:val="222831"/>
      <w:sz w:val="19"/>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3428</Words>
  <Characters>18859</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Cours – Montesquieu, De l’esprit des lois</vt:lpstr>
    </vt:vector>
  </TitlesOfParts>
  <Company>UP1</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 – Montesquieu, De l’esprit des lois</dc:title>
  <dc:subject>Cours de philosophie politique</dc:subject>
  <dc:creator>Paul Rateau</dc:creator>
  <cp:keywords/>
  <dc:description/>
  <cp:lastModifiedBy>Paul Rateau</cp:lastModifiedBy>
  <cp:revision>7</cp:revision>
  <dcterms:created xsi:type="dcterms:W3CDTF">2026-10-18T11:22:00Z</dcterms:created>
  <dcterms:modified xsi:type="dcterms:W3CDTF">2026-10-18T11:57:00Z</dcterms:modified>
</cp:coreProperties>
</file>