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0EB92" w14:textId="77777777" w:rsidR="00636C3B" w:rsidRPr="00636C3B" w:rsidRDefault="00636C3B">
      <w:pPr>
        <w:rPr>
          <w:rFonts w:cstheme="minorHAnsi"/>
          <w:b/>
          <w:bCs/>
        </w:rPr>
      </w:pPr>
      <w:r w:rsidRPr="00636C3B">
        <w:rPr>
          <w:rFonts w:cstheme="minorHAnsi"/>
          <w:b/>
          <w:bCs/>
        </w:rPr>
        <w:t>Can you provide me with a short summary of the basic characteristics of air transport today, in the mid-2020s?</w:t>
      </w:r>
      <w:r w:rsidRPr="00636C3B">
        <w:rPr>
          <w:rFonts w:cstheme="minorHAnsi"/>
          <w:b/>
          <w:bCs/>
        </w:rPr>
        <w:t xml:space="preserve"> </w:t>
      </w:r>
    </w:p>
    <w:p w14:paraId="294192C4" w14:textId="347BA5B5" w:rsidR="00636C3B" w:rsidRPr="00636C3B" w:rsidRDefault="00636C3B">
      <w:pPr>
        <w:rPr>
          <w:rFonts w:cstheme="minorHAnsi"/>
          <w:b/>
          <w:bCs/>
        </w:rPr>
      </w:pPr>
      <w:r w:rsidRPr="00636C3B">
        <w:rPr>
          <w:rFonts w:cstheme="minorHAnsi"/>
          <w:b/>
          <w:bCs/>
        </w:rPr>
        <w:t>ChatGPT Go, 14 October 2026</w:t>
      </w:r>
    </w:p>
    <w:p w14:paraId="1133F7A7" w14:textId="77777777" w:rsidR="00636C3B" w:rsidRPr="00636C3B" w:rsidRDefault="00636C3B" w:rsidP="00636C3B">
      <w:pPr>
        <w:spacing w:before="100" w:beforeAutospacing="1" w:after="100" w:afterAutospacing="1" w:line="240" w:lineRule="auto"/>
        <w:outlineLvl w:val="0"/>
        <w:rPr>
          <w:rFonts w:eastAsia="Times New Roman" w:cstheme="minorHAnsi"/>
          <w:b/>
          <w:bCs/>
          <w:kern w:val="36"/>
          <w:lang w:eastAsia="en-GB"/>
          <w14:ligatures w14:val="none"/>
        </w:rPr>
      </w:pPr>
      <w:r w:rsidRPr="00636C3B">
        <w:rPr>
          <w:rFonts w:eastAsia="Times New Roman" w:cstheme="minorHAnsi"/>
          <w:b/>
          <w:bCs/>
          <w:kern w:val="36"/>
          <w:lang w:eastAsia="en-GB"/>
          <w14:ligatures w14:val="none"/>
        </w:rPr>
        <w:t>Air transport in the mid-2020s: a short overview</w:t>
      </w:r>
    </w:p>
    <w:p w14:paraId="11B08ACD"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Air transport in the mid-2020s is a global, highly capital-intensive industry that plays a central role in international trade, tourism and economic integration. It combines rapid long-distance mobility with complex infrastructure, strict safety regulation and significant environmental challenges.</w:t>
      </w:r>
    </w:p>
    <w:p w14:paraId="3CC998BD" w14:textId="77777777" w:rsidR="00636C3B" w:rsidRPr="00636C3B" w:rsidRDefault="00636C3B" w:rsidP="00636C3B">
      <w:pPr>
        <w:spacing w:before="100" w:beforeAutospacing="1" w:after="100" w:afterAutospacing="1" w:line="240" w:lineRule="auto"/>
        <w:outlineLvl w:val="1"/>
        <w:rPr>
          <w:rFonts w:eastAsia="Times New Roman" w:cstheme="minorHAnsi"/>
          <w:b/>
          <w:bCs/>
          <w:kern w:val="0"/>
          <w:lang w:eastAsia="en-GB"/>
          <w14:ligatures w14:val="none"/>
        </w:rPr>
      </w:pPr>
      <w:r w:rsidRPr="00636C3B">
        <w:rPr>
          <w:rFonts w:eastAsia="Times New Roman" w:cstheme="minorHAnsi"/>
          <w:b/>
          <w:bCs/>
          <w:kern w:val="0"/>
          <w:lang w:eastAsia="en-GB"/>
          <w14:ligatures w14:val="none"/>
        </w:rPr>
        <w:t>1. The main characteristics</w:t>
      </w:r>
    </w:p>
    <w:p w14:paraId="0CC9F7ED"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1. A global and interconnected industry</w:t>
      </w:r>
    </w:p>
    <w:p w14:paraId="3B38F68C"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Airlines connect major cities, economic centres and tourist destinations worldwide. The industry depends on international networks of airports, airlines, air traffic control systems and ground-handling services.</w:t>
      </w:r>
    </w:p>
    <w:p w14:paraId="0FE27580"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2. Strong growth in demand</w:t>
      </w:r>
    </w:p>
    <w:p w14:paraId="7DC26B37"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Demand is driven by globalisation, rising incomes, tourism, migration and business travel. International passenger traffic has recovered strongly from the COVID-19 crisis, although growth varies considerably across regions and markets.</w:t>
      </w:r>
    </w:p>
    <w:p w14:paraId="334E5523"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3. Diverse business models and intense competition</w:t>
      </w:r>
    </w:p>
    <w:p w14:paraId="5F24F0C9"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The industry includes full-service network carriers, low-cost airlines, regional operators and charter airlines. Network carriers rely on connecting passengers through hubs, while low-cost airlines typically emphasise high aircraft utilisation, simplified services and cost control.</w:t>
      </w:r>
    </w:p>
    <w:p w14:paraId="66DDEE28"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4. High fixed costs and substantial capital requirements</w:t>
      </w:r>
    </w:p>
    <w:p w14:paraId="6B0663A6"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Aircraft acquisition or leasing, maintenance, fuel, airport charges, labour and regulatory compliance make aviation expensive to operate. Airlines are vulnerable to fuel-price fluctuations, economic downturns and geopolitical shocks. Profit margins can be relatively low despite high turnover.</w:t>
      </w:r>
    </w:p>
    <w:p w14:paraId="2FA2B190"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5. A vital role in freight and logistics</w:t>
      </w:r>
    </w:p>
    <w:p w14:paraId="0F82B4DC"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Air freight accounts for a relatively small share of international trade by weight but a disproportionately large share by value. It is particularly important for electronics, pharmaceuticals, urgent components, perishables and other high-value or time-sensitive goods.</w:t>
      </w:r>
    </w:p>
    <w:p w14:paraId="3DA38AAE"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6. Growing environmental pressures</w:t>
      </w:r>
    </w:p>
    <w:p w14:paraId="460C0A54" w14:textId="77777777" w:rsid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Aviation contributes to climate change through carbon dioxide emissions and other atmospheric effects. The industry faces pressure to reduce emissions through sustainable aviation fuels (SAF), more efficient aircraft, operational improvements and, in the longer term, new propulsion technologies. High costs and limited SAF availability remain major obstacles.</w:t>
      </w:r>
    </w:p>
    <w:p w14:paraId="37050491" w14:textId="77777777" w:rsidR="00E765D6" w:rsidRPr="00636C3B" w:rsidRDefault="00E765D6" w:rsidP="00636C3B">
      <w:pPr>
        <w:spacing w:before="100" w:beforeAutospacing="1" w:after="100" w:afterAutospacing="1" w:line="240" w:lineRule="auto"/>
        <w:rPr>
          <w:rFonts w:eastAsia="Times New Roman" w:cstheme="minorHAnsi"/>
          <w:kern w:val="0"/>
          <w:lang w:eastAsia="en-GB"/>
          <w14:ligatures w14:val="none"/>
        </w:rPr>
      </w:pPr>
    </w:p>
    <w:p w14:paraId="56F51F8A" w14:textId="77777777" w:rsidR="00636C3B" w:rsidRPr="00636C3B" w:rsidRDefault="00636C3B" w:rsidP="00636C3B">
      <w:pPr>
        <w:spacing w:before="100" w:beforeAutospacing="1" w:after="100" w:afterAutospacing="1" w:line="240" w:lineRule="auto"/>
        <w:outlineLvl w:val="1"/>
        <w:rPr>
          <w:rFonts w:eastAsia="Times New Roman" w:cstheme="minorHAnsi"/>
          <w:b/>
          <w:bCs/>
          <w:kern w:val="0"/>
          <w:lang w:eastAsia="en-GB"/>
          <w14:ligatures w14:val="none"/>
        </w:rPr>
      </w:pPr>
      <w:r w:rsidRPr="00636C3B">
        <w:rPr>
          <w:rFonts w:eastAsia="Times New Roman" w:cstheme="minorHAnsi"/>
          <w:b/>
          <w:bCs/>
          <w:kern w:val="0"/>
          <w:lang w:eastAsia="en-GB"/>
          <w14:ligatures w14:val="none"/>
        </w:rPr>
        <w:lastRenderedPageBreak/>
        <w:t>2. The key figures and trends</w:t>
      </w:r>
    </w:p>
    <w:p w14:paraId="14C7E7F9"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The latest figures available in the mid-2020s illustrate the scale of the industry.</w:t>
      </w:r>
    </w:p>
    <w:p w14:paraId="28C5D311" w14:textId="65E415EE" w:rsidR="00636C3B" w:rsidRPr="00636C3B" w:rsidRDefault="00636C3B" w:rsidP="00636C3B">
      <w:pPr>
        <w:spacing w:before="100" w:beforeAutospacing="1" w:after="100" w:afterAutospacing="1" w:line="240" w:lineRule="auto"/>
        <w:outlineLvl w:val="0"/>
        <w:rPr>
          <w:rFonts w:eastAsia="Times New Roman" w:cstheme="minorHAnsi"/>
          <w:kern w:val="0"/>
          <w:lang w:eastAsia="en-GB"/>
          <w14:ligatures w14:val="none"/>
        </w:rPr>
      </w:pPr>
      <w:r w:rsidRPr="00636C3B">
        <w:rPr>
          <w:rFonts w:eastAsia="Times New Roman" w:cstheme="minorHAnsi"/>
          <w:b/>
          <w:bCs/>
          <w:kern w:val="36"/>
          <w:lang w:eastAsia="en-GB"/>
          <w14:ligatures w14:val="none"/>
        </w:rPr>
        <w:t>5.2 billion</w:t>
      </w:r>
      <w:r w:rsidRPr="00636C3B">
        <w:rPr>
          <w:rFonts w:eastAsia="Times New Roman" w:cstheme="minorHAnsi"/>
          <w:b/>
          <w:bCs/>
          <w:kern w:val="36"/>
          <w:lang w:eastAsia="en-GB"/>
          <w14:ligatures w14:val="none"/>
        </w:rPr>
        <w:t xml:space="preserve"> </w:t>
      </w:r>
      <w:r w:rsidRPr="00636C3B">
        <w:rPr>
          <w:rFonts w:eastAsia="Times New Roman" w:cstheme="minorHAnsi"/>
          <w:kern w:val="0"/>
          <w:lang w:eastAsia="en-GB"/>
          <w14:ligatures w14:val="none"/>
        </w:rPr>
        <w:t>Passenger journeys forecast for 2025</w:t>
      </w:r>
    </w:p>
    <w:p w14:paraId="32E0C6C9" w14:textId="43608D89" w:rsidR="00636C3B" w:rsidRPr="00636C3B" w:rsidRDefault="00636C3B" w:rsidP="00636C3B">
      <w:pPr>
        <w:spacing w:before="100" w:beforeAutospacing="1" w:after="100" w:afterAutospacing="1" w:line="240" w:lineRule="auto"/>
        <w:outlineLvl w:val="0"/>
        <w:rPr>
          <w:rFonts w:eastAsia="Times New Roman" w:cstheme="minorHAnsi"/>
          <w:kern w:val="0"/>
          <w:lang w:eastAsia="en-GB"/>
          <w14:ligatures w14:val="none"/>
        </w:rPr>
      </w:pPr>
      <w:r w:rsidRPr="00636C3B">
        <w:rPr>
          <w:rFonts w:eastAsia="Times New Roman" w:cstheme="minorHAnsi"/>
          <w:b/>
          <w:bCs/>
          <w:kern w:val="36"/>
          <w:lang w:eastAsia="en-GB"/>
          <w14:ligatures w14:val="none"/>
        </w:rPr>
        <w:t>83.5%</w:t>
      </w:r>
      <w:r w:rsidRPr="00636C3B">
        <w:rPr>
          <w:rFonts w:eastAsia="Times New Roman" w:cstheme="minorHAnsi"/>
          <w:b/>
          <w:bCs/>
          <w:kern w:val="36"/>
          <w:lang w:eastAsia="en-GB"/>
          <w14:ligatures w14:val="none"/>
        </w:rPr>
        <w:t xml:space="preserve"> </w:t>
      </w:r>
      <w:r w:rsidRPr="00636C3B">
        <w:rPr>
          <w:rFonts w:eastAsia="Times New Roman" w:cstheme="minorHAnsi"/>
          <w:kern w:val="0"/>
          <w:lang w:eastAsia="en-GB"/>
          <w14:ligatures w14:val="none"/>
        </w:rPr>
        <w:t>Average seat occupancy in 2024</w:t>
      </w:r>
    </w:p>
    <w:p w14:paraId="77FBA655" w14:textId="4A19C0CC" w:rsidR="00636C3B" w:rsidRPr="00636C3B" w:rsidRDefault="00636C3B" w:rsidP="00636C3B">
      <w:pPr>
        <w:spacing w:before="100" w:beforeAutospacing="1" w:after="100" w:afterAutospacing="1" w:line="240" w:lineRule="auto"/>
        <w:outlineLvl w:val="0"/>
        <w:rPr>
          <w:rFonts w:eastAsia="Times New Roman" w:cstheme="minorHAnsi"/>
          <w:kern w:val="0"/>
          <w:lang w:eastAsia="en-GB"/>
          <w14:ligatures w14:val="none"/>
        </w:rPr>
      </w:pPr>
      <w:r w:rsidRPr="00636C3B">
        <w:rPr>
          <w:rFonts w:eastAsia="Times New Roman" w:cstheme="minorHAnsi"/>
          <w:b/>
          <w:bCs/>
          <w:kern w:val="36"/>
          <w:lang w:eastAsia="en-GB"/>
          <w14:ligatures w14:val="none"/>
        </w:rPr>
        <w:t>3.6%</w:t>
      </w:r>
      <w:r w:rsidRPr="00636C3B">
        <w:rPr>
          <w:rFonts w:eastAsia="Times New Roman" w:cstheme="minorHAnsi"/>
          <w:b/>
          <w:bCs/>
          <w:kern w:val="36"/>
          <w:lang w:eastAsia="en-GB"/>
          <w14:ligatures w14:val="none"/>
        </w:rPr>
        <w:t xml:space="preserve"> </w:t>
      </w:r>
      <w:r w:rsidRPr="00636C3B">
        <w:rPr>
          <w:rFonts w:eastAsia="Times New Roman" w:cstheme="minorHAnsi"/>
          <w:kern w:val="0"/>
          <w:lang w:eastAsia="en-GB"/>
          <w14:ligatures w14:val="none"/>
        </w:rPr>
        <w:t>Forecast net profit margin for airlines in 2025</w:t>
      </w:r>
    </w:p>
    <w:p w14:paraId="1EF3E6DC" w14:textId="5AA33409" w:rsidR="00636C3B" w:rsidRPr="00636C3B" w:rsidRDefault="00636C3B" w:rsidP="00636C3B">
      <w:pPr>
        <w:spacing w:before="100" w:beforeAutospacing="1" w:after="100" w:afterAutospacing="1" w:line="240" w:lineRule="auto"/>
        <w:outlineLvl w:val="0"/>
        <w:rPr>
          <w:rFonts w:eastAsia="Times New Roman" w:cstheme="minorHAnsi"/>
          <w:kern w:val="0"/>
          <w:lang w:eastAsia="en-GB"/>
          <w14:ligatures w14:val="none"/>
        </w:rPr>
      </w:pPr>
      <w:r w:rsidRPr="00636C3B">
        <w:rPr>
          <w:rFonts w:eastAsia="Times New Roman" w:cstheme="minorHAnsi"/>
          <w:b/>
          <w:bCs/>
          <w:kern w:val="36"/>
          <w:lang w:eastAsia="en-GB"/>
          <w14:ligatures w14:val="none"/>
        </w:rPr>
        <w:t>2050</w:t>
      </w:r>
      <w:r w:rsidRPr="00636C3B">
        <w:rPr>
          <w:rFonts w:eastAsia="Times New Roman" w:cstheme="minorHAnsi"/>
          <w:b/>
          <w:bCs/>
          <w:kern w:val="36"/>
          <w:lang w:eastAsia="en-GB"/>
          <w14:ligatures w14:val="none"/>
        </w:rPr>
        <w:t xml:space="preserve"> </w:t>
      </w:r>
      <w:r w:rsidRPr="00636C3B">
        <w:rPr>
          <w:rFonts w:eastAsia="Times New Roman" w:cstheme="minorHAnsi"/>
          <w:kern w:val="0"/>
          <w:lang w:eastAsia="en-GB"/>
          <w14:ligatures w14:val="none"/>
        </w:rPr>
        <w:t>Target year for net-zero CO₂ emissions in the industry</w:t>
      </w:r>
    </w:p>
    <w:p w14:paraId="0DEC441E"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 xml:space="preserve">Sources: IATA, 2024 traffic results and 2025 industry outlook. Passenger numbers and profitability figures are forecasts, not </w:t>
      </w:r>
      <w:proofErr w:type="gramStart"/>
      <w:r w:rsidRPr="00636C3B">
        <w:rPr>
          <w:rFonts w:eastAsia="Times New Roman" w:cstheme="minorHAnsi"/>
          <w:kern w:val="0"/>
          <w:lang w:eastAsia="en-GB"/>
          <w14:ligatures w14:val="none"/>
        </w:rPr>
        <w:t>final results</w:t>
      </w:r>
      <w:proofErr w:type="gramEnd"/>
      <w:r w:rsidRPr="00636C3B">
        <w:rPr>
          <w:rFonts w:eastAsia="Times New Roman" w:cstheme="minorHAnsi"/>
          <w:kern w:val="0"/>
          <w:lang w:eastAsia="en-GB"/>
          <w14:ligatures w14:val="none"/>
        </w:rPr>
        <w:t xml:space="preserve">. </w:t>
      </w:r>
    </w:p>
    <w:p w14:paraId="2CDF82BD" w14:textId="77777777" w:rsidR="00636C3B" w:rsidRPr="00636C3B" w:rsidRDefault="00636C3B" w:rsidP="00636C3B">
      <w:pPr>
        <w:spacing w:before="100" w:beforeAutospacing="1" w:after="100" w:afterAutospacing="1" w:line="240" w:lineRule="auto"/>
        <w:outlineLvl w:val="1"/>
        <w:rPr>
          <w:rFonts w:eastAsia="Times New Roman" w:cstheme="minorHAnsi"/>
          <w:b/>
          <w:bCs/>
          <w:kern w:val="0"/>
          <w:lang w:eastAsia="en-GB"/>
          <w14:ligatures w14:val="none"/>
        </w:rPr>
      </w:pPr>
      <w:r w:rsidRPr="00636C3B">
        <w:rPr>
          <w:rFonts w:eastAsia="Times New Roman" w:cstheme="minorHAnsi"/>
          <w:b/>
          <w:bCs/>
          <w:kern w:val="0"/>
          <w:lang w:eastAsia="en-GB"/>
          <w14:ligatures w14:val="none"/>
        </w:rPr>
        <w:t>3. The main challenges facing air transport</w:t>
      </w:r>
    </w:p>
    <w:p w14:paraId="15A7600F" w14:textId="77777777" w:rsidR="00636C3B" w:rsidRPr="00636C3B" w:rsidRDefault="00636C3B" w:rsidP="00636C3B">
      <w:pPr>
        <w:numPr>
          <w:ilvl w:val="0"/>
          <w:numId w:val="1"/>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Capacity constraints: shortages of aircraft, engines and spare parts, together with delays in manufacturing and maintenance.</w:t>
      </w:r>
    </w:p>
    <w:p w14:paraId="511CD94B" w14:textId="77777777" w:rsidR="00636C3B" w:rsidRPr="00636C3B" w:rsidRDefault="00636C3B" w:rsidP="00636C3B">
      <w:pPr>
        <w:numPr>
          <w:ilvl w:val="0"/>
          <w:numId w:val="1"/>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Geopolitical uncertainty: conflicts, airspace closures, sanctions and longer flight routes can increase costs and disrupt services.</w:t>
      </w:r>
    </w:p>
    <w:p w14:paraId="5AC8F4C7" w14:textId="77777777" w:rsidR="00636C3B" w:rsidRPr="00636C3B" w:rsidRDefault="00636C3B" w:rsidP="00636C3B">
      <w:pPr>
        <w:numPr>
          <w:ilvl w:val="0"/>
          <w:numId w:val="1"/>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Airport congestion: limited runway capacity and infrastructure can restrict growth, particularly at major hubs.</w:t>
      </w:r>
    </w:p>
    <w:p w14:paraId="6A634AA9" w14:textId="77777777" w:rsidR="00636C3B" w:rsidRPr="00636C3B" w:rsidRDefault="00636C3B" w:rsidP="00636C3B">
      <w:pPr>
        <w:numPr>
          <w:ilvl w:val="0"/>
          <w:numId w:val="1"/>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Decarbonisation: sustainable aviation fuel remains expensive and in limited supply, while alternative propulsion technologies are not yet suitable for most long-haul flights.</w:t>
      </w:r>
    </w:p>
    <w:p w14:paraId="7E342376" w14:textId="77777777" w:rsidR="00636C3B" w:rsidRPr="00636C3B" w:rsidRDefault="00636C3B" w:rsidP="00636C3B">
      <w:pPr>
        <w:numPr>
          <w:ilvl w:val="0"/>
          <w:numId w:val="1"/>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Affordability and accessibility: competition can lower fares, but the benefits of air travel remain unevenly distributed across income groups and countries.</w:t>
      </w:r>
    </w:p>
    <w:p w14:paraId="31415F8D"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 xml:space="preserve">These constraints are particularly important because passenger demand continues to grow while airlines face difficulties expanding capacity. </w:t>
      </w:r>
    </w:p>
    <w:p w14:paraId="6160B04A" w14:textId="77777777" w:rsidR="00636C3B" w:rsidRPr="00636C3B" w:rsidRDefault="00636C3B" w:rsidP="00636C3B">
      <w:pPr>
        <w:spacing w:before="100" w:beforeAutospacing="1" w:after="100" w:afterAutospacing="1" w:line="240" w:lineRule="auto"/>
        <w:outlineLvl w:val="1"/>
        <w:rPr>
          <w:rFonts w:eastAsia="Times New Roman" w:cstheme="minorHAnsi"/>
          <w:b/>
          <w:bCs/>
          <w:kern w:val="0"/>
          <w:lang w:eastAsia="en-GB"/>
          <w14:ligatures w14:val="none"/>
        </w:rPr>
      </w:pPr>
      <w:r w:rsidRPr="00636C3B">
        <w:rPr>
          <w:rFonts w:eastAsia="Times New Roman" w:cstheme="minorHAnsi"/>
          <w:b/>
          <w:bCs/>
          <w:kern w:val="0"/>
          <w:lang w:eastAsia="en-GB"/>
          <w14:ligatures w14:val="none"/>
        </w:rPr>
        <w:t>4. Overall assessment</w:t>
      </w:r>
    </w:p>
    <w:p w14:paraId="5557EECF"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Air transport in the mid-2020s is characterised by strong global demand, intense competition, high operating costs, technological sophistication and mounting environmental pressures. It is indispensable to globalisation, international tourism and time-sensitive supply chains, but its future depends on reconciling continued growth with economic resilience, infrastructure capacity and climate objectives.</w:t>
      </w:r>
    </w:p>
    <w:p w14:paraId="78CF13AF" w14:textId="3B33164A" w:rsidR="00636C3B" w:rsidRPr="00636C3B" w:rsidRDefault="00636C3B">
      <w:pPr>
        <w:rPr>
          <w:rFonts w:eastAsia="Times New Roman" w:cstheme="minorHAnsi"/>
          <w:kern w:val="0"/>
          <w:lang w:eastAsia="en-GB"/>
          <w14:ligatures w14:val="none"/>
        </w:rPr>
      </w:pPr>
      <w:r w:rsidRPr="00636C3B">
        <w:rPr>
          <w:rFonts w:eastAsia="Times New Roman" w:cstheme="minorHAnsi"/>
          <w:kern w:val="0"/>
          <w:lang w:eastAsia="en-GB"/>
          <w14:ligatures w14:val="none"/>
        </w:rPr>
        <w:br w:type="page"/>
      </w:r>
    </w:p>
    <w:p w14:paraId="13CA56CD" w14:textId="287806E7" w:rsidR="00636C3B" w:rsidRPr="00636C3B" w:rsidRDefault="00636C3B" w:rsidP="00636C3B">
      <w:pPr>
        <w:rPr>
          <w:rFonts w:cstheme="minorHAnsi"/>
          <w:b/>
          <w:bCs/>
        </w:rPr>
      </w:pPr>
      <w:r w:rsidRPr="00636C3B">
        <w:rPr>
          <w:rFonts w:cstheme="minorHAnsi"/>
          <w:b/>
          <w:bCs/>
        </w:rPr>
        <w:lastRenderedPageBreak/>
        <w:t>Mistral Vibe pro</w:t>
      </w:r>
    </w:p>
    <w:p w14:paraId="17594633"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Here's a concise overview of air transport in the mid-2020s:</w:t>
      </w:r>
    </w:p>
    <w:p w14:paraId="56E6D74F"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b/>
          <w:bCs/>
          <w:kern w:val="0"/>
          <w:lang w:eastAsia="en-GB"/>
          <w14:ligatures w14:val="none"/>
        </w:rPr>
        <w:t>Market &amp; traffic</w:t>
      </w:r>
    </w:p>
    <w:p w14:paraId="70DEE828" w14:textId="77777777" w:rsidR="00636C3B" w:rsidRPr="00636C3B" w:rsidRDefault="00636C3B" w:rsidP="00636C3B">
      <w:pPr>
        <w:numPr>
          <w:ilvl w:val="0"/>
          <w:numId w:val="2"/>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The industry fully recovered from the COVID-19 crash by 2024, with global passenger traffic back to (and exceeding) 2019 levels. Asia-Pacific rebounded more slowly than Europe and North America but is again the largest growth market.</w:t>
      </w:r>
    </w:p>
    <w:p w14:paraId="327D4D67" w14:textId="77777777" w:rsidR="00636C3B" w:rsidRPr="00636C3B" w:rsidRDefault="00636C3B" w:rsidP="00636C3B">
      <w:pPr>
        <w:numPr>
          <w:ilvl w:val="0"/>
          <w:numId w:val="2"/>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Demand is concentrated in a handful of large hubs (Atlanta, Dubai, London Heathrow, Dallas–Fort Worth, etc.), and low-cost carriers now account for roughly a third of global seat capacity.</w:t>
      </w:r>
    </w:p>
    <w:p w14:paraId="0C0F4076"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b/>
          <w:bCs/>
          <w:kern w:val="0"/>
          <w:lang w:eastAsia="en-GB"/>
          <w14:ligatures w14:val="none"/>
        </w:rPr>
        <w:t>Aircraft &amp; technology</w:t>
      </w:r>
    </w:p>
    <w:p w14:paraId="4028B2C1" w14:textId="77777777" w:rsidR="00636C3B" w:rsidRPr="00636C3B" w:rsidRDefault="00636C3B" w:rsidP="00636C3B">
      <w:pPr>
        <w:numPr>
          <w:ilvl w:val="0"/>
          <w:numId w:val="3"/>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The fleet is dominated by two manufacturers, Boeing and Airbus, plus Embraer and (increasingly, in Russia, China, and parts of the Global South) COMAC and others.</w:t>
      </w:r>
    </w:p>
    <w:p w14:paraId="745E5F51" w14:textId="77777777" w:rsidR="00636C3B" w:rsidRPr="00636C3B" w:rsidRDefault="00636C3B" w:rsidP="00636C3B">
      <w:pPr>
        <w:numPr>
          <w:ilvl w:val="0"/>
          <w:numId w:val="3"/>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The workhorses are new-generation narrow-bodies (A320neo family, 737 MAX) offering 15–20% better fuel burn than their predecessors; wide-bodies (787, A350) dominate long-haul.</w:t>
      </w:r>
    </w:p>
    <w:p w14:paraId="637B9205" w14:textId="77777777" w:rsidR="00636C3B" w:rsidRPr="00636C3B" w:rsidRDefault="00636C3B" w:rsidP="00636C3B">
      <w:pPr>
        <w:numPr>
          <w:ilvl w:val="0"/>
          <w:numId w:val="3"/>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Sustainable aviation fuel (SAF) is the main decarbonisation lever, but supply remains tiny (under 1% of jet fuel), so net-zero 2050 targets remain largely aspirational.</w:t>
      </w:r>
    </w:p>
    <w:p w14:paraId="169DC3BA"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b/>
          <w:bCs/>
          <w:kern w:val="0"/>
          <w:lang w:eastAsia="en-GB"/>
          <w14:ligatures w14:val="none"/>
        </w:rPr>
        <w:t>Economics</w:t>
      </w:r>
    </w:p>
    <w:p w14:paraId="3D6A7E5A" w14:textId="77777777" w:rsidR="00636C3B" w:rsidRPr="00636C3B" w:rsidRDefault="00636C3B" w:rsidP="00636C3B">
      <w:pPr>
        <w:numPr>
          <w:ilvl w:val="0"/>
          <w:numId w:val="4"/>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 xml:space="preserve">Airlines operate on notoriously thin margins (typically 1–4% net); profitability is skewed toward a small group of carriers (Delta, Ryanair, Gulf and Latin American operators) while many flag </w:t>
      </w:r>
      <w:proofErr w:type="gramStart"/>
      <w:r w:rsidRPr="00636C3B">
        <w:rPr>
          <w:rFonts w:eastAsia="Times New Roman" w:cstheme="minorHAnsi"/>
          <w:kern w:val="0"/>
          <w:lang w:eastAsia="en-GB"/>
          <w14:ligatures w14:val="none"/>
        </w:rPr>
        <w:t>carriers</w:t>
      </w:r>
      <w:proofErr w:type="gramEnd"/>
      <w:r w:rsidRPr="00636C3B">
        <w:rPr>
          <w:rFonts w:eastAsia="Times New Roman" w:cstheme="minorHAnsi"/>
          <w:kern w:val="0"/>
          <w:lang w:eastAsia="en-GB"/>
          <w14:ligatures w14:val="none"/>
        </w:rPr>
        <w:t xml:space="preserve"> struggle.</w:t>
      </w:r>
    </w:p>
    <w:p w14:paraId="397E1CFC" w14:textId="77777777" w:rsidR="00636C3B" w:rsidRPr="00636C3B" w:rsidRDefault="00636C3B" w:rsidP="00636C3B">
      <w:pPr>
        <w:numPr>
          <w:ilvl w:val="0"/>
          <w:numId w:val="4"/>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Post-2022 fare inflation and strong leisure demand ("revenge travel") boosted revenues, though cost pressure from fuel, labour, and aircraft delivery delays persists — certification and production problems at both Boeing and Airbus have created a serious shortage of new aircraft.</w:t>
      </w:r>
    </w:p>
    <w:p w14:paraId="362AC4AB"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b/>
          <w:bCs/>
          <w:kern w:val="0"/>
          <w:lang w:eastAsia="en-GB"/>
          <w14:ligatures w14:val="none"/>
        </w:rPr>
        <w:t>Operations &amp; regulation</w:t>
      </w:r>
    </w:p>
    <w:p w14:paraId="21C794C9" w14:textId="77777777" w:rsidR="00636C3B" w:rsidRPr="00636C3B" w:rsidRDefault="00636C3B" w:rsidP="00636C3B">
      <w:pPr>
        <w:numPr>
          <w:ilvl w:val="0"/>
          <w:numId w:val="5"/>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The sector is heavily regulated for safety, with liberalised market access in most regions (Open Skies agreements, EU single aviation market).</w:t>
      </w:r>
    </w:p>
    <w:p w14:paraId="00A3B37F" w14:textId="77777777" w:rsidR="00636C3B" w:rsidRPr="00636C3B" w:rsidRDefault="00636C3B" w:rsidP="00636C3B">
      <w:pPr>
        <w:numPr>
          <w:ilvl w:val="0"/>
          <w:numId w:val="5"/>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Air traffic management and airport capacity are the main bottlenecks, causing chronic delays in Europe and the US.</w:t>
      </w:r>
    </w:p>
    <w:p w14:paraId="2329C5C3" w14:textId="77777777" w:rsidR="00636C3B" w:rsidRPr="00636C3B" w:rsidRDefault="00636C3B" w:rsidP="00636C3B">
      <w:pPr>
        <w:numPr>
          <w:ilvl w:val="0"/>
          <w:numId w:val="5"/>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Turbulence for airports and airlines alike comes from geopolitics: sanctions on Russia closing Siberian overflight routes, wars affecting Middle East airspace, and rising jet fuel volatility.</w:t>
      </w:r>
    </w:p>
    <w:p w14:paraId="14948D48"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In short: a high-tech, duopolistic, capital-intensive industry that has bounced back strongly but is squeezed between capacity constraints, delivery delays, and decarbonisation pressure.</w:t>
      </w:r>
    </w:p>
    <w:p w14:paraId="2EB3751B" w14:textId="77777777" w:rsidR="00636C3B" w:rsidRPr="00636C3B" w:rsidRDefault="00636C3B" w:rsidP="00636C3B">
      <w:pPr>
        <w:spacing w:after="0"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What about the breakdown between passenger traffic, belly cargo and pure freight?</w:t>
      </w:r>
    </w:p>
    <w:p w14:paraId="7AFA8992" w14:textId="77777777" w:rsid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Here's how the split looks today, roughly speaking:</w:t>
      </w:r>
    </w:p>
    <w:p w14:paraId="73FC7E8E" w14:textId="77777777" w:rsidR="00636C3B" w:rsidRDefault="00636C3B" w:rsidP="00636C3B">
      <w:pPr>
        <w:spacing w:before="100" w:beforeAutospacing="1" w:after="100" w:afterAutospacing="1" w:line="240" w:lineRule="auto"/>
        <w:rPr>
          <w:rFonts w:eastAsia="Times New Roman" w:cstheme="minorHAnsi"/>
          <w:kern w:val="0"/>
          <w:lang w:eastAsia="en-GB"/>
          <w14:ligatures w14:val="none"/>
        </w:rPr>
      </w:pPr>
    </w:p>
    <w:p w14:paraId="0A0EC8E4"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p>
    <w:p w14:paraId="787CA710"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b/>
          <w:bCs/>
          <w:kern w:val="0"/>
          <w:lang w:eastAsia="en-GB"/>
          <w14:ligatures w14:val="none"/>
        </w:rPr>
        <w:lastRenderedPageBreak/>
        <w:t>Overall scale</w:t>
      </w:r>
    </w:p>
    <w:p w14:paraId="612208EC" w14:textId="77777777" w:rsidR="00636C3B" w:rsidRPr="00636C3B" w:rsidRDefault="00636C3B" w:rsidP="00636C3B">
      <w:pPr>
        <w:numPr>
          <w:ilvl w:val="0"/>
          <w:numId w:val="6"/>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Passenger traffic is the dominant activity by far: airlines carry about 4.7–5 billion passengers a year, versus roughly 60–65 million tonnes of air cargo. In revenue terms, passengers account for roughly 85–90% of airline income, cargo 10–15% — though cargo is far more profitable per unit and was a lifeline during the pandemic.</w:t>
      </w:r>
    </w:p>
    <w:p w14:paraId="71BD262A"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b/>
          <w:bCs/>
          <w:kern w:val="0"/>
          <w:lang w:eastAsia="en-GB"/>
          <w14:ligatures w14:val="none"/>
        </w:rPr>
        <w:t>Within air cargo: belly vs freighter</w:t>
      </w:r>
    </w:p>
    <w:p w14:paraId="006E10B3" w14:textId="77777777" w:rsidR="00636C3B" w:rsidRPr="00636C3B" w:rsidRDefault="00636C3B" w:rsidP="00636C3B">
      <w:pPr>
        <w:numPr>
          <w:ilvl w:val="0"/>
          <w:numId w:val="7"/>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 xml:space="preserve">Since the passenger fleet fully recovered in 2023–24, the balance has returned to its pre-COVID pattern: about 55% of cargo capacity (ACTKs) is in the belly holds of passenger aircraft, and about 45% on dedicated freighters, per IATA data for 2024. Measured in tonne-kilometres </w:t>
      </w:r>
      <w:proofErr w:type="gramStart"/>
      <w:r w:rsidRPr="00636C3B">
        <w:rPr>
          <w:rFonts w:eastAsia="Times New Roman" w:cstheme="minorHAnsi"/>
          <w:kern w:val="0"/>
          <w:lang w:eastAsia="en-GB"/>
          <w14:ligatures w14:val="none"/>
        </w:rPr>
        <w:t>actually flown</w:t>
      </w:r>
      <w:proofErr w:type="gramEnd"/>
      <w:r w:rsidRPr="00636C3B">
        <w:rPr>
          <w:rFonts w:eastAsia="Times New Roman" w:cstheme="minorHAnsi"/>
          <w:kern w:val="0"/>
          <w:lang w:eastAsia="en-GB"/>
          <w14:ligatures w14:val="none"/>
        </w:rPr>
        <w:t>, the split is closer to 50/50 historically, with Boeing citing ~54% for main-deck freighters over the long run. (</w:t>
      </w:r>
      <w:proofErr w:type="spellStart"/>
      <w:r w:rsidRPr="00636C3B">
        <w:rPr>
          <w:rFonts w:eastAsia="Times New Roman" w:cstheme="minorHAnsi"/>
          <w:kern w:val="0"/>
          <w:lang w:eastAsia="en-GB"/>
          <w14:ligatures w14:val="none"/>
        </w:rPr>
        <w:fldChar w:fldCharType="begin"/>
      </w:r>
      <w:r w:rsidRPr="00636C3B">
        <w:rPr>
          <w:rFonts w:eastAsia="Times New Roman" w:cstheme="minorHAnsi"/>
          <w:kern w:val="0"/>
          <w:lang w:eastAsia="en-GB"/>
          <w14:ligatures w14:val="none"/>
        </w:rPr>
        <w:instrText>HYPERLINK "https://www.cargotalkgcc.com/post/usage-of-belly-space-increases-by-10-in-2025" \t "_blank"</w:instrText>
      </w:r>
      <w:r w:rsidRPr="00636C3B">
        <w:rPr>
          <w:rFonts w:eastAsia="Times New Roman" w:cstheme="minorHAnsi"/>
          <w:kern w:val="0"/>
          <w:lang w:eastAsia="en-GB"/>
          <w14:ligatures w14:val="none"/>
        </w:rPr>
      </w:r>
      <w:r w:rsidRPr="00636C3B">
        <w:rPr>
          <w:rFonts w:eastAsia="Times New Roman" w:cstheme="minorHAnsi"/>
          <w:kern w:val="0"/>
          <w:lang w:eastAsia="en-GB"/>
          <w14:ligatures w14:val="none"/>
        </w:rPr>
        <w:fldChar w:fldCharType="separate"/>
      </w:r>
      <w:r w:rsidRPr="00636C3B">
        <w:rPr>
          <w:rFonts w:eastAsia="Times New Roman" w:cstheme="minorHAnsi"/>
          <w:color w:val="0000FF"/>
          <w:kern w:val="0"/>
          <w:u w:val="single"/>
          <w:lang w:eastAsia="en-GB"/>
          <w14:ligatures w14:val="none"/>
        </w:rPr>
        <w:t>CargoTalk</w:t>
      </w:r>
      <w:proofErr w:type="spellEnd"/>
      <w:r w:rsidRPr="00636C3B">
        <w:rPr>
          <w:rFonts w:eastAsia="Times New Roman" w:cstheme="minorHAnsi"/>
          <w:color w:val="0000FF"/>
          <w:kern w:val="0"/>
          <w:u w:val="single"/>
          <w:lang w:eastAsia="en-GB"/>
          <w14:ligatures w14:val="none"/>
        </w:rPr>
        <w:t xml:space="preserve"> GCC</w:t>
      </w:r>
      <w:r w:rsidRPr="00636C3B">
        <w:rPr>
          <w:rFonts w:eastAsia="Times New Roman" w:cstheme="minorHAnsi"/>
          <w:kern w:val="0"/>
          <w:lang w:eastAsia="en-GB"/>
          <w14:ligatures w14:val="none"/>
        </w:rPr>
        <w:fldChar w:fldCharType="end"/>
      </w:r>
      <w:r w:rsidRPr="00636C3B">
        <w:rPr>
          <w:rFonts w:eastAsia="Times New Roman" w:cstheme="minorHAnsi"/>
          <w:kern w:val="0"/>
          <w:lang w:eastAsia="en-GB"/>
          <w14:ligatures w14:val="none"/>
        </w:rPr>
        <w:t xml:space="preserve">, </w:t>
      </w:r>
      <w:hyperlink r:id="rId5" w:tgtFrame="_blank" w:history="1">
        <w:r w:rsidRPr="00636C3B">
          <w:rPr>
            <w:rFonts w:eastAsia="Times New Roman" w:cstheme="minorHAnsi"/>
            <w:color w:val="0000FF"/>
            <w:kern w:val="0"/>
            <w:u w:val="single"/>
            <w:lang w:eastAsia="en-GB"/>
            <w14:ligatures w14:val="none"/>
          </w:rPr>
          <w:t>DWU Consulting</w:t>
        </w:r>
      </w:hyperlink>
      <w:r w:rsidRPr="00636C3B">
        <w:rPr>
          <w:rFonts w:eastAsia="Times New Roman" w:cstheme="minorHAnsi"/>
          <w:kern w:val="0"/>
          <w:lang w:eastAsia="en-GB"/>
          <w14:ligatures w14:val="none"/>
        </w:rPr>
        <w:t>)</w:t>
      </w:r>
    </w:p>
    <w:p w14:paraId="198344D3" w14:textId="77777777" w:rsidR="00636C3B" w:rsidRPr="00636C3B" w:rsidRDefault="00636C3B" w:rsidP="00636C3B">
      <w:pPr>
        <w:numPr>
          <w:ilvl w:val="0"/>
          <w:numId w:val="7"/>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kern w:val="0"/>
          <w:lang w:eastAsia="en-GB"/>
          <w14:ligatures w14:val="none"/>
        </w:rPr>
        <w:t>During COVID this flipped dramatically: with passenger jets grounded, freighters (plus improvised "</w:t>
      </w:r>
      <w:proofErr w:type="spellStart"/>
      <w:r w:rsidRPr="00636C3B">
        <w:rPr>
          <w:rFonts w:eastAsia="Times New Roman" w:cstheme="minorHAnsi"/>
          <w:kern w:val="0"/>
          <w:lang w:eastAsia="en-GB"/>
          <w14:ligatures w14:val="none"/>
        </w:rPr>
        <w:t>preighters</w:t>
      </w:r>
      <w:proofErr w:type="spellEnd"/>
      <w:r w:rsidRPr="00636C3B">
        <w:rPr>
          <w:rFonts w:eastAsia="Times New Roman" w:cstheme="minorHAnsi"/>
          <w:kern w:val="0"/>
          <w:lang w:eastAsia="en-GB"/>
          <w14:ligatures w14:val="none"/>
        </w:rPr>
        <w:t>") carried 60–70% of traffic in 2020–23. That anomaly has now unwound as bellies came back. (</w:t>
      </w:r>
      <w:hyperlink r:id="rId6" w:tgtFrame="_blank" w:history="1">
        <w:r w:rsidRPr="00636C3B">
          <w:rPr>
            <w:rFonts w:eastAsia="Times New Roman" w:cstheme="minorHAnsi"/>
            <w:color w:val="0000FF"/>
            <w:kern w:val="0"/>
            <w:u w:val="single"/>
            <w:lang w:eastAsia="en-GB"/>
            <w14:ligatures w14:val="none"/>
          </w:rPr>
          <w:t>DWU Consulting</w:t>
        </w:r>
      </w:hyperlink>
      <w:r w:rsidRPr="00636C3B">
        <w:rPr>
          <w:rFonts w:eastAsia="Times New Roman" w:cstheme="minorHAnsi"/>
          <w:kern w:val="0"/>
          <w:lang w:eastAsia="en-GB"/>
          <w14:ligatures w14:val="none"/>
        </w:rPr>
        <w:t xml:space="preserve">, </w:t>
      </w:r>
      <w:hyperlink r:id="rId7" w:tgtFrame="_blank" w:history="1">
        <w:r w:rsidRPr="00636C3B">
          <w:rPr>
            <w:rFonts w:eastAsia="Times New Roman" w:cstheme="minorHAnsi"/>
            <w:color w:val="0000FF"/>
            <w:kern w:val="0"/>
            <w:u w:val="single"/>
            <w:lang w:eastAsia="en-GB"/>
            <w14:ligatures w14:val="none"/>
          </w:rPr>
          <w:t>IATA</w:t>
        </w:r>
      </w:hyperlink>
      <w:r w:rsidRPr="00636C3B">
        <w:rPr>
          <w:rFonts w:eastAsia="Times New Roman" w:cstheme="minorHAnsi"/>
          <w:kern w:val="0"/>
          <w:lang w:eastAsia="en-GB"/>
          <w14:ligatures w14:val="none"/>
        </w:rPr>
        <w:t>)</w:t>
      </w:r>
    </w:p>
    <w:p w14:paraId="5BF4030E"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b/>
          <w:bCs/>
          <w:kern w:val="0"/>
          <w:lang w:eastAsia="en-GB"/>
          <w14:ligatures w14:val="none"/>
        </w:rPr>
        <w:t>Structure of each segment</w:t>
      </w:r>
    </w:p>
    <w:p w14:paraId="3B262277" w14:textId="77777777" w:rsidR="00636C3B" w:rsidRPr="00636C3B" w:rsidRDefault="00636C3B" w:rsidP="00636C3B">
      <w:pPr>
        <w:numPr>
          <w:ilvl w:val="0"/>
          <w:numId w:val="8"/>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b/>
          <w:bCs/>
          <w:kern w:val="0"/>
          <w:lang w:eastAsia="en-GB"/>
          <w14:ligatures w14:val="none"/>
        </w:rPr>
        <w:t>Belly cargo</w:t>
      </w:r>
      <w:r w:rsidRPr="00636C3B">
        <w:rPr>
          <w:rFonts w:eastAsia="Times New Roman" w:cstheme="minorHAnsi"/>
          <w:kern w:val="0"/>
          <w:lang w:eastAsia="en-GB"/>
          <w14:ligatures w14:val="none"/>
        </w:rPr>
        <w:t xml:space="preserve"> is essentially a by-product of passenger networks: marginal-cost capacity, best suited to e-commerce, express and general cargo on routes with dense widebody service (e.g. transatlantic). Its availability rises and falls with passenger demand — widebodies can carry 15–25 tonnes below deck, narrow-bodies only 2–6 tonnes.</w:t>
      </w:r>
    </w:p>
    <w:p w14:paraId="41050074" w14:textId="77777777" w:rsidR="00636C3B" w:rsidRPr="00636C3B" w:rsidRDefault="00636C3B" w:rsidP="00636C3B">
      <w:pPr>
        <w:numPr>
          <w:ilvl w:val="0"/>
          <w:numId w:val="8"/>
        </w:num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b/>
          <w:bCs/>
          <w:kern w:val="0"/>
          <w:lang w:eastAsia="en-GB"/>
          <w14:ligatures w14:val="none"/>
        </w:rPr>
        <w:t>Dedicated freighters</w:t>
      </w:r>
      <w:r w:rsidRPr="00636C3B">
        <w:rPr>
          <w:rFonts w:eastAsia="Times New Roman" w:cstheme="minorHAnsi"/>
          <w:kern w:val="0"/>
          <w:lang w:eastAsia="en-GB"/>
          <w14:ligatures w14:val="none"/>
        </w:rPr>
        <w:t xml:space="preserve"> (FedEx, UPS, DHL, plus cargo arms of Korean Air, Cathay, Emirates, Cargolux, Atlas, Amazon…) dominate time-definite, heavy and outsize shipments, and the big trade lanes — Asia–North America is by far the largest freighter corridor. Freighter capacity has been growing again, roughly in step with belly capacity in 2024–25. (</w:t>
      </w:r>
      <w:hyperlink r:id="rId8" w:tgtFrame="_blank" w:history="1">
        <w:r w:rsidRPr="00636C3B">
          <w:rPr>
            <w:rFonts w:eastAsia="Times New Roman" w:cstheme="minorHAnsi"/>
            <w:color w:val="0000FF"/>
            <w:kern w:val="0"/>
            <w:u w:val="single"/>
            <w:lang w:eastAsia="en-GB"/>
            <w14:ligatures w14:val="none"/>
          </w:rPr>
          <w:t>IATA, Dec 2025</w:t>
        </w:r>
      </w:hyperlink>
      <w:r w:rsidRPr="00636C3B">
        <w:rPr>
          <w:rFonts w:eastAsia="Times New Roman" w:cstheme="minorHAnsi"/>
          <w:kern w:val="0"/>
          <w:lang w:eastAsia="en-GB"/>
          <w14:ligatures w14:val="none"/>
        </w:rPr>
        <w:t>)</w:t>
      </w:r>
    </w:p>
    <w:p w14:paraId="77EF3815"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r w:rsidRPr="00636C3B">
        <w:rPr>
          <w:rFonts w:eastAsia="Times New Roman" w:cstheme="minorHAnsi"/>
          <w:b/>
          <w:bCs/>
          <w:kern w:val="0"/>
          <w:lang w:eastAsia="en-GB"/>
          <w14:ligatures w14:val="none"/>
        </w:rPr>
        <w:t>In short:</w:t>
      </w:r>
      <w:r w:rsidRPr="00636C3B">
        <w:rPr>
          <w:rFonts w:eastAsia="Times New Roman" w:cstheme="minorHAnsi"/>
          <w:kern w:val="0"/>
          <w:lang w:eastAsia="en-GB"/>
          <w14:ligatures w14:val="none"/>
        </w:rPr>
        <w:t xml:space="preserve"> passenger flying </w:t>
      </w:r>
      <w:proofErr w:type="gramStart"/>
      <w:r w:rsidRPr="00636C3B">
        <w:rPr>
          <w:rFonts w:eastAsia="Times New Roman" w:cstheme="minorHAnsi"/>
          <w:kern w:val="0"/>
          <w:lang w:eastAsia="en-GB"/>
          <w14:ligatures w14:val="none"/>
        </w:rPr>
        <w:t>dwarfs</w:t>
      </w:r>
      <w:proofErr w:type="gramEnd"/>
      <w:r w:rsidRPr="00636C3B">
        <w:rPr>
          <w:rFonts w:eastAsia="Times New Roman" w:cstheme="minorHAnsi"/>
          <w:kern w:val="0"/>
          <w:lang w:eastAsia="en-GB"/>
          <w14:ligatures w14:val="none"/>
        </w:rPr>
        <w:t xml:space="preserve"> cargo economically, but cargo is a high-margin complement; within cargo, capacity is split roughly 55% belly / 45% freighter today — a reversion to the pre-pandemic norm after freighters temporarily dominated during COVID.</w:t>
      </w:r>
    </w:p>
    <w:p w14:paraId="5F0E2B13" w14:textId="77777777" w:rsidR="00636C3B" w:rsidRPr="00636C3B" w:rsidRDefault="00636C3B" w:rsidP="00636C3B">
      <w:pPr>
        <w:spacing w:before="100" w:beforeAutospacing="1" w:after="100" w:afterAutospacing="1" w:line="240" w:lineRule="auto"/>
        <w:rPr>
          <w:rFonts w:eastAsia="Times New Roman" w:cstheme="minorHAnsi"/>
          <w:kern w:val="0"/>
          <w:lang w:eastAsia="en-GB"/>
          <w14:ligatures w14:val="none"/>
        </w:rPr>
      </w:pPr>
    </w:p>
    <w:p w14:paraId="5F5F7F09" w14:textId="77777777" w:rsidR="00636C3B" w:rsidRPr="00636C3B" w:rsidRDefault="00636C3B">
      <w:pPr>
        <w:rPr>
          <w:rFonts w:cstheme="minorHAnsi"/>
        </w:rPr>
      </w:pPr>
    </w:p>
    <w:sectPr w:rsidR="00636C3B" w:rsidRPr="00636C3B" w:rsidSect="00D12E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B576E"/>
    <w:multiLevelType w:val="multilevel"/>
    <w:tmpl w:val="A0C8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AB230E"/>
    <w:multiLevelType w:val="multilevel"/>
    <w:tmpl w:val="D8E8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163558"/>
    <w:multiLevelType w:val="multilevel"/>
    <w:tmpl w:val="716EF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294A22"/>
    <w:multiLevelType w:val="multilevel"/>
    <w:tmpl w:val="8AB24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0C6C08"/>
    <w:multiLevelType w:val="multilevel"/>
    <w:tmpl w:val="9506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8A0766"/>
    <w:multiLevelType w:val="multilevel"/>
    <w:tmpl w:val="086E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DF3DEC"/>
    <w:multiLevelType w:val="multilevel"/>
    <w:tmpl w:val="A1A60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975087"/>
    <w:multiLevelType w:val="multilevel"/>
    <w:tmpl w:val="20D4D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1329098">
    <w:abstractNumId w:val="1"/>
  </w:num>
  <w:num w:numId="2" w16cid:durableId="476805663">
    <w:abstractNumId w:val="7"/>
  </w:num>
  <w:num w:numId="3" w16cid:durableId="1596396377">
    <w:abstractNumId w:val="3"/>
  </w:num>
  <w:num w:numId="4" w16cid:durableId="429086720">
    <w:abstractNumId w:val="5"/>
  </w:num>
  <w:num w:numId="5" w16cid:durableId="22676919">
    <w:abstractNumId w:val="4"/>
  </w:num>
  <w:num w:numId="6" w16cid:durableId="390930602">
    <w:abstractNumId w:val="6"/>
  </w:num>
  <w:num w:numId="7" w16cid:durableId="1085566439">
    <w:abstractNumId w:val="2"/>
  </w:num>
  <w:num w:numId="8" w16cid:durableId="473912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C3B"/>
    <w:rsid w:val="00140609"/>
    <w:rsid w:val="00192486"/>
    <w:rsid w:val="00331D0E"/>
    <w:rsid w:val="005E3C54"/>
    <w:rsid w:val="00604AAD"/>
    <w:rsid w:val="00636C3B"/>
    <w:rsid w:val="00663A68"/>
    <w:rsid w:val="008B72A0"/>
    <w:rsid w:val="008F2CA1"/>
    <w:rsid w:val="009E79CB"/>
    <w:rsid w:val="00AC42A4"/>
    <w:rsid w:val="00D12E0A"/>
    <w:rsid w:val="00DA1006"/>
    <w:rsid w:val="00DE7692"/>
    <w:rsid w:val="00E12147"/>
    <w:rsid w:val="00E631B2"/>
    <w:rsid w:val="00E765D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C5ED0"/>
  <w15:chartTrackingRefBased/>
  <w15:docId w15:val="{5C0C6A26-CFAE-4B94-8A39-64DD9BF86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2A4"/>
  </w:style>
  <w:style w:type="paragraph" w:styleId="Titre1">
    <w:name w:val="heading 1"/>
    <w:next w:val="Normal"/>
    <w:link w:val="Titre1Car"/>
    <w:autoRedefine/>
    <w:uiPriority w:val="9"/>
    <w:qFormat/>
    <w:rsid w:val="00604AAD"/>
    <w:pPr>
      <w:spacing w:after="500" w:line="288" w:lineRule="auto"/>
      <w:outlineLvl w:val="0"/>
    </w:pPr>
    <w:rPr>
      <w:rFonts w:eastAsia="Times New Roman" w:cs="Times New Roman"/>
      <w:b/>
      <w:bCs/>
      <w:caps/>
      <w:color w:val="000000"/>
      <w:kern w:val="0"/>
      <w14:ligatures w14:val="none"/>
    </w:rPr>
  </w:style>
  <w:style w:type="paragraph" w:styleId="Titre2">
    <w:name w:val="heading 2"/>
    <w:basedOn w:val="Normal"/>
    <w:next w:val="Normal"/>
    <w:link w:val="Titre2Car"/>
    <w:uiPriority w:val="9"/>
    <w:unhideWhenUsed/>
    <w:qFormat/>
    <w:rsid w:val="00636C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36C3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36C3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36C3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36C3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6C3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6C3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6C3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2">
    <w:name w:val="toc 2"/>
    <w:basedOn w:val="Normal"/>
    <w:next w:val="Normal"/>
    <w:autoRedefine/>
    <w:uiPriority w:val="39"/>
    <w:unhideWhenUsed/>
    <w:rsid w:val="00604AAD"/>
    <w:pPr>
      <w:spacing w:after="100" w:line="278" w:lineRule="auto"/>
      <w:ind w:left="240"/>
    </w:pPr>
    <w:rPr>
      <w:rFonts w:ascii="Times New Roman" w:hAnsi="Times New Roman"/>
      <w:sz w:val="24"/>
      <w:szCs w:val="24"/>
      <w:lang w:val="fr-FR"/>
    </w:rPr>
  </w:style>
  <w:style w:type="character" w:customStyle="1" w:styleId="Titre1Car">
    <w:name w:val="Titre 1 Car"/>
    <w:basedOn w:val="Policepardfaut"/>
    <w:link w:val="Titre1"/>
    <w:uiPriority w:val="9"/>
    <w:rsid w:val="00604AAD"/>
    <w:rPr>
      <w:rFonts w:eastAsia="Times New Roman" w:cs="Times New Roman"/>
      <w:b/>
      <w:bCs/>
      <w:caps/>
      <w:color w:val="000000"/>
      <w:kern w:val="0"/>
      <w14:ligatures w14:val="none"/>
    </w:rPr>
  </w:style>
  <w:style w:type="character" w:customStyle="1" w:styleId="Titre2Car">
    <w:name w:val="Titre 2 Car"/>
    <w:basedOn w:val="Policepardfaut"/>
    <w:link w:val="Titre2"/>
    <w:uiPriority w:val="9"/>
    <w:rsid w:val="00636C3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36C3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36C3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36C3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36C3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6C3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6C3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6C3B"/>
    <w:rPr>
      <w:rFonts w:eastAsiaTheme="majorEastAsia" w:cstheme="majorBidi"/>
      <w:color w:val="272727" w:themeColor="text1" w:themeTint="D8"/>
    </w:rPr>
  </w:style>
  <w:style w:type="paragraph" w:styleId="Titre">
    <w:name w:val="Title"/>
    <w:basedOn w:val="Normal"/>
    <w:next w:val="Normal"/>
    <w:link w:val="TitreCar"/>
    <w:uiPriority w:val="10"/>
    <w:qFormat/>
    <w:rsid w:val="00636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6C3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6C3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6C3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6C3B"/>
    <w:pPr>
      <w:spacing w:before="160"/>
      <w:jc w:val="center"/>
    </w:pPr>
    <w:rPr>
      <w:i/>
      <w:iCs/>
      <w:color w:val="404040" w:themeColor="text1" w:themeTint="BF"/>
    </w:rPr>
  </w:style>
  <w:style w:type="character" w:customStyle="1" w:styleId="CitationCar">
    <w:name w:val="Citation Car"/>
    <w:basedOn w:val="Policepardfaut"/>
    <w:link w:val="Citation"/>
    <w:uiPriority w:val="29"/>
    <w:rsid w:val="00636C3B"/>
    <w:rPr>
      <w:i/>
      <w:iCs/>
      <w:color w:val="404040" w:themeColor="text1" w:themeTint="BF"/>
    </w:rPr>
  </w:style>
  <w:style w:type="paragraph" w:styleId="Paragraphedeliste">
    <w:name w:val="List Paragraph"/>
    <w:basedOn w:val="Normal"/>
    <w:uiPriority w:val="34"/>
    <w:qFormat/>
    <w:rsid w:val="00636C3B"/>
    <w:pPr>
      <w:ind w:left="720"/>
      <w:contextualSpacing/>
    </w:pPr>
  </w:style>
  <w:style w:type="character" w:styleId="Accentuationintense">
    <w:name w:val="Intense Emphasis"/>
    <w:basedOn w:val="Policepardfaut"/>
    <w:uiPriority w:val="21"/>
    <w:qFormat/>
    <w:rsid w:val="00636C3B"/>
    <w:rPr>
      <w:i/>
      <w:iCs/>
      <w:color w:val="2F5496" w:themeColor="accent1" w:themeShade="BF"/>
    </w:rPr>
  </w:style>
  <w:style w:type="paragraph" w:styleId="Citationintense">
    <w:name w:val="Intense Quote"/>
    <w:basedOn w:val="Normal"/>
    <w:next w:val="Normal"/>
    <w:link w:val="CitationintenseCar"/>
    <w:uiPriority w:val="30"/>
    <w:qFormat/>
    <w:rsid w:val="00636C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36C3B"/>
    <w:rPr>
      <w:i/>
      <w:iCs/>
      <w:color w:val="2F5496" w:themeColor="accent1" w:themeShade="BF"/>
    </w:rPr>
  </w:style>
  <w:style w:type="character" w:styleId="Rfrenceintense">
    <w:name w:val="Intense Reference"/>
    <w:basedOn w:val="Policepardfaut"/>
    <w:uiPriority w:val="32"/>
    <w:qFormat/>
    <w:rsid w:val="00636C3B"/>
    <w:rPr>
      <w:b/>
      <w:bCs/>
      <w:smallCaps/>
      <w:color w:val="2F5496" w:themeColor="accent1" w:themeShade="BF"/>
      <w:spacing w:val="5"/>
    </w:rPr>
  </w:style>
  <w:style w:type="paragraph" w:styleId="NormalWeb">
    <w:name w:val="Normal (Web)"/>
    <w:basedOn w:val="Normal"/>
    <w:uiPriority w:val="99"/>
    <w:semiHidden/>
    <w:unhideWhenUsed/>
    <w:rsid w:val="00636C3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ata.org/en/iata-repository/publications/economic-reports/air-cargo-market-analysis-december-2025/" TargetMode="External"/><Relationship Id="rId3" Type="http://schemas.openxmlformats.org/officeDocument/2006/relationships/settings" Target="settings.xml"/><Relationship Id="rId7" Type="http://schemas.openxmlformats.org/officeDocument/2006/relationships/hyperlink" Target="https://www.iata.org/en/iata-repository/publications/economic-reports/uneven-recovery-trends-in-air-cargo-traffic-and-capac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wuconsulting.com/dwu-ai/airline-cargo-revenue-belly-cargo" TargetMode="External"/><Relationship Id="rId5" Type="http://schemas.openxmlformats.org/officeDocument/2006/relationships/hyperlink" Target="https://dwuconsulting.com/dwu-ai/airline-cargo-revenue-belly-carg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1366</Words>
  <Characters>7787</Characters>
  <Application>Microsoft Office Word</Application>
  <DocSecurity>0</DocSecurity>
  <Lines>64</Lines>
  <Paragraphs>18</Paragraphs>
  <ScaleCrop>false</ScaleCrop>
  <Company/>
  <LinksUpToDate>false</LinksUpToDate>
  <CharactersWithSpaces>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sowels</dc:creator>
  <cp:keywords/>
  <dc:description/>
  <cp:lastModifiedBy>nicholas sowels</cp:lastModifiedBy>
  <cp:revision>3</cp:revision>
  <dcterms:created xsi:type="dcterms:W3CDTF">2026-10-14T17:31:00Z</dcterms:created>
  <dcterms:modified xsi:type="dcterms:W3CDTF">2026-10-14T17:32:00Z</dcterms:modified>
</cp:coreProperties>
</file>