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color w:val="8C2F39"/>
          <w:spacing w:val="60"/>
          <w:sz w:val="20"/>
          <w:szCs w:val="20"/>
        </w:rPr>
        <w:t xml:space="preserve">FICHE DE LECTURE</w:t>
      </w:r>
    </w:p>
    <w:p>
      <w:pPr>
        <w:spacing w:after="80"/>
      </w:pPr>
      <w:r>
        <w:rPr>
          <w:rFonts w:ascii="Cambria" w:cs="Cambria" w:eastAsia="Cambria" w:hAnsi="Cambria"/>
          <w:b/>
          <w:bCs/>
          <w:sz w:val="40"/>
          <w:szCs w:val="40"/>
        </w:rPr>
        <w:t xml:space="preserve">La science comme opinion vraie : l’impossible opinion fausse</w:t>
      </w:r>
    </w:p>
    <w:p>
      <w:pPr>
        <w:spacing w:after="200"/>
      </w:pPr>
      <w:r>
        <w:rPr>
          <w:sz w:val="26"/>
          <w:szCs w:val="26"/>
        </w:rPr>
        <w:t xml:space="preserve">Platon, </w:t>
      </w:r>
      <w:r>
        <w:rPr>
          <w:i/>
          <w:iCs/>
          <w:sz w:val="26"/>
          <w:szCs w:val="26"/>
        </w:rPr>
        <w:t xml:space="preserve">Théétète</w:t>
      </w:r>
      <w:r>
        <w:rPr>
          <w:sz w:val="26"/>
          <w:szCs w:val="26"/>
        </w:rPr>
        <w:t xml:space="preserve">, 189b7-190d8</w:t>
      </w:r>
    </w:p>
    <w:p>
      <w:pPr>
        <w:pBdr>
          <w:bottom w:val="single" w:color="8C2F39" w:sz="8" w:space="8"/>
        </w:pBdr>
        <w:tabs>
          <w:tab w:val="right" w:pos="9638"/>
        </w:tabs>
        <w:spacing w:after="360"/>
      </w:pPr>
      <w:r>
        <w:rPr>
          <w:color w:val="555555"/>
          <w:sz w:val="22"/>
          <w:szCs w:val="22"/>
        </w:rPr>
        <w:t xml:space="preserve">Yu-Jung SUN</w:t>
      </w:r>
      <w:r>
        <w:rPr>
          <w:color w:val="555555"/>
          <w:sz w:val="20"/>
          <w:szCs w:val="20"/>
        </w:rPr>
        <w:t xml:space="preserve">	Histoire de la philosophie ancienne et médiévale</w:t>
      </w:r>
    </w:p>
    <w:p>
      <w:pPr>
        <w:pStyle w:val="Heading1"/>
      </w:pPr>
      <w:r>
        <w:t xml:space="preserve">1. Contexte</w:t>
      </w:r>
    </w:p>
    <w:p>
      <w:pPr>
        <w:spacing w:after="140" w:line="300"/>
        <w:jc w:val="both"/>
      </w:pPr>
      <w:r>
        <w:t xml:space="preserve">Le passage appartient à la deuxième partie du dialogue. La première définition, « la science est sensation », vient d’être réfutée (texte 4, 184c-186e) : l’être et la vérité ne sont atteints que par l’âme examinant « elle-même par elle-même ». Théétète propose alors une deuxième définition : </w:t>
      </w:r>
      <w:r>
        <w:rPr>
          <w:b/>
          <w:bCs/>
        </w:rPr>
        <w:t xml:space="preserve">la science est l’opinion vraie</w:t>
      </w:r>
      <w:r>
        <w:t xml:space="preserve"> (</w:t>
      </w:r>
      <w:r>
        <w:rPr>
          <w:i/>
          <w:iCs/>
        </w:rPr>
        <w:t xml:space="preserve">doxa alèthès</w:t>
      </w:r>
      <w:r>
        <w:t xml:space="preserve">, 187b).</w:t>
      </w:r>
    </w:p>
    <w:p>
      <w:pPr>
        <w:spacing w:after="140" w:line="300"/>
        <w:jc w:val="both"/>
      </w:pPr>
      <w:r>
        <w:t xml:space="preserve">Avant de l’examiner, Socrate soulève une difficulté préalable : si l’on parle d’opinion </w:t>
      </w:r>
      <w:r>
        <w:rPr>
          <w:i/>
          <w:iCs/>
        </w:rPr>
        <w:t xml:space="preserve">vraie</w:t>
      </w:r>
      <w:r>
        <w:t xml:space="preserve">, c’est qu’il existe des opinions </w:t>
      </w:r>
      <w:r>
        <w:rPr>
          <w:i/>
          <w:iCs/>
        </w:rPr>
        <w:t xml:space="preserve">fausses</w:t>
      </w:r>
      <w:r>
        <w:t xml:space="preserve">. Mais comment l’opinion fausse est-elle possible ? Deux hypothèses ont déjà échoué : se tromper en confondant ce qu’on sait et ce qu’on ne sait pas (188a-c), puis avoir pour opinion « ce qui n’est pas » (188c-189b). Notre extrait examine une troisième hypothèse : l’opinion fausse comme </w:t>
      </w:r>
      <w:r>
        <w:rPr>
          <w:b/>
          <w:bCs/>
        </w:rPr>
        <w:t xml:space="preserve">opinion autre</w:t>
      </w:r>
      <w:r>
        <w:t xml:space="preserve"> (</w:t>
      </w:r>
      <w:r>
        <w:rPr>
          <w:i/>
          <w:iCs/>
        </w:rPr>
        <w:t xml:space="preserve">allodoxia</w:t>
      </w:r>
      <w:r>
        <w:t xml:space="preserve">), qui prend une chose pour une autre.</w:t>
      </w:r>
    </w:p>
    <w:p>
      <w:pPr>
        <w:spacing w:after="140" w:line="300"/>
        <w:jc w:val="both"/>
      </w:pPr>
      <w:r>
        <w:t xml:space="preserve">Il faut noter que, dans cette partie du dialogue, la définition de la science comme opinion vraie n’est presque pas examinée pour elle-même : l’essentiel de la discussion porte sur l’opinion fausse. C’est pourquoi les commentateurs qualifient de « digression » l’ensemble de ce développement : au lieu de se demander si l’opinion vraie peut être la science, Socrate s’interroge sur la possibilité de l’opinion fausse. Or, si l’opinion ne peut pas être fausse, l’expression « opinion vraie » perd son sens distinctif, et la définition de Théétète se trouve fragilisée.</w:t>
      </w:r>
    </w:p>
    <w:p>
      <w:pPr>
        <w:pStyle w:val="Heading1"/>
      </w:pPr>
      <w:r>
        <w:t xml:space="preserve">2. Problème et thèse</w:t>
      </w:r>
    </w:p>
    <w:p>
      <w:pPr>
        <w:spacing w:after="140" w:line="300"/>
        <w:jc w:val="both"/>
      </w:pPr>
      <w:r>
        <w:rPr>
          <w:b/>
          <w:bCs/>
        </w:rPr>
        <w:t xml:space="preserve">Question directrice.</w:t>
      </w:r>
      <w:r>
        <w:t xml:space="preserve"> Peut-on expliquer l’erreur comme une substitution, c’est-à-dire comme le fait de prendre une chose qui est pour une autre chose qui est ?</w:t>
      </w:r>
    </w:p>
    <w:p>
      <w:pPr>
        <w:spacing w:after="140" w:line="300"/>
        <w:jc w:val="both"/>
      </w:pPr>
      <w:r>
        <w:rPr>
          <w:b/>
          <w:bCs/>
        </w:rPr>
        <w:t xml:space="preserve">Problème.</w:t>
      </w:r>
      <w:r>
        <w:t xml:space="preserve"> Cette hypothèse semble éviter l’aporie précédente : on ne pense pas « rien », on pense toujours un être, mais « l’un à la place d’un autre ». Pourtant, pour substituer A à B, la pensée doit avoir A et B devant elle. Or, si elle les tient tous les deux, comment pourrait-elle les confondre ?</w:t>
      </w:r>
    </w:p>
    <w:p>
      <w:pPr>
        <w:spacing w:after="140" w:line="300"/>
        <w:jc w:val="both"/>
      </w:pPr>
      <w:r>
        <w:rPr>
          <w:b/>
          <w:bCs/>
        </w:rPr>
        <w:t xml:space="preserve">Thèse.</w:t>
      </w:r>
      <w:r>
        <w:t xml:space="preserve"> Si penser, c’est se parler à soi-même, et si l’opinion est l’affirmation finale de ce dialogue intérieur, alors personne ne peut se dire sérieusement que le beau est laid, que le bœuf est un cheval ou que deux est un.</w:t>
      </w:r>
    </w:p>
    <w:p>
      <w:pPr>
        <w:pBdr>
          <w:left w:val="single" w:color="8C2F39" w:sz="12" w:space="10"/>
        </w:pBdr>
        <w:spacing w:after="160" w:before="60" w:line="300"/>
        <w:ind w:left="567" w:right="567"/>
        <w:jc w:val="both"/>
      </w:pPr>
      <w:r>
        <w:rPr>
          <w:i/>
          <w:iCs/>
        </w:rPr>
        <w:t xml:space="preserve">« Quand on pense deux choses à la fois, il est impossible d’avoir l’opinion que l’une est l’autre. »</w:t>
      </w:r>
    </w:p>
    <w:p>
      <w:pPr>
        <w:spacing w:after="140" w:line="300"/>
        <w:jc w:val="both"/>
      </w:pPr>
      <w:r>
        <w:t xml:space="preserve">L’</w:t>
      </w:r>
      <w:r>
        <w:rPr>
          <w:i/>
          <w:iCs/>
        </w:rPr>
        <w:t xml:space="preserve">allodoxia</w:t>
      </w:r>
      <w:r>
        <w:t xml:space="preserve"> (avoir une opinion en prenant une chose pour une autre) échoue donc, sous cette forme, à expliquer l’erreur.</w:t>
      </w:r>
    </w:p>
    <w:p>
      <w:pPr>
        <w:pStyle w:val="Heading1"/>
      </w:pPr>
      <w:r>
        <w:t xml:space="preserve">3. Structure argumentative</w:t>
      </w:r>
    </w:p>
    <w:p>
      <w:pPr>
        <w:spacing w:after="140" w:line="300"/>
        <w:jc w:val="both"/>
      </w:pPr>
      <w:r>
        <w:t xml:space="preserve">Le passage avance en cinq moments : une hypothèse, une digression ironique, une condition, une définition de la pensée, puis la mise à l’épreuve et la réfutation de l’hypothèse.</w:t>
      </w:r>
    </w:p>
    <w:p>
      <w:pPr>
        <w:pStyle w:val="Heading2"/>
      </w:pPr>
      <w:r>
        <w:t xml:space="preserve">3.1. L’hypothèse de l’</w:t>
      </w:r>
      <w:r>
        <w:rPr>
          <w:i/>
          <w:iCs/>
        </w:rPr>
        <w:t xml:space="preserve">allodoxia</w:t>
      </w:r>
      <w:r>
        <w:t xml:space="preserve"> (189b-c)</w:t>
      </w:r>
    </w:p>
    <w:p>
      <w:pPr>
        <w:spacing w:after="140" w:line="300"/>
        <w:jc w:val="both"/>
      </w:pPr>
      <w:r>
        <w:t xml:space="preserve">Avoir une opinion fausse, c’est affirmer qu’une chose qui est en est une autre, qui est aussi, « parce qu’on les a permutées en pensée ». On vise toujours un être, mais on manque sa cible. Théétète approuve et donne l’exemple du beau pris pour le laid : ce serait une opinion « véritablement fausse ».</w:t>
      </w:r>
    </w:p>
    <w:p>
      <w:pPr>
        <w:pStyle w:val="Heading2"/>
      </w:pPr>
      <w:r>
        <w:t xml:space="preserve">3.2. L’ironie sur « véritablement faux » (189c-d)</w:t>
      </w:r>
    </w:p>
    <w:p>
      <w:pPr>
        <w:spacing w:after="140" w:line="300"/>
        <w:jc w:val="both"/>
      </w:pPr>
      <w:r>
        <w:t xml:space="preserve">Ce passage complémentaire précise la thèse. Socrate relève que l’expression associe deux contraires, comme « devenir rapide lentement ». Il renonce à l’objection pour ne pas entamer l’assurance de Théétète, et fait reformuler la thèse : poser en pensée une chose comme une autre.</w:t>
      </w:r>
    </w:p>
    <w:p>
      <w:pPr>
        <w:pStyle w:val="Heading2"/>
      </w:pPr>
      <w:r>
        <w:t xml:space="preserve">3.3. Condition de validité de l’hypothèse : penser les deux termes (189d-e)</w:t>
      </w:r>
    </w:p>
    <w:p>
      <w:pPr>
        <w:spacing w:after="140" w:line="300"/>
        <w:jc w:val="both"/>
      </w:pPr>
      <w:r>
        <w:t xml:space="preserve">Pour poser A comme B, la pensée doit penser A et B, soit en même temps, soit tour à tour.</w:t>
      </w:r>
    </w:p>
    <w:p>
      <w:pPr>
        <w:pStyle w:val="Heading2"/>
      </w:pPr>
      <w:r>
        <w:t xml:space="preserve">3.4. Définition de la pensée et de l’opinion (189e-190a)</w:t>
      </w:r>
    </w:p>
    <w:p>
      <w:pPr>
        <w:spacing w:after="140" w:line="300"/>
        <w:jc w:val="both"/>
      </w:pPr>
      <w:r>
        <w:t xml:space="preserve">Penser est un dialogue silencieux de l’âme avec elle-même : elle s’interroge, répond, affirme, nie. Quand elle tranche et parle « d’une seule voix », c’est son opinion. L’opinion est donc un énoncé (</w:t>
      </w:r>
      <w:r>
        <w:rPr>
          <w:i/>
          <w:iCs/>
        </w:rPr>
        <w:t xml:space="preserve">logos</w:t>
      </w:r>
      <w:r>
        <w:t xml:space="preserve">) intérieur.</w:t>
      </w:r>
    </w:p>
    <w:p>
      <w:pPr>
        <w:pStyle w:val="Heading2"/>
      </w:pPr>
      <w:r>
        <w:t xml:space="preserve">3.5. Réfutation de l’</w:t>
      </w:r>
      <w:r>
        <w:rPr>
          <w:i/>
          <w:iCs/>
        </w:rPr>
        <w:t xml:space="preserve">allodoxia</w:t>
      </w:r>
      <w:r>
        <w:t xml:space="preserve"> (190a-d)</w:t>
      </w:r>
    </w:p>
    <w:p>
      <w:pPr>
        <w:spacing w:after="140" w:line="300"/>
        <w:jc w:val="both"/>
      </w:pPr>
      <w:r>
        <w:t xml:space="preserve">Avoir l’opinion que A est B, c’est se dire que A est B. Or personne, ni sain d’esprit ni délirant, ni même en rêve, ne se dit sérieusement que le beau est laid, que l’impair est pair, que le bœuf est un cheval ou que deux est un. Conclusion : quand on pense deux choses à la fois, on ne peut pas avoir l’opinion que l’une est l’autre.</w:t>
      </w:r>
    </w:p>
    <w:p>
      <w:pPr>
        <w:pStyle w:val="Heading1"/>
      </w:pPr>
      <w:r>
        <w:t xml:space="preserve">4. Reconstruction de l’argument</w:t>
      </w:r>
    </w:p>
    <w:p>
      <w:pPr>
        <w:spacing w:after="100" w:line="300"/>
        <w:ind w:left="567"/>
        <w:jc w:val="both"/>
      </w:pPr>
      <w:r>
        <w:rPr>
          <w:b/>
          <w:bCs/>
          <w:color w:val="8C2F39"/>
        </w:rPr>
        <w:t xml:space="preserve">Prémisse 1 :</w:t>
      </w:r>
      <w:r>
        <w:t xml:space="preserve"> avoir une opinion fausse, c’est affirmer qu’une chose qui est en est une autre (avoir l’opinion que A est B) ;</w:t>
      </w:r>
    </w:p>
    <w:p>
      <w:pPr>
        <w:spacing w:after="100" w:line="300"/>
        <w:ind w:left="567"/>
        <w:jc w:val="both"/>
      </w:pPr>
      <w:r>
        <w:rPr>
          <w:b/>
          <w:bCs/>
          <w:color w:val="8C2F39"/>
        </w:rPr>
        <w:t xml:space="preserve">Inférence 1 :</w:t>
      </w:r>
      <w:r>
        <w:t xml:space="preserve"> donc avoir une opinion fausse, c’est penser les deux termes, soit en même temps, soit l’un après l’autre ;</w:t>
      </w:r>
    </w:p>
    <w:p>
      <w:pPr>
        <w:spacing w:after="100" w:line="300"/>
        <w:ind w:left="567"/>
        <w:jc w:val="both"/>
      </w:pPr>
      <w:r>
        <w:rPr>
          <w:b/>
          <w:bCs/>
          <w:color w:val="8C2F39"/>
        </w:rPr>
        <w:t xml:space="preserve">Prémisse 2 :</w:t>
      </w:r>
      <w:r>
        <w:t xml:space="preserve"> la pensée est un dialogue de l’âme avec elle-même, et l’opinion est ce que l’âme affirme au terme de ce dialogue ;</w:t>
      </w:r>
    </w:p>
    <w:p>
      <w:pPr>
        <w:spacing w:after="100" w:line="300"/>
        <w:ind w:left="567"/>
        <w:jc w:val="both"/>
      </w:pPr>
      <w:r>
        <w:rPr>
          <w:b/>
          <w:bCs/>
          <w:color w:val="8C2F39"/>
        </w:rPr>
        <w:t xml:space="preserve">Inférence 2 :</w:t>
      </w:r>
      <w:r>
        <w:t xml:space="preserve"> donc avoir une opinion fausse, c’est se dire à soi-même que l’une des choses est l’autre. Par exemple, je crois voir un bœuf alors que c’est en réalité un cheval : je prends le cheval pour un bœuf. Selon le raisonnement, j’affirme alors dans ma pensée que le cheval est un bœuf ;</w:t>
      </w:r>
    </w:p>
    <w:p>
      <w:pPr>
        <w:spacing w:after="100" w:line="300"/>
        <w:ind w:left="567"/>
        <w:jc w:val="both"/>
      </w:pPr>
      <w:r>
        <w:rPr>
          <w:b/>
          <w:bCs/>
          <w:color w:val="8C2F39"/>
        </w:rPr>
        <w:t xml:space="preserve">Prémisse 3 :</w:t>
      </w:r>
      <w:r>
        <w:t xml:space="preserve"> il est impossible d’affirmer que A est B quand on pense les deux termes ;</w:t>
      </w:r>
    </w:p>
    <w:p>
      <w:pPr>
        <w:spacing w:after="100" w:line="300"/>
        <w:ind w:left="567"/>
        <w:jc w:val="both"/>
      </w:pPr>
      <w:r>
        <w:rPr>
          <w:b/>
          <w:bCs/>
          <w:color w:val="8C2F39"/>
        </w:rPr>
        <w:t xml:space="preserve">Prémisse implicite :</w:t>
      </w:r>
      <w:r>
        <w:t xml:space="preserve"> penser une chose, c’est savoir ce qu’elle est (on retrouve la dichotomie entre savoir total et ignorance totale) ;</w:t>
      </w:r>
    </w:p>
    <w:p>
      <w:pPr>
        <w:pBdr>
          <w:top w:val="single" w:color="BBBBBB" w:sz="4" w:space="6"/>
        </w:pBdr>
        <w:spacing w:after="140" w:before="60" w:line="300"/>
        <w:ind w:left="567"/>
      </w:pPr>
      <w:r>
        <w:rPr>
          <w:b/>
          <w:bCs/>
          <w:color w:val="8C2F39"/>
        </w:rPr>
        <w:t xml:space="preserve">Conclusion :</w:t>
      </w:r>
      <w:r>
        <w:t xml:space="preserve"> </w:t>
      </w:r>
      <w:r>
        <w:rPr>
          <w:b/>
          <w:bCs/>
        </w:rPr>
        <w:t xml:space="preserve">l’opinion fausse est impossible.</w:t>
      </w:r>
    </w:p>
    <w:p>
      <w:pPr>
        <w:pStyle w:val="Heading1"/>
      </w:pPr>
      <w:r>
        <w:t xml:space="preserve">5. La suite du texte</w:t>
      </w:r>
    </w:p>
    <w:p>
      <w:pPr>
        <w:spacing w:after="140" w:line="300"/>
        <w:jc w:val="both"/>
      </w:pPr>
      <w:r>
        <w:t xml:space="preserve">La conclusion porte sur un cas précis : penser les deux choses « à la fois ». Le texte s’arrête en 190d8, mais Socrate examinera aussitôt l’autre branche (190d-e) : si l’on ne pense qu’une des deux choses, on ne peut pas non plus affirmer qu’elle est l’autre, puisque l’autre n’est pas pensée. L’</w:t>
      </w:r>
      <w:r>
        <w:rPr>
          <w:i/>
          <w:iCs/>
        </w:rPr>
        <w:t xml:space="preserve">allodoxia</w:t>
      </w:r>
      <w:r>
        <w:t xml:space="preserve"> est alors entièrement réfutée. Cet échec obligera Socrate à chercher un modèle plus fin : le bloc de cire, où l’erreur naît d’un mauvais ajustement entre la sensation présente et le souvenir.</w:t>
      </w:r>
    </w:p>
    <w:sectPr>
      <w:headerReference w:type="default" r:id="rId6"/>
      <w:footerReference w:type="default" r:id="rId7"/>
      <w:pgSz w:w="11906" w:h="16838" w:orient="portrait"/>
      <w:pgMar w:top="1418" w:right="1134" w:bottom="1418"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88888"/>
        <w:sz w:val="18"/>
        <w:szCs w:val="18"/>
      </w:rPr>
      <w:t xml:space="preserve">Fiche de lecture – </w:t>
    </w:r>
    <w:r>
      <w:rPr>
        <w:i/>
        <w:iCs/>
        <w:color w:val="888888"/>
        <w:sz w:val="18"/>
        <w:szCs w:val="18"/>
      </w:rPr>
      <w:t xml:space="preserve">Théétète</w:t>
    </w:r>
    <w:r>
      <w:rPr>
        <w:color w:val="888888"/>
        <w:sz w:val="18"/>
        <w:szCs w:val="18"/>
      </w:rPr>
      <w:t xml:space="preserve">, 189b-190d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abstractNum w:abstractNumId="3" w15:restartNumberingAfterBreak="0">
    <w:multiLevelType w:val="hybridMultilevel"/>
    <w:lvl w:ilvl="0" w: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cs="Cambria" w:eastAsia="Cambria" w:hAnsi="Cambria"/>
        <w:sz w:val="23"/>
        <w:szCs w:val="23"/>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60"/>
      <w:outlineLvl w:val="0"/>
    </w:pPr>
    <w:rPr>
      <w:rFonts w:ascii="Cambria" w:cs="Cambria" w:eastAsia="Cambria" w:hAnsi="Cambria"/>
      <w:b/>
      <w:bCs/>
      <w:color w:val="8C2F39"/>
      <w:sz w:val="28"/>
      <w:szCs w:val="28"/>
    </w:rPr>
  </w:style>
  <w:style w:type="paragraph" w:styleId="Heading2">
    <w:name w:val="Heading 2"/>
    <w:basedOn w:val="Normal"/>
    <w:next w:val="Normal"/>
    <w:qFormat/>
    <w:pPr>
      <w:keepNext/>
      <w:spacing w:after="100" w:before="240"/>
      <w:outlineLvl w:val="1"/>
    </w:pPr>
    <w:rPr>
      <w:rFonts w:ascii="Cambria" w:cs="Cambria" w:eastAsia="Cambria" w:hAnsi="Cambria"/>
      <w:b/>
      <w:bCs/>
      <w:i w:val="false"/>
      <w:iCs w:val="false"/>
      <w:color w:val="333333"/>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de lecture – Théétète 189b-190d</dc:title>
  <dc:creator>Yu-Jung SUN</dc:creator>
  <cp:lastModifiedBy>Un-named</cp:lastModifiedBy>
  <cp:revision>1</cp:revision>
  <dcterms:created xsi:type="dcterms:W3CDTF">2026-10-29T13:04:55.161Z</dcterms:created>
  <dcterms:modified xsi:type="dcterms:W3CDTF">2026-10-29T13:04:55.176Z</dcterms:modified>
</cp:coreProperties>
</file>

<file path=docProps/custom.xml><?xml version="1.0" encoding="utf-8"?>
<Properties xmlns="http://schemas.openxmlformats.org/officeDocument/2006/custom-properties" xmlns:vt="http://schemas.openxmlformats.org/officeDocument/2006/docPropsVTypes"/>
</file>