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48B77" w14:textId="77777777" w:rsidR="00C43E0D" w:rsidRPr="00C43E0D" w:rsidRDefault="00C43E0D" w:rsidP="00C43E0D">
      <w:pPr>
        <w:spacing w:after="120" w:line="240" w:lineRule="auto"/>
        <w:outlineLvl w:val="0"/>
        <w:rPr>
          <w:rFonts w:ascii="Calibri" w:eastAsia="Times New Roman" w:hAnsi="Calibri" w:cs="Calibri"/>
          <w:b/>
          <w:bCs/>
          <w:kern w:val="36"/>
          <w:sz w:val="28"/>
          <w:szCs w:val="28"/>
          <w:lang w:eastAsia="en-GB"/>
          <w14:ligatures w14:val="none"/>
        </w:rPr>
      </w:pPr>
      <w:r w:rsidRPr="00C43E0D">
        <w:rPr>
          <w:rFonts w:ascii="Calibri" w:eastAsia="Times New Roman" w:hAnsi="Calibri" w:cs="Calibri"/>
          <w:b/>
          <w:bCs/>
          <w:kern w:val="36"/>
          <w:sz w:val="28"/>
          <w:szCs w:val="28"/>
          <w:lang w:eastAsia="en-GB"/>
          <w14:ligatures w14:val="none"/>
        </w:rPr>
        <w:t>Soviet Central Planning: Main Operating Characteristics</w:t>
      </w:r>
    </w:p>
    <w:p w14:paraId="32571199"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Soviet central planning was based on the principle that the state, rather than the market, should coordinate economic activity. The government determined what was to be produced, in what quantities, how resources were to be allocated and which sectors should receive investment. This system became the foundation of the Soviet economy, particularly from the introduction of Stalin's First Five-Year Plan in 1928 until the collapse of the USSR in 1991.</w:t>
      </w:r>
    </w:p>
    <w:p w14:paraId="514AEB5B"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1. State ownership and centralised control</w:t>
      </w:r>
    </w:p>
    <w:p w14:paraId="4233D48E"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The state owned and controlled the principal means of production, including large-scale industry, banking, transport, energy and foreign trade. Private enterprise was severely restricted. Economic decisions were made by government authorities rather than individual firms responding to market signals.</w:t>
      </w:r>
    </w:p>
    <w:p w14:paraId="596E24E6"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2. Hierarchical planning institutions</w:t>
      </w:r>
    </w:p>
    <w:p w14:paraId="718A792C"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Economic planning operated through a centralised administrative hierarchy. The Communist Party leadership established political and economic priorities, while the Council of Ministers and Gosplan (the State Planning Committee) translated these priorities into national economic plans. Industrial ministries then transmitted production targets and resource allocations to individual enterprises, which were responsible for implementing them.</w:t>
      </w:r>
    </w:p>
    <w:p w14:paraId="68578338"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3. Quantitative production targets</w:t>
      </w:r>
    </w:p>
    <w:p w14:paraId="0051ED77"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Production was organised around annual plans and longer-term Five-Year Plans. Enterprises received specific production targets, usually expressed in physical quantities: tonnes of steel, coal or cement, numbers of tractors, or metres of textiles. Managers were evaluated primarily on their ability to meet or exceed these targets. Consequently, quantitative output often took precedence over product quality, efficiency and consumer satisfaction.</w:t>
      </w:r>
    </w:p>
    <w:p w14:paraId="620F93D8"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4. Priority given to heavy industry</w:t>
      </w:r>
    </w:p>
    <w:p w14:paraId="0AA7A65B"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A central objective of Soviet planning was rapid industrialisation. Investment was concentrated in heavy industry, including steel, coal, machinery, chemicals, electricity and armaments. Resources were diverted from agriculture and consumer goods towards capital accumulation and industrial expansion. This strategy enabled the USSR to develop a substantial industrial and military base, but often at the expense of living standards and consumer welfare.</w:t>
      </w:r>
    </w:p>
    <w:p w14:paraId="5CA5AD99"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5. Administrative pricing and resource allocation</w:t>
      </w:r>
    </w:p>
    <w:p w14:paraId="5B01BDCB"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Prices, wages and the allocation of raw materials were largely determined by government authorities. Prices did not necessarily reflect supply and demand or the relative scarcity of goods. This weakened their role as economic signals and contributed to chronic shortages of some products alongside surpluses of others. Consumers frequently faced queues and limited choices.</w:t>
      </w:r>
    </w:p>
    <w:p w14:paraId="6CDAEE35"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6. Limited enterprise autonomy and weak incentives</w:t>
      </w:r>
    </w:p>
    <w:p w14:paraId="25F162D0"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 xml:space="preserve">Enterprise managers had relatively little freedom to determine production, investment or prices. Since the state generally supported loss-making enterprises, managers faced limited financial pressure to improve efficiency. They also had incentives to negotiate easily </w:t>
      </w:r>
      <w:r w:rsidRPr="00C43E0D">
        <w:rPr>
          <w:rFonts w:ascii="Calibri" w:eastAsia="Times New Roman" w:hAnsi="Calibri" w:cs="Calibri"/>
          <w:kern w:val="0"/>
          <w:sz w:val="24"/>
          <w:szCs w:val="24"/>
          <w:lang w:eastAsia="en-GB"/>
          <w14:ligatures w14:val="none"/>
        </w:rPr>
        <w:lastRenderedPageBreak/>
        <w:t>achievable targets and secure additional resources. Economists describe this phenomenon as the soft budget constraint.</w:t>
      </w:r>
    </w:p>
    <w:p w14:paraId="38688D45"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7. Limited international competition</w:t>
      </w:r>
    </w:p>
    <w:p w14:paraId="1E006364"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Foreign trade was largely controlled by the state, and the rouble was not freely convertible. The Soviet Union traded extensively with other socialist economies through the Council for Mutual Economic Assistance (Comecon). Limited exposure to international competition reduced pressure on domestic enterprises to innovate and improve productivity.</w:t>
      </w:r>
    </w:p>
    <w:p w14:paraId="0FF1A635"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8. Employment and social provision</w:t>
      </w:r>
    </w:p>
    <w:p w14:paraId="4481FF8B"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The state played a major role in employment, education, healthcare and housing. Unemployment was officially almost non-existent, and many essential services were subsidised or provided by the state. However, shortages, uneven service quality and restrictions on labour mobility remained significant problems.</w:t>
      </w:r>
    </w:p>
    <w:p w14:paraId="4A354B7E"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Achievements and limitations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00"/>
        <w:gridCol w:w="4572"/>
      </w:tblGrid>
      <w:tr w:rsidR="00C43E0D" w:rsidRPr="00C43E0D" w14:paraId="0164928B" w14:textId="77777777">
        <w:trPr>
          <w:tblCellSpacing w:w="15" w:type="dxa"/>
        </w:trPr>
        <w:tc>
          <w:tcPr>
            <w:tcW w:w="0" w:type="auto"/>
            <w:vAlign w:val="center"/>
            <w:hideMark/>
          </w:tcPr>
          <w:p w14:paraId="799DEC00" w14:textId="77777777" w:rsidR="00C43E0D" w:rsidRPr="00C43E0D" w:rsidRDefault="00C43E0D" w:rsidP="00C43E0D">
            <w:pPr>
              <w:spacing w:after="120" w:line="240" w:lineRule="auto"/>
              <w:jc w:val="center"/>
              <w:rPr>
                <w:rFonts w:ascii="Calibri" w:eastAsia="Times New Roman" w:hAnsi="Calibri" w:cs="Calibri"/>
                <w:b/>
                <w:bCs/>
                <w:kern w:val="0"/>
                <w:sz w:val="24"/>
                <w:szCs w:val="24"/>
                <w:lang w:eastAsia="en-GB"/>
                <w14:ligatures w14:val="none"/>
              </w:rPr>
            </w:pPr>
            <w:r w:rsidRPr="00C43E0D">
              <w:rPr>
                <w:rFonts w:ascii="Calibri" w:eastAsia="Times New Roman" w:hAnsi="Calibri" w:cs="Calibri"/>
                <w:b/>
                <w:bCs/>
                <w:kern w:val="0"/>
                <w:sz w:val="24"/>
                <w:szCs w:val="24"/>
                <w:lang w:eastAsia="en-GB"/>
                <w14:ligatures w14:val="none"/>
              </w:rPr>
              <w:t>Achievements</w:t>
            </w:r>
          </w:p>
        </w:tc>
        <w:tc>
          <w:tcPr>
            <w:tcW w:w="0" w:type="auto"/>
            <w:vAlign w:val="center"/>
            <w:hideMark/>
          </w:tcPr>
          <w:p w14:paraId="3A73A3ED" w14:textId="77777777" w:rsidR="00C43E0D" w:rsidRPr="00C43E0D" w:rsidRDefault="00C43E0D" w:rsidP="00C43E0D">
            <w:pPr>
              <w:spacing w:after="120" w:line="240" w:lineRule="auto"/>
              <w:jc w:val="center"/>
              <w:rPr>
                <w:rFonts w:ascii="Calibri" w:eastAsia="Times New Roman" w:hAnsi="Calibri" w:cs="Calibri"/>
                <w:b/>
                <w:bCs/>
                <w:kern w:val="0"/>
                <w:sz w:val="24"/>
                <w:szCs w:val="24"/>
                <w:lang w:eastAsia="en-GB"/>
                <w14:ligatures w14:val="none"/>
              </w:rPr>
            </w:pPr>
            <w:r w:rsidRPr="00C43E0D">
              <w:rPr>
                <w:rFonts w:ascii="Calibri" w:eastAsia="Times New Roman" w:hAnsi="Calibri" w:cs="Calibri"/>
                <w:b/>
                <w:bCs/>
                <w:kern w:val="0"/>
                <w:sz w:val="24"/>
                <w:szCs w:val="24"/>
                <w:lang w:eastAsia="en-GB"/>
                <w14:ligatures w14:val="none"/>
              </w:rPr>
              <w:t>Structural weaknesses</w:t>
            </w:r>
          </w:p>
        </w:tc>
      </w:tr>
      <w:tr w:rsidR="00C43E0D" w:rsidRPr="00C43E0D" w14:paraId="09C5A94E" w14:textId="77777777">
        <w:trPr>
          <w:tblCellSpacing w:w="15" w:type="dxa"/>
        </w:trPr>
        <w:tc>
          <w:tcPr>
            <w:tcW w:w="0" w:type="auto"/>
            <w:vAlign w:val="center"/>
            <w:hideMark/>
          </w:tcPr>
          <w:p w14:paraId="0A569100"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Rapid industrialisation</w:t>
            </w:r>
          </w:p>
        </w:tc>
        <w:tc>
          <w:tcPr>
            <w:tcW w:w="0" w:type="auto"/>
            <w:vAlign w:val="center"/>
            <w:hideMark/>
          </w:tcPr>
          <w:p w14:paraId="360570D0"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Chronic shortages of consumer goods</w:t>
            </w:r>
          </w:p>
        </w:tc>
      </w:tr>
      <w:tr w:rsidR="00C43E0D" w:rsidRPr="00C43E0D" w14:paraId="48DF70FF" w14:textId="77777777">
        <w:trPr>
          <w:tblCellSpacing w:w="15" w:type="dxa"/>
        </w:trPr>
        <w:tc>
          <w:tcPr>
            <w:tcW w:w="0" w:type="auto"/>
            <w:vAlign w:val="center"/>
            <w:hideMark/>
          </w:tcPr>
          <w:p w14:paraId="7EFCC6EF"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Expansion of military capacity</w:t>
            </w:r>
          </w:p>
        </w:tc>
        <w:tc>
          <w:tcPr>
            <w:tcW w:w="0" w:type="auto"/>
            <w:vAlign w:val="center"/>
            <w:hideMark/>
          </w:tcPr>
          <w:p w14:paraId="4268C878"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Inefficient resource allocation</w:t>
            </w:r>
          </w:p>
        </w:tc>
      </w:tr>
      <w:tr w:rsidR="00C43E0D" w:rsidRPr="00C43E0D" w14:paraId="4F8A651C" w14:textId="77777777">
        <w:trPr>
          <w:tblCellSpacing w:w="15" w:type="dxa"/>
        </w:trPr>
        <w:tc>
          <w:tcPr>
            <w:tcW w:w="0" w:type="auto"/>
            <w:vAlign w:val="center"/>
            <w:hideMark/>
          </w:tcPr>
          <w:p w14:paraId="3EFEB277"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Major scientific and technological advances</w:t>
            </w:r>
          </w:p>
        </w:tc>
        <w:tc>
          <w:tcPr>
            <w:tcW w:w="0" w:type="auto"/>
            <w:vAlign w:val="center"/>
            <w:hideMark/>
          </w:tcPr>
          <w:p w14:paraId="4C11522D"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Weak incentives for innovation</w:t>
            </w:r>
          </w:p>
        </w:tc>
      </w:tr>
      <w:tr w:rsidR="00C43E0D" w:rsidRPr="00C43E0D" w14:paraId="2EC6DE72" w14:textId="77777777">
        <w:trPr>
          <w:tblCellSpacing w:w="15" w:type="dxa"/>
        </w:trPr>
        <w:tc>
          <w:tcPr>
            <w:tcW w:w="0" w:type="auto"/>
            <w:vAlign w:val="center"/>
            <w:hideMark/>
          </w:tcPr>
          <w:p w14:paraId="0B55B812"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Broad access to education and healthcare</w:t>
            </w:r>
          </w:p>
        </w:tc>
        <w:tc>
          <w:tcPr>
            <w:tcW w:w="0" w:type="auto"/>
            <w:vAlign w:val="center"/>
            <w:hideMark/>
          </w:tcPr>
          <w:p w14:paraId="7283364B"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Poor product quality and limited consumer choice</w:t>
            </w:r>
          </w:p>
        </w:tc>
      </w:tr>
      <w:tr w:rsidR="00C43E0D" w:rsidRPr="00C43E0D" w14:paraId="517D4ED9" w14:textId="77777777">
        <w:trPr>
          <w:tblCellSpacing w:w="15" w:type="dxa"/>
        </w:trPr>
        <w:tc>
          <w:tcPr>
            <w:tcW w:w="0" w:type="auto"/>
            <w:vAlign w:val="center"/>
            <w:hideMark/>
          </w:tcPr>
          <w:p w14:paraId="1E50975A"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Ability to mobilise resources for strategic objectives</w:t>
            </w:r>
          </w:p>
        </w:tc>
        <w:tc>
          <w:tcPr>
            <w:tcW w:w="0" w:type="auto"/>
            <w:vAlign w:val="center"/>
            <w:hideMark/>
          </w:tcPr>
          <w:p w14:paraId="14CB2CAB"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Increasing difficulty coordinating a complex economy</w:t>
            </w:r>
          </w:p>
        </w:tc>
      </w:tr>
    </w:tbl>
    <w:p w14:paraId="4F46B38C" w14:textId="77777777" w:rsidR="00C43E0D" w:rsidRPr="00C43E0D" w:rsidRDefault="00C43E0D" w:rsidP="00C43E0D">
      <w:pPr>
        <w:spacing w:after="120" w:line="240" w:lineRule="auto"/>
        <w:outlineLvl w:val="2"/>
        <w:rPr>
          <w:rFonts w:ascii="Calibri" w:eastAsia="Times New Roman" w:hAnsi="Calibri" w:cs="Calibri"/>
          <w:b/>
          <w:bCs/>
          <w:kern w:val="0"/>
          <w:sz w:val="27"/>
          <w:szCs w:val="27"/>
          <w:lang w:eastAsia="en-GB"/>
          <w14:ligatures w14:val="none"/>
        </w:rPr>
      </w:pPr>
      <w:r w:rsidRPr="00C43E0D">
        <w:rPr>
          <w:rFonts w:ascii="Calibri" w:eastAsia="Times New Roman" w:hAnsi="Calibri" w:cs="Calibri"/>
          <w:b/>
          <w:bCs/>
          <w:kern w:val="0"/>
          <w:sz w:val="27"/>
          <w:szCs w:val="27"/>
          <w:lang w:eastAsia="en-GB"/>
          <w14:ligatures w14:val="none"/>
        </w:rPr>
        <w:t>Conclusion</w:t>
      </w:r>
    </w:p>
    <w:p w14:paraId="6662DE18"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Soviet central planning was an administrative system of economic coordination based on state ownership, hierarchical decision-making, quantitative production targets and politically determined investment priorities. It proved effective at mobilising resources for rapid industrialisation and strategic objectives, particularly during the 1930s and the Second World War. However, its limited responsiveness to consumer demand, weak enterprise incentives, poor information flows and inefficient allocation of resources contributed to declining productivity and economic stagnation in the later decades of the Soviet Union.</w:t>
      </w:r>
    </w:p>
    <w:p w14:paraId="79EF2F8F" w14:textId="77777777" w:rsidR="00C43E0D" w:rsidRPr="00C43E0D" w:rsidRDefault="00C43E0D" w:rsidP="00C43E0D">
      <w:p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Key academic references:</w:t>
      </w:r>
    </w:p>
    <w:p w14:paraId="68006FEA" w14:textId="77777777" w:rsidR="00C43E0D" w:rsidRPr="00C43E0D" w:rsidRDefault="00C43E0D" w:rsidP="00C43E0D">
      <w:pPr>
        <w:numPr>
          <w:ilvl w:val="0"/>
          <w:numId w:val="1"/>
        </w:num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Alec Nove (1992), An Economic History of the USSR, 1917–1991.</w:t>
      </w:r>
    </w:p>
    <w:p w14:paraId="73D264A8" w14:textId="77777777" w:rsidR="00C43E0D" w:rsidRPr="00C43E0D" w:rsidRDefault="00C43E0D" w:rsidP="00C43E0D">
      <w:pPr>
        <w:numPr>
          <w:ilvl w:val="0"/>
          <w:numId w:val="1"/>
        </w:num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János Kornai (1992), The Socialist System: The Political Economy of Communism.</w:t>
      </w:r>
    </w:p>
    <w:p w14:paraId="696C7C83" w14:textId="77777777" w:rsidR="00C43E0D" w:rsidRPr="00C43E0D" w:rsidRDefault="00C43E0D" w:rsidP="00C43E0D">
      <w:pPr>
        <w:numPr>
          <w:ilvl w:val="0"/>
          <w:numId w:val="1"/>
        </w:numPr>
        <w:spacing w:after="120" w:line="240" w:lineRule="auto"/>
        <w:rPr>
          <w:rFonts w:ascii="Calibri" w:eastAsia="Times New Roman" w:hAnsi="Calibri" w:cs="Calibri"/>
          <w:kern w:val="0"/>
          <w:sz w:val="24"/>
          <w:szCs w:val="24"/>
          <w:lang w:eastAsia="en-GB"/>
          <w14:ligatures w14:val="none"/>
        </w:rPr>
      </w:pPr>
      <w:r w:rsidRPr="00C43E0D">
        <w:rPr>
          <w:rFonts w:ascii="Calibri" w:eastAsia="Times New Roman" w:hAnsi="Calibri" w:cs="Calibri"/>
          <w:kern w:val="0"/>
          <w:sz w:val="24"/>
          <w:szCs w:val="24"/>
          <w:lang w:eastAsia="en-GB"/>
          <w14:ligatures w14:val="none"/>
        </w:rPr>
        <w:t>Philip Hanson (2003), The Rise and Fall of the Soviet Economy.</w:t>
      </w:r>
    </w:p>
    <w:p w14:paraId="76F3422B" w14:textId="77777777" w:rsidR="00663A68" w:rsidRPr="00C43E0D" w:rsidRDefault="00663A68" w:rsidP="00C43E0D">
      <w:pPr>
        <w:spacing w:after="120" w:line="240" w:lineRule="auto"/>
        <w:rPr>
          <w:rFonts w:ascii="Calibri" w:hAnsi="Calibri" w:cs="Calibri"/>
        </w:rPr>
      </w:pPr>
    </w:p>
    <w:sectPr w:rsidR="00663A68" w:rsidRPr="00C43E0D" w:rsidSect="00D12E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56A5F"/>
    <w:multiLevelType w:val="multilevel"/>
    <w:tmpl w:val="0040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370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E0D"/>
    <w:rsid w:val="00140609"/>
    <w:rsid w:val="00192486"/>
    <w:rsid w:val="00331D0E"/>
    <w:rsid w:val="003B5A88"/>
    <w:rsid w:val="005E3C54"/>
    <w:rsid w:val="00604AAD"/>
    <w:rsid w:val="00663A68"/>
    <w:rsid w:val="008B72A0"/>
    <w:rsid w:val="008F2CA1"/>
    <w:rsid w:val="009E79CB"/>
    <w:rsid w:val="00AC42A4"/>
    <w:rsid w:val="00C43E0D"/>
    <w:rsid w:val="00D12E0A"/>
    <w:rsid w:val="00DE7692"/>
    <w:rsid w:val="00E12147"/>
    <w:rsid w:val="00E631B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DDAF"/>
  <w15:chartTrackingRefBased/>
  <w15:docId w15:val="{4669CF7E-DE6B-43AA-BFAB-42641916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2A4"/>
  </w:style>
  <w:style w:type="paragraph" w:styleId="Titre1">
    <w:name w:val="heading 1"/>
    <w:next w:val="Normal"/>
    <w:link w:val="Titre1Car"/>
    <w:autoRedefine/>
    <w:uiPriority w:val="9"/>
    <w:qFormat/>
    <w:rsid w:val="00604AAD"/>
    <w:pPr>
      <w:spacing w:after="500" w:line="288" w:lineRule="auto"/>
      <w:outlineLvl w:val="0"/>
    </w:pPr>
    <w:rPr>
      <w:rFonts w:eastAsia="Times New Roman" w:cs="Times New Roman"/>
      <w:b/>
      <w:bCs/>
      <w:caps/>
      <w:color w:val="000000"/>
      <w:kern w:val="0"/>
      <w14:ligatures w14:val="none"/>
    </w:rPr>
  </w:style>
  <w:style w:type="paragraph" w:styleId="Titre2">
    <w:name w:val="heading 2"/>
    <w:basedOn w:val="Normal"/>
    <w:next w:val="Normal"/>
    <w:link w:val="Titre2Car"/>
    <w:uiPriority w:val="9"/>
    <w:semiHidden/>
    <w:unhideWhenUsed/>
    <w:qFormat/>
    <w:rsid w:val="00C43E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C43E0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43E0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43E0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43E0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3E0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3E0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3E0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2">
    <w:name w:val="toc 2"/>
    <w:basedOn w:val="Normal"/>
    <w:next w:val="Normal"/>
    <w:autoRedefine/>
    <w:uiPriority w:val="39"/>
    <w:unhideWhenUsed/>
    <w:rsid w:val="00604AAD"/>
    <w:pPr>
      <w:spacing w:after="100" w:line="278" w:lineRule="auto"/>
      <w:ind w:left="240"/>
    </w:pPr>
    <w:rPr>
      <w:rFonts w:ascii="Times New Roman" w:hAnsi="Times New Roman"/>
      <w:sz w:val="24"/>
      <w:szCs w:val="24"/>
      <w:lang w:val="fr-FR"/>
    </w:rPr>
  </w:style>
  <w:style w:type="character" w:customStyle="1" w:styleId="Titre1Car">
    <w:name w:val="Titre 1 Car"/>
    <w:basedOn w:val="Policepardfaut"/>
    <w:link w:val="Titre1"/>
    <w:uiPriority w:val="9"/>
    <w:rsid w:val="00604AAD"/>
    <w:rPr>
      <w:rFonts w:eastAsia="Times New Roman" w:cs="Times New Roman"/>
      <w:b/>
      <w:bCs/>
      <w:caps/>
      <w:color w:val="000000"/>
      <w:kern w:val="0"/>
      <w14:ligatures w14:val="none"/>
    </w:rPr>
  </w:style>
  <w:style w:type="character" w:customStyle="1" w:styleId="Titre2Car">
    <w:name w:val="Titre 2 Car"/>
    <w:basedOn w:val="Policepardfaut"/>
    <w:link w:val="Titre2"/>
    <w:uiPriority w:val="9"/>
    <w:semiHidden/>
    <w:rsid w:val="00C43E0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C43E0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43E0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43E0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43E0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3E0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3E0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3E0D"/>
    <w:rPr>
      <w:rFonts w:eastAsiaTheme="majorEastAsia" w:cstheme="majorBidi"/>
      <w:color w:val="272727" w:themeColor="text1" w:themeTint="D8"/>
    </w:rPr>
  </w:style>
  <w:style w:type="paragraph" w:styleId="Titre">
    <w:name w:val="Title"/>
    <w:basedOn w:val="Normal"/>
    <w:next w:val="Normal"/>
    <w:link w:val="TitreCar"/>
    <w:uiPriority w:val="10"/>
    <w:qFormat/>
    <w:rsid w:val="00C43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3E0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3E0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3E0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3E0D"/>
    <w:pPr>
      <w:spacing w:before="160"/>
      <w:jc w:val="center"/>
    </w:pPr>
    <w:rPr>
      <w:i/>
      <w:iCs/>
      <w:color w:val="404040" w:themeColor="text1" w:themeTint="BF"/>
    </w:rPr>
  </w:style>
  <w:style w:type="character" w:customStyle="1" w:styleId="CitationCar">
    <w:name w:val="Citation Car"/>
    <w:basedOn w:val="Policepardfaut"/>
    <w:link w:val="Citation"/>
    <w:uiPriority w:val="29"/>
    <w:rsid w:val="00C43E0D"/>
    <w:rPr>
      <w:i/>
      <w:iCs/>
      <w:color w:val="404040" w:themeColor="text1" w:themeTint="BF"/>
    </w:rPr>
  </w:style>
  <w:style w:type="paragraph" w:styleId="Paragraphedeliste">
    <w:name w:val="List Paragraph"/>
    <w:basedOn w:val="Normal"/>
    <w:uiPriority w:val="34"/>
    <w:qFormat/>
    <w:rsid w:val="00C43E0D"/>
    <w:pPr>
      <w:ind w:left="720"/>
      <w:contextualSpacing/>
    </w:pPr>
  </w:style>
  <w:style w:type="character" w:styleId="Accentuationintense">
    <w:name w:val="Intense Emphasis"/>
    <w:basedOn w:val="Policepardfaut"/>
    <w:uiPriority w:val="21"/>
    <w:qFormat/>
    <w:rsid w:val="00C43E0D"/>
    <w:rPr>
      <w:i/>
      <w:iCs/>
      <w:color w:val="2F5496" w:themeColor="accent1" w:themeShade="BF"/>
    </w:rPr>
  </w:style>
  <w:style w:type="paragraph" w:styleId="Citationintense">
    <w:name w:val="Intense Quote"/>
    <w:basedOn w:val="Normal"/>
    <w:next w:val="Normal"/>
    <w:link w:val="CitationintenseCar"/>
    <w:uiPriority w:val="30"/>
    <w:qFormat/>
    <w:rsid w:val="00C43E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43E0D"/>
    <w:rPr>
      <w:i/>
      <w:iCs/>
      <w:color w:val="2F5496" w:themeColor="accent1" w:themeShade="BF"/>
    </w:rPr>
  </w:style>
  <w:style w:type="character" w:styleId="Rfrenceintense">
    <w:name w:val="Intense Reference"/>
    <w:basedOn w:val="Policepardfaut"/>
    <w:uiPriority w:val="32"/>
    <w:qFormat/>
    <w:rsid w:val="00C43E0D"/>
    <w:rPr>
      <w:b/>
      <w:bCs/>
      <w:smallCaps/>
      <w:color w:val="2F5496" w:themeColor="accent1" w:themeShade="BF"/>
      <w:spacing w:val="5"/>
    </w:rPr>
  </w:style>
  <w:style w:type="paragraph" w:styleId="NormalWeb">
    <w:name w:val="Normal (Web)"/>
    <w:basedOn w:val="Normal"/>
    <w:uiPriority w:val="99"/>
    <w:semiHidden/>
    <w:unhideWhenUsed/>
    <w:rsid w:val="00C43E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779</Words>
  <Characters>4445</Characters>
  <Application>Microsoft Office Word</Application>
  <DocSecurity>0</DocSecurity>
  <Lines>37</Lines>
  <Paragraphs>10</Paragraphs>
  <ScaleCrop>false</ScaleCrop>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sowels</dc:creator>
  <cp:keywords/>
  <dc:description/>
  <cp:lastModifiedBy>nicholas sowels</cp:lastModifiedBy>
  <cp:revision>1</cp:revision>
  <dcterms:created xsi:type="dcterms:W3CDTF">2026-11-03T15:38:00Z</dcterms:created>
  <dcterms:modified xsi:type="dcterms:W3CDTF">2026-11-03T15:40:00Z</dcterms:modified>
</cp:coreProperties>
</file>