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94935" w14:textId="28A9F42B" w:rsidR="000D1173" w:rsidRPr="000D1173" w:rsidRDefault="000D1173" w:rsidP="000D1173">
      <w:pPr>
        <w:spacing w:after="120" w:line="240" w:lineRule="auto"/>
        <w:outlineLvl w:val="0"/>
        <w:rPr>
          <w:rFonts w:eastAsia="Times New Roman" w:cstheme="minorHAnsi"/>
          <w:b/>
          <w:bCs/>
          <w:kern w:val="36"/>
          <w:sz w:val="28"/>
          <w:szCs w:val="28"/>
          <w:lang w:eastAsia="en-GB"/>
          <w14:ligatures w14:val="none"/>
        </w:rPr>
      </w:pPr>
      <w:r w:rsidRPr="000D1173">
        <w:rPr>
          <w:rFonts w:eastAsia="Times New Roman" w:cstheme="minorHAnsi"/>
          <w:b/>
          <w:bCs/>
          <w:kern w:val="36"/>
          <w:sz w:val="28"/>
          <w:szCs w:val="28"/>
          <w:lang w:eastAsia="en-GB"/>
          <w14:ligatures w14:val="none"/>
        </w:rPr>
        <w:t>How Does Economic Planning Work in China Today?</w:t>
      </w:r>
      <w:r w:rsidRPr="000D1173">
        <w:rPr>
          <w:rFonts w:eastAsia="Times New Roman" w:cstheme="minorHAnsi"/>
          <w:b/>
          <w:bCs/>
          <w:kern w:val="36"/>
          <w:sz w:val="28"/>
          <w:szCs w:val="28"/>
          <w:lang w:eastAsia="en-GB"/>
          <w14:ligatures w14:val="none"/>
        </w:rPr>
        <w:t xml:space="preserve"> (summary by ChatGPT GO, 3 November 2026)</w:t>
      </w:r>
    </w:p>
    <w:p w14:paraId="1D9A3E0A"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Central planning, market competition and state intervention</w:t>
      </w:r>
    </w:p>
    <w:p w14:paraId="414AB98F"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 xml:space="preserve">China today operates an economic system that combines central planning, market competition and extensive state intervention. Unlike the former Soviet Union, China does not attempt to replace market mechanisms with administrative commands. Instead, the government uses economic planning to guide investment, promote strategic industries and influence the overall direction of economic development. The Chinese authorities describe this system as a </w:t>
      </w:r>
      <w:r w:rsidRPr="000D1173">
        <w:rPr>
          <w:rFonts w:eastAsia="Times New Roman" w:cstheme="minorHAnsi"/>
          <w:i/>
          <w:iCs/>
          <w:kern w:val="0"/>
          <w:sz w:val="24"/>
          <w:szCs w:val="24"/>
          <w:lang w:eastAsia="en-GB"/>
          <w14:ligatures w14:val="none"/>
        </w:rPr>
        <w:t>socialist market economy</w:t>
      </w:r>
      <w:r w:rsidRPr="000D1173">
        <w:rPr>
          <w:rFonts w:eastAsia="Times New Roman" w:cstheme="minorHAnsi"/>
          <w:kern w:val="0"/>
          <w:sz w:val="24"/>
          <w:szCs w:val="24"/>
          <w:lang w:eastAsia="en-GB"/>
          <w14:ligatures w14:val="none"/>
        </w:rPr>
        <w:t>.</w:t>
      </w:r>
    </w:p>
    <w:p w14:paraId="6ABD7811"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1. Five-Year Plans and national priorities</w:t>
      </w:r>
    </w:p>
    <w:p w14:paraId="01B40B35"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Chinese government establishes its economic priorities through successive Five-Year Plans. The current 15th Five-Year Plan covers the period 2026–2030. These plans set strategic objectives in areas such as economic growth, technological innovation, industrial modernisation, energy security and environmental sustainability.</w:t>
      </w:r>
    </w:p>
    <w:p w14:paraId="731E9A5C"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Communist Party establishes the main political and economic priorities, while the State Council and the National Development and Reform Commission (NDRC) coordinate their implementation. Government ministries, provincial authorities and public enterprises then translate these priorities into more specific programmes.</w:t>
      </w:r>
    </w:p>
    <w:p w14:paraId="7814BEC5"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2. Industrial policy and strategic investment</w:t>
      </w:r>
    </w:p>
    <w:p w14:paraId="4EE78C5E"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One of the most distinctive features of the Chinese model is the government's active promotion of strategic industries. These include electric vehicles, batteries, semiconductors, artificial intelligence, robotics and renewable energy.</w:t>
      </w:r>
    </w:p>
    <w:p w14:paraId="2400D548"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state encourages investment in these sectors through subsidies, tax incentives, preferential loans, public procurement and investment funds. Its objective is to strengthen domestic technological capabilities, increase productivity and reduce dependence on foreign suppliers.</w:t>
      </w:r>
    </w:p>
    <w:p w14:paraId="4F02EA8C"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government does not necessarily dictate how much each company must produce. Instead, it creates favourable conditions for businesses operating in sectors considered strategically important.</w:t>
      </w:r>
    </w:p>
    <w:p w14:paraId="3DECC9F6"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3. State-owned and private enterprises</w:t>
      </w:r>
    </w:p>
    <w:p w14:paraId="400CB8AF"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China has a mixed economic structure. The state retains control over major banks, energy companies, telecommunications, railways and other strategic sectors. State-owned enterprises (SOEs) are expected to pursue commercial objectives while also supporting national development priorities.</w:t>
      </w:r>
    </w:p>
    <w:p w14:paraId="4315F501" w14:textId="77777777" w:rsid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At the same time, private companies play an important role in manufacturing, technology, e-commerce and consumer services. Businesses such as BYD, Alibaba and Tencent operate in competitive markets, although they remain subject to significant government regulation and political oversight.</w:t>
      </w:r>
    </w:p>
    <w:p w14:paraId="0FBE265B" w14:textId="77777777" w:rsidR="00145610" w:rsidRDefault="00145610" w:rsidP="000D1173">
      <w:pPr>
        <w:spacing w:after="120" w:line="240" w:lineRule="auto"/>
        <w:rPr>
          <w:rFonts w:eastAsia="Times New Roman" w:cstheme="minorHAnsi"/>
          <w:kern w:val="0"/>
          <w:sz w:val="24"/>
          <w:szCs w:val="24"/>
          <w:lang w:eastAsia="en-GB"/>
          <w14:ligatures w14:val="none"/>
        </w:rPr>
      </w:pPr>
    </w:p>
    <w:p w14:paraId="7318A13A" w14:textId="77777777" w:rsidR="00145610" w:rsidRPr="000D1173" w:rsidRDefault="00145610" w:rsidP="000D1173">
      <w:pPr>
        <w:spacing w:after="120" w:line="240" w:lineRule="auto"/>
        <w:rPr>
          <w:rFonts w:eastAsia="Times New Roman" w:cstheme="minorHAnsi"/>
          <w:kern w:val="0"/>
          <w:sz w:val="24"/>
          <w:szCs w:val="24"/>
          <w:lang w:eastAsia="en-GB"/>
          <w14:ligatures w14:val="none"/>
        </w:rPr>
      </w:pPr>
    </w:p>
    <w:p w14:paraId="3C6502A0"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lastRenderedPageBreak/>
        <w:t>4. The role of finance and local government</w:t>
      </w:r>
    </w:p>
    <w:p w14:paraId="0A22971C"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state also influences the economy through its financial system. State-owned banks and public investment funds help channel capital towards priority industries and infrastructure projects.</w:t>
      </w:r>
    </w:p>
    <w:p w14:paraId="6C0BBE9F"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Provincial and municipal governments play an important role in implementing national policies. They compete to attract investment by offering land, infrastructure, tax incentives and financial support. However, this competition can also lead to excessive investment, industrial overcapacity and mounting local government debt.</w:t>
      </w:r>
    </w:p>
    <w:p w14:paraId="199CD579"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5. The advantages and limitations of the Chinese model</w:t>
      </w:r>
    </w:p>
    <w:p w14:paraId="30B6323D"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Chinese planning has helped mobilise resources, develop advanced manufacturing industries and establish China as a major participant in global trade. It has also enabled the government to pursue long-term technological and industrial objectives.</w:t>
      </w:r>
    </w:p>
    <w:p w14:paraId="58B2193D" w14:textId="77777777" w:rsidR="000D1173" w:rsidRPr="000D1173" w:rsidRDefault="000D1173" w:rsidP="000D1173">
      <w:pPr>
        <w:spacing w:after="12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Nevertheless, the system faces significant challenges. Political intervention can distort investment decisions, while excessive subsidies may encourage inefficient production and overcapacity. Private businesses may also be discouraged from investing if government intervention creates uncertainty. Furthermore, the financial difficulties of some local governments raise questions about the sustainability of infrastructure-led growth.</w:t>
      </w:r>
    </w:p>
    <w:p w14:paraId="437F1326" w14:textId="77777777" w:rsidR="000D1173" w:rsidRPr="000D1173" w:rsidRDefault="000D1173" w:rsidP="000D1173">
      <w:pPr>
        <w:spacing w:after="120" w:line="240" w:lineRule="auto"/>
        <w:outlineLvl w:val="2"/>
        <w:rPr>
          <w:rFonts w:eastAsia="Times New Roman" w:cstheme="minorHAnsi"/>
          <w:b/>
          <w:bCs/>
          <w:kern w:val="0"/>
          <w:sz w:val="27"/>
          <w:szCs w:val="27"/>
          <w:lang w:eastAsia="en-GB"/>
          <w14:ligatures w14:val="none"/>
        </w:rPr>
      </w:pPr>
      <w:r w:rsidRPr="000D1173">
        <w:rPr>
          <w:rFonts w:eastAsia="Times New Roman" w:cstheme="minorHAnsi"/>
          <w:b/>
          <w:bCs/>
          <w:kern w:val="0"/>
          <w:sz w:val="27"/>
          <w:szCs w:val="27"/>
          <w:lang w:eastAsia="en-GB"/>
          <w14:ligatures w14:val="none"/>
        </w:rPr>
        <w:t>Conclusion</w:t>
      </w:r>
    </w:p>
    <w:p w14:paraId="2F2E4BA8" w14:textId="62EDC95C" w:rsidR="000D1173" w:rsidRDefault="000D1173" w:rsidP="000D1173">
      <w:pPr>
        <w:spacing w:after="120" w:line="240" w:lineRule="auto"/>
        <w:rPr>
          <w:rFonts w:eastAsia="Times New Roman" w:cstheme="minorHAnsi"/>
          <w:b/>
          <w:bCs/>
          <w:kern w:val="0"/>
          <w:sz w:val="24"/>
          <w:szCs w:val="24"/>
          <w:lang w:eastAsia="en-GB"/>
          <w14:ligatures w14:val="none"/>
        </w:rPr>
      </w:pPr>
      <w:r w:rsidRPr="000D1173">
        <w:rPr>
          <w:rFonts w:eastAsia="Times New Roman" w:cstheme="minorHAnsi"/>
          <w:kern w:val="0"/>
          <w:sz w:val="24"/>
          <w:szCs w:val="24"/>
          <w:lang w:eastAsia="en-GB"/>
          <w14:ligatures w14:val="none"/>
        </w:rPr>
        <w:t>China's economic system represents a distinctive combination of state direction and market competition. Whereas the Soviet Union attempted to replace the market with administrative planning, and France used indicative planning to coordinate private and public investment, China seeks to use market mechanisms to achieve national economic and strategic objectives.</w:t>
      </w:r>
      <w:r>
        <w:rPr>
          <w:rFonts w:eastAsia="Times New Roman" w:cstheme="minorHAnsi"/>
          <w:kern w:val="0"/>
          <w:sz w:val="24"/>
          <w:szCs w:val="24"/>
          <w:lang w:eastAsia="en-GB"/>
          <w14:ligatures w14:val="none"/>
        </w:rPr>
        <w:t xml:space="preserve"> </w:t>
      </w:r>
      <w:r w:rsidRPr="000D1173">
        <w:rPr>
          <w:rFonts w:eastAsia="Times New Roman" w:cstheme="minorHAnsi"/>
          <w:kern w:val="0"/>
          <w:sz w:val="24"/>
          <w:szCs w:val="24"/>
          <w:lang w:eastAsia="en-GB"/>
          <w14:ligatures w14:val="none"/>
        </w:rPr>
        <w:t xml:space="preserve">Its experience raises an important question for contemporary political economy: </w:t>
      </w:r>
      <w:r w:rsidRPr="000D1173">
        <w:rPr>
          <w:rFonts w:eastAsia="Times New Roman" w:cstheme="minorHAnsi"/>
          <w:b/>
          <w:bCs/>
          <w:kern w:val="0"/>
          <w:sz w:val="24"/>
          <w:szCs w:val="24"/>
          <w:lang w:eastAsia="en-GB"/>
          <w14:ligatures w14:val="none"/>
        </w:rPr>
        <w:t>Can a powerful state successfully guide the development of a market economy without undermining the competition, innovation and entrepreneurial initiative on which economic growth depends?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6095"/>
      </w:tblGrid>
      <w:tr w:rsidR="000D1173" w:rsidRPr="000D1173" w14:paraId="36F9ED9F" w14:textId="77777777" w:rsidTr="000D1173">
        <w:trPr>
          <w:tblCellSpacing w:w="15" w:type="dxa"/>
        </w:trPr>
        <w:tc>
          <w:tcPr>
            <w:tcW w:w="2932" w:type="dxa"/>
            <w:vAlign w:val="center"/>
            <w:hideMark/>
          </w:tcPr>
          <w:p w14:paraId="15077BB6" w14:textId="41CE11FE" w:rsidR="000D1173" w:rsidRPr="000D1173" w:rsidRDefault="00145610" w:rsidP="000D1173">
            <w:pPr>
              <w:spacing w:after="0" w:line="240" w:lineRule="auto"/>
              <w:jc w:val="center"/>
              <w:rPr>
                <w:rFonts w:eastAsia="Times New Roman" w:cstheme="minorHAnsi"/>
                <w:b/>
                <w:bCs/>
                <w:kern w:val="0"/>
                <w:sz w:val="24"/>
                <w:szCs w:val="24"/>
                <w:lang w:eastAsia="en-GB"/>
                <w14:ligatures w14:val="none"/>
              </w:rPr>
            </w:pPr>
            <w:r w:rsidRPr="000D1173">
              <w:rPr>
                <w:rFonts w:eastAsia="Times New Roman" w:cstheme="minorHAnsi"/>
                <w:b/>
                <w:bCs/>
                <w:kern w:val="0"/>
                <w:sz w:val="27"/>
                <w:szCs w:val="27"/>
                <w:lang w:eastAsia="en-GB"/>
                <w14:ligatures w14:val="none"/>
              </w:rPr>
              <w:t>Key vocabulary</w:t>
            </w:r>
            <w:r>
              <w:rPr>
                <w:rFonts w:eastAsia="Times New Roman" w:cstheme="minorHAnsi"/>
                <w:b/>
                <w:bCs/>
                <w:kern w:val="0"/>
                <w:sz w:val="27"/>
                <w:szCs w:val="27"/>
                <w:lang w:eastAsia="en-GB"/>
                <w14:ligatures w14:val="none"/>
              </w:rPr>
              <w:t xml:space="preserve">: </w:t>
            </w:r>
            <w:r w:rsidR="000D1173" w:rsidRPr="000D1173">
              <w:rPr>
                <w:rFonts w:eastAsia="Times New Roman" w:cstheme="minorHAnsi"/>
                <w:b/>
                <w:bCs/>
                <w:kern w:val="0"/>
                <w:sz w:val="24"/>
                <w:szCs w:val="24"/>
                <w:lang w:eastAsia="en-GB"/>
                <w14:ligatures w14:val="none"/>
              </w:rPr>
              <w:t>English</w:t>
            </w:r>
          </w:p>
        </w:tc>
        <w:tc>
          <w:tcPr>
            <w:tcW w:w="6050" w:type="dxa"/>
            <w:vAlign w:val="center"/>
            <w:hideMark/>
          </w:tcPr>
          <w:p w14:paraId="5B21B3C2" w14:textId="77777777" w:rsidR="000D1173" w:rsidRPr="000D1173" w:rsidRDefault="000D1173" w:rsidP="000D1173">
            <w:pPr>
              <w:spacing w:after="0" w:line="240" w:lineRule="auto"/>
              <w:jc w:val="center"/>
              <w:rPr>
                <w:rFonts w:eastAsia="Times New Roman" w:cstheme="minorHAnsi"/>
                <w:b/>
                <w:bCs/>
                <w:kern w:val="0"/>
                <w:sz w:val="24"/>
                <w:szCs w:val="24"/>
                <w:lang w:eastAsia="en-GB"/>
                <w14:ligatures w14:val="none"/>
              </w:rPr>
            </w:pPr>
            <w:r w:rsidRPr="000D1173">
              <w:rPr>
                <w:rFonts w:eastAsia="Times New Roman" w:cstheme="minorHAnsi"/>
                <w:b/>
                <w:bCs/>
                <w:kern w:val="0"/>
                <w:sz w:val="24"/>
                <w:szCs w:val="24"/>
                <w:lang w:eastAsia="en-GB"/>
                <w14:ligatures w14:val="none"/>
              </w:rPr>
              <w:t>Definition</w:t>
            </w:r>
          </w:p>
        </w:tc>
      </w:tr>
      <w:tr w:rsidR="000D1173" w:rsidRPr="000D1173" w14:paraId="0C4174C7" w14:textId="77777777" w:rsidTr="000D1173">
        <w:trPr>
          <w:tblCellSpacing w:w="15" w:type="dxa"/>
        </w:trPr>
        <w:tc>
          <w:tcPr>
            <w:tcW w:w="2932" w:type="dxa"/>
            <w:vAlign w:val="center"/>
            <w:hideMark/>
          </w:tcPr>
          <w:p w14:paraId="2D1DC5EE"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State intervention</w:t>
            </w:r>
          </w:p>
        </w:tc>
        <w:tc>
          <w:tcPr>
            <w:tcW w:w="6050" w:type="dxa"/>
            <w:vAlign w:val="center"/>
            <w:hideMark/>
          </w:tcPr>
          <w:p w14:paraId="6A3EF4C7"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Government involvement in economic activity</w:t>
            </w:r>
          </w:p>
        </w:tc>
      </w:tr>
      <w:tr w:rsidR="000D1173" w:rsidRPr="000D1173" w14:paraId="0AD98F6C" w14:textId="77777777" w:rsidTr="000D1173">
        <w:trPr>
          <w:tblCellSpacing w:w="15" w:type="dxa"/>
        </w:trPr>
        <w:tc>
          <w:tcPr>
            <w:tcW w:w="2932" w:type="dxa"/>
            <w:vAlign w:val="center"/>
            <w:hideMark/>
          </w:tcPr>
          <w:p w14:paraId="46299AC8"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Industrial policy</w:t>
            </w:r>
          </w:p>
        </w:tc>
        <w:tc>
          <w:tcPr>
            <w:tcW w:w="6050" w:type="dxa"/>
            <w:vAlign w:val="center"/>
            <w:hideMark/>
          </w:tcPr>
          <w:p w14:paraId="4523D61A"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Government measures designed to promote particular industries</w:t>
            </w:r>
          </w:p>
        </w:tc>
      </w:tr>
      <w:tr w:rsidR="000D1173" w:rsidRPr="000D1173" w14:paraId="439C8718" w14:textId="77777777" w:rsidTr="000D1173">
        <w:trPr>
          <w:tblCellSpacing w:w="15" w:type="dxa"/>
        </w:trPr>
        <w:tc>
          <w:tcPr>
            <w:tcW w:w="2932" w:type="dxa"/>
            <w:vAlign w:val="center"/>
            <w:hideMark/>
          </w:tcPr>
          <w:p w14:paraId="575FCBE5"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Strategic industries</w:t>
            </w:r>
          </w:p>
        </w:tc>
        <w:tc>
          <w:tcPr>
            <w:tcW w:w="6050" w:type="dxa"/>
            <w:vAlign w:val="center"/>
            <w:hideMark/>
          </w:tcPr>
          <w:p w14:paraId="111DE9BC"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Sectors considered essential to national economic or security interests</w:t>
            </w:r>
          </w:p>
        </w:tc>
      </w:tr>
      <w:tr w:rsidR="000D1173" w:rsidRPr="000D1173" w14:paraId="0D6639C2" w14:textId="77777777" w:rsidTr="000D1173">
        <w:trPr>
          <w:tblCellSpacing w:w="15" w:type="dxa"/>
        </w:trPr>
        <w:tc>
          <w:tcPr>
            <w:tcW w:w="2932" w:type="dxa"/>
            <w:vAlign w:val="center"/>
            <w:hideMark/>
          </w:tcPr>
          <w:p w14:paraId="66F78D97"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State-owned enterprise (SOE)</w:t>
            </w:r>
          </w:p>
        </w:tc>
        <w:tc>
          <w:tcPr>
            <w:tcW w:w="6050" w:type="dxa"/>
            <w:vAlign w:val="center"/>
            <w:hideMark/>
          </w:tcPr>
          <w:p w14:paraId="41FFCCF2"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A company owned or controlled by the government</w:t>
            </w:r>
          </w:p>
        </w:tc>
      </w:tr>
      <w:tr w:rsidR="000D1173" w:rsidRPr="000D1173" w14:paraId="1C5E245F" w14:textId="77777777" w:rsidTr="000D1173">
        <w:trPr>
          <w:tblCellSpacing w:w="15" w:type="dxa"/>
        </w:trPr>
        <w:tc>
          <w:tcPr>
            <w:tcW w:w="2932" w:type="dxa"/>
            <w:vAlign w:val="center"/>
            <w:hideMark/>
          </w:tcPr>
          <w:p w14:paraId="25C272C9"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Subsidy</w:t>
            </w:r>
          </w:p>
        </w:tc>
        <w:tc>
          <w:tcPr>
            <w:tcW w:w="6050" w:type="dxa"/>
            <w:vAlign w:val="center"/>
            <w:hideMark/>
          </w:tcPr>
          <w:p w14:paraId="2FBA6269"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Financial assistance provided by the state</w:t>
            </w:r>
          </w:p>
        </w:tc>
      </w:tr>
      <w:tr w:rsidR="000D1173" w:rsidRPr="000D1173" w14:paraId="57007C18" w14:textId="77777777" w:rsidTr="000D1173">
        <w:trPr>
          <w:tblCellSpacing w:w="15" w:type="dxa"/>
        </w:trPr>
        <w:tc>
          <w:tcPr>
            <w:tcW w:w="2932" w:type="dxa"/>
            <w:vAlign w:val="center"/>
            <w:hideMark/>
          </w:tcPr>
          <w:p w14:paraId="62A61C43"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Preferential lending</w:t>
            </w:r>
          </w:p>
        </w:tc>
        <w:tc>
          <w:tcPr>
            <w:tcW w:w="6050" w:type="dxa"/>
            <w:vAlign w:val="center"/>
            <w:hideMark/>
          </w:tcPr>
          <w:p w14:paraId="199728AF"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Loans offered on more favourable terms</w:t>
            </w:r>
          </w:p>
        </w:tc>
      </w:tr>
      <w:tr w:rsidR="000D1173" w:rsidRPr="000D1173" w14:paraId="305E1FEA" w14:textId="77777777" w:rsidTr="000D1173">
        <w:trPr>
          <w:tblCellSpacing w:w="15" w:type="dxa"/>
        </w:trPr>
        <w:tc>
          <w:tcPr>
            <w:tcW w:w="2932" w:type="dxa"/>
            <w:vAlign w:val="center"/>
            <w:hideMark/>
          </w:tcPr>
          <w:p w14:paraId="48A5793D"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Technological self-reliance</w:t>
            </w:r>
          </w:p>
        </w:tc>
        <w:tc>
          <w:tcPr>
            <w:tcW w:w="6050" w:type="dxa"/>
            <w:vAlign w:val="center"/>
            <w:hideMark/>
          </w:tcPr>
          <w:p w14:paraId="0F28EECE"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ability to develop and produce technology domestically</w:t>
            </w:r>
          </w:p>
        </w:tc>
      </w:tr>
      <w:tr w:rsidR="000D1173" w:rsidRPr="000D1173" w14:paraId="67589508" w14:textId="77777777" w:rsidTr="000D1173">
        <w:trPr>
          <w:tblCellSpacing w:w="15" w:type="dxa"/>
        </w:trPr>
        <w:tc>
          <w:tcPr>
            <w:tcW w:w="2932" w:type="dxa"/>
            <w:vAlign w:val="center"/>
            <w:hideMark/>
          </w:tcPr>
          <w:p w14:paraId="25FB2E00"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Industrial overcapacity</w:t>
            </w:r>
          </w:p>
        </w:tc>
        <w:tc>
          <w:tcPr>
            <w:tcW w:w="6050" w:type="dxa"/>
            <w:vAlign w:val="center"/>
            <w:hideMark/>
          </w:tcPr>
          <w:p w14:paraId="30206F3F"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A situation in which productive capacity exceeds demand</w:t>
            </w:r>
          </w:p>
        </w:tc>
      </w:tr>
      <w:tr w:rsidR="000D1173" w:rsidRPr="000D1173" w14:paraId="4FDB48B6" w14:textId="77777777" w:rsidTr="000D1173">
        <w:trPr>
          <w:tblCellSpacing w:w="15" w:type="dxa"/>
        </w:trPr>
        <w:tc>
          <w:tcPr>
            <w:tcW w:w="2932" w:type="dxa"/>
            <w:vAlign w:val="center"/>
            <w:hideMark/>
          </w:tcPr>
          <w:p w14:paraId="4C5A493E"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Resource allocation</w:t>
            </w:r>
          </w:p>
        </w:tc>
        <w:tc>
          <w:tcPr>
            <w:tcW w:w="6050" w:type="dxa"/>
            <w:vAlign w:val="center"/>
            <w:hideMark/>
          </w:tcPr>
          <w:p w14:paraId="3EB8BA99"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The distribution of capital, labour and other resources</w:t>
            </w:r>
          </w:p>
        </w:tc>
      </w:tr>
      <w:tr w:rsidR="000D1173" w:rsidRPr="000D1173" w14:paraId="27DC7D7F" w14:textId="77777777" w:rsidTr="000D1173">
        <w:trPr>
          <w:tblCellSpacing w:w="15" w:type="dxa"/>
        </w:trPr>
        <w:tc>
          <w:tcPr>
            <w:tcW w:w="2932" w:type="dxa"/>
            <w:vAlign w:val="center"/>
            <w:hideMark/>
          </w:tcPr>
          <w:p w14:paraId="2A8152BF"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Market competition</w:t>
            </w:r>
          </w:p>
        </w:tc>
        <w:tc>
          <w:tcPr>
            <w:tcW w:w="6050" w:type="dxa"/>
            <w:vAlign w:val="center"/>
            <w:hideMark/>
          </w:tcPr>
          <w:p w14:paraId="3E50410E" w14:textId="77777777" w:rsidR="000D1173" w:rsidRPr="000D1173" w:rsidRDefault="000D1173" w:rsidP="000D1173">
            <w:pPr>
              <w:spacing w:after="0" w:line="240" w:lineRule="auto"/>
              <w:rPr>
                <w:rFonts w:eastAsia="Times New Roman" w:cstheme="minorHAnsi"/>
                <w:kern w:val="0"/>
                <w:sz w:val="24"/>
                <w:szCs w:val="24"/>
                <w:lang w:eastAsia="en-GB"/>
                <w14:ligatures w14:val="none"/>
              </w:rPr>
            </w:pPr>
            <w:r w:rsidRPr="000D1173">
              <w:rPr>
                <w:rFonts w:eastAsia="Times New Roman" w:cstheme="minorHAnsi"/>
                <w:kern w:val="0"/>
                <w:sz w:val="24"/>
                <w:szCs w:val="24"/>
                <w:lang w:eastAsia="en-GB"/>
                <w14:ligatures w14:val="none"/>
              </w:rPr>
              <w:t>Rivalry between businesses to attract customers and increase market share</w:t>
            </w:r>
          </w:p>
        </w:tc>
      </w:tr>
    </w:tbl>
    <w:p w14:paraId="0E4F4ED3" w14:textId="77777777" w:rsidR="00663A68" w:rsidRPr="000D1173" w:rsidRDefault="00663A68" w:rsidP="000D1173">
      <w:pPr>
        <w:spacing w:after="120" w:line="240" w:lineRule="auto"/>
        <w:rPr>
          <w:rFonts w:cstheme="minorHAnsi"/>
        </w:rPr>
      </w:pPr>
    </w:p>
    <w:sectPr w:rsidR="00663A68" w:rsidRPr="000D1173" w:rsidSect="00D12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93ED6"/>
    <w:multiLevelType w:val="multilevel"/>
    <w:tmpl w:val="9C503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5393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173"/>
    <w:rsid w:val="000D1173"/>
    <w:rsid w:val="00140609"/>
    <w:rsid w:val="00145610"/>
    <w:rsid w:val="00192486"/>
    <w:rsid w:val="00331D0E"/>
    <w:rsid w:val="003B5A88"/>
    <w:rsid w:val="005E3C54"/>
    <w:rsid w:val="00604AAD"/>
    <w:rsid w:val="00663A68"/>
    <w:rsid w:val="008B72A0"/>
    <w:rsid w:val="008F2CA1"/>
    <w:rsid w:val="009E79CB"/>
    <w:rsid w:val="00AC42A4"/>
    <w:rsid w:val="00D12E0A"/>
    <w:rsid w:val="00DE7692"/>
    <w:rsid w:val="00E12147"/>
    <w:rsid w:val="00E631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AB33"/>
  <w15:chartTrackingRefBased/>
  <w15:docId w15:val="{682A2764-629F-480C-B0DA-B3C316FC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A4"/>
  </w:style>
  <w:style w:type="paragraph" w:styleId="Titre1">
    <w:name w:val="heading 1"/>
    <w:next w:val="Normal"/>
    <w:link w:val="Titre1Car"/>
    <w:autoRedefine/>
    <w:uiPriority w:val="9"/>
    <w:qFormat/>
    <w:rsid w:val="00604AAD"/>
    <w:pPr>
      <w:spacing w:after="500" w:line="288" w:lineRule="auto"/>
      <w:outlineLvl w:val="0"/>
    </w:pPr>
    <w:rPr>
      <w:rFonts w:eastAsia="Times New Roman" w:cs="Times New Roman"/>
      <w:b/>
      <w:bCs/>
      <w:caps/>
      <w:color w:val="000000"/>
      <w:kern w:val="0"/>
      <w14:ligatures w14:val="none"/>
    </w:rPr>
  </w:style>
  <w:style w:type="paragraph" w:styleId="Titre2">
    <w:name w:val="heading 2"/>
    <w:basedOn w:val="Normal"/>
    <w:next w:val="Normal"/>
    <w:link w:val="Titre2Car"/>
    <w:uiPriority w:val="9"/>
    <w:semiHidden/>
    <w:unhideWhenUsed/>
    <w:qFormat/>
    <w:rsid w:val="000D11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0D117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D117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D117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D117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D117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D117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D117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2">
    <w:name w:val="toc 2"/>
    <w:basedOn w:val="Normal"/>
    <w:next w:val="Normal"/>
    <w:autoRedefine/>
    <w:uiPriority w:val="39"/>
    <w:unhideWhenUsed/>
    <w:rsid w:val="00604AAD"/>
    <w:pPr>
      <w:spacing w:after="100" w:line="278" w:lineRule="auto"/>
      <w:ind w:left="240"/>
    </w:pPr>
    <w:rPr>
      <w:rFonts w:ascii="Times New Roman" w:hAnsi="Times New Roman"/>
      <w:sz w:val="24"/>
      <w:szCs w:val="24"/>
      <w:lang w:val="fr-FR"/>
    </w:rPr>
  </w:style>
  <w:style w:type="character" w:customStyle="1" w:styleId="Titre1Car">
    <w:name w:val="Titre 1 Car"/>
    <w:basedOn w:val="Policepardfaut"/>
    <w:link w:val="Titre1"/>
    <w:uiPriority w:val="9"/>
    <w:rsid w:val="00604AAD"/>
    <w:rPr>
      <w:rFonts w:eastAsia="Times New Roman" w:cs="Times New Roman"/>
      <w:b/>
      <w:bCs/>
      <w:caps/>
      <w:color w:val="000000"/>
      <w:kern w:val="0"/>
      <w14:ligatures w14:val="none"/>
    </w:rPr>
  </w:style>
  <w:style w:type="character" w:customStyle="1" w:styleId="Titre2Car">
    <w:name w:val="Titre 2 Car"/>
    <w:basedOn w:val="Policepardfaut"/>
    <w:link w:val="Titre2"/>
    <w:uiPriority w:val="9"/>
    <w:semiHidden/>
    <w:rsid w:val="000D117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0D117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D117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D117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D117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D117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D117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D1173"/>
    <w:rPr>
      <w:rFonts w:eastAsiaTheme="majorEastAsia" w:cstheme="majorBidi"/>
      <w:color w:val="272727" w:themeColor="text1" w:themeTint="D8"/>
    </w:rPr>
  </w:style>
  <w:style w:type="paragraph" w:styleId="Titre">
    <w:name w:val="Title"/>
    <w:basedOn w:val="Normal"/>
    <w:next w:val="Normal"/>
    <w:link w:val="TitreCar"/>
    <w:uiPriority w:val="10"/>
    <w:qFormat/>
    <w:rsid w:val="000D1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D117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D117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D117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D1173"/>
    <w:pPr>
      <w:spacing w:before="160"/>
      <w:jc w:val="center"/>
    </w:pPr>
    <w:rPr>
      <w:i/>
      <w:iCs/>
      <w:color w:val="404040" w:themeColor="text1" w:themeTint="BF"/>
    </w:rPr>
  </w:style>
  <w:style w:type="character" w:customStyle="1" w:styleId="CitationCar">
    <w:name w:val="Citation Car"/>
    <w:basedOn w:val="Policepardfaut"/>
    <w:link w:val="Citation"/>
    <w:uiPriority w:val="29"/>
    <w:rsid w:val="000D1173"/>
    <w:rPr>
      <w:i/>
      <w:iCs/>
      <w:color w:val="404040" w:themeColor="text1" w:themeTint="BF"/>
    </w:rPr>
  </w:style>
  <w:style w:type="paragraph" w:styleId="Paragraphedeliste">
    <w:name w:val="List Paragraph"/>
    <w:basedOn w:val="Normal"/>
    <w:uiPriority w:val="34"/>
    <w:qFormat/>
    <w:rsid w:val="000D1173"/>
    <w:pPr>
      <w:ind w:left="720"/>
      <w:contextualSpacing/>
    </w:pPr>
  </w:style>
  <w:style w:type="character" w:styleId="Accentuationintense">
    <w:name w:val="Intense Emphasis"/>
    <w:basedOn w:val="Policepardfaut"/>
    <w:uiPriority w:val="21"/>
    <w:qFormat/>
    <w:rsid w:val="000D1173"/>
    <w:rPr>
      <w:i/>
      <w:iCs/>
      <w:color w:val="2F5496" w:themeColor="accent1" w:themeShade="BF"/>
    </w:rPr>
  </w:style>
  <w:style w:type="paragraph" w:styleId="Citationintense">
    <w:name w:val="Intense Quote"/>
    <w:basedOn w:val="Normal"/>
    <w:next w:val="Normal"/>
    <w:link w:val="CitationintenseCar"/>
    <w:uiPriority w:val="30"/>
    <w:qFormat/>
    <w:rsid w:val="000D11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D1173"/>
    <w:rPr>
      <w:i/>
      <w:iCs/>
      <w:color w:val="2F5496" w:themeColor="accent1" w:themeShade="BF"/>
    </w:rPr>
  </w:style>
  <w:style w:type="character" w:styleId="Rfrenceintense">
    <w:name w:val="Intense Reference"/>
    <w:basedOn w:val="Policepardfaut"/>
    <w:uiPriority w:val="32"/>
    <w:qFormat/>
    <w:rsid w:val="000D1173"/>
    <w:rPr>
      <w:b/>
      <w:bCs/>
      <w:smallCaps/>
      <w:color w:val="2F5496" w:themeColor="accent1" w:themeShade="BF"/>
      <w:spacing w:val="5"/>
    </w:rPr>
  </w:style>
  <w:style w:type="paragraph" w:styleId="NormalWeb">
    <w:name w:val="Normal (Web)"/>
    <w:basedOn w:val="Normal"/>
    <w:uiPriority w:val="99"/>
    <w:semiHidden/>
    <w:unhideWhenUsed/>
    <w:rsid w:val="000D11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Accentuation">
    <w:name w:val="Emphasis"/>
    <w:basedOn w:val="Policepardfaut"/>
    <w:uiPriority w:val="20"/>
    <w:qFormat/>
    <w:rsid w:val="000D1173"/>
    <w:rPr>
      <w:i/>
      <w:iCs/>
    </w:rPr>
  </w:style>
  <w:style w:type="character" w:styleId="lev">
    <w:name w:val="Strong"/>
    <w:basedOn w:val="Policepardfaut"/>
    <w:uiPriority w:val="22"/>
    <w:qFormat/>
    <w:rsid w:val="000D11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812</Words>
  <Characters>4631</Characters>
  <Application>Microsoft Office Word</Application>
  <DocSecurity>0</DocSecurity>
  <Lines>38</Lines>
  <Paragraphs>10</Paragraphs>
  <ScaleCrop>false</ScaleCrop>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sowels</dc:creator>
  <cp:keywords/>
  <dc:description/>
  <cp:lastModifiedBy>nicholas sowels</cp:lastModifiedBy>
  <cp:revision>2</cp:revision>
  <dcterms:created xsi:type="dcterms:W3CDTF">2026-11-03T15:30:00Z</dcterms:created>
  <dcterms:modified xsi:type="dcterms:W3CDTF">2026-11-03T15:37:00Z</dcterms:modified>
</cp:coreProperties>
</file>