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9BE4" w14:textId="1D430F5D" w:rsidR="00732E11" w:rsidRPr="00732E11" w:rsidRDefault="00732E11" w:rsidP="00732E1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</w:pPr>
      <w:r w:rsidRPr="00732E11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Table comparing the systems of planning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2112"/>
        <w:gridCol w:w="2230"/>
        <w:gridCol w:w="3130"/>
      </w:tblGrid>
      <w:tr w:rsidR="00732E11" w:rsidRPr="00732E11" w14:paraId="620D5CDB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93B9D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2E80E24F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Soviet planning</w:t>
            </w:r>
          </w:p>
        </w:tc>
        <w:tc>
          <w:tcPr>
            <w:tcW w:w="0" w:type="auto"/>
            <w:vAlign w:val="center"/>
            <w:hideMark/>
          </w:tcPr>
          <w:p w14:paraId="2176B63C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French indicative planning</w:t>
            </w:r>
          </w:p>
        </w:tc>
        <w:tc>
          <w:tcPr>
            <w:tcW w:w="0" w:type="auto"/>
            <w:vAlign w:val="center"/>
            <w:hideMark/>
          </w:tcPr>
          <w:p w14:paraId="6239E4DA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Contemporary Chinese planning</w:t>
            </w:r>
          </w:p>
        </w:tc>
      </w:tr>
      <w:tr w:rsidR="00732E11" w:rsidRPr="00732E11" w14:paraId="2A975291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01959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Political system</w:t>
            </w:r>
          </w:p>
        </w:tc>
        <w:tc>
          <w:tcPr>
            <w:tcW w:w="0" w:type="auto"/>
            <w:vAlign w:val="center"/>
            <w:hideMark/>
          </w:tcPr>
          <w:p w14:paraId="3FC9325D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Communist one-party state</w:t>
            </w:r>
          </w:p>
        </w:tc>
        <w:tc>
          <w:tcPr>
            <w:tcW w:w="0" w:type="auto"/>
            <w:vAlign w:val="center"/>
            <w:hideMark/>
          </w:tcPr>
          <w:p w14:paraId="249DFB1E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Parliamentary democracy</w:t>
            </w:r>
          </w:p>
        </w:tc>
        <w:tc>
          <w:tcPr>
            <w:tcW w:w="0" w:type="auto"/>
            <w:vAlign w:val="center"/>
            <w:hideMark/>
          </w:tcPr>
          <w:p w14:paraId="5BB785DD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Communist one-party state</w:t>
            </w:r>
          </w:p>
        </w:tc>
      </w:tr>
      <w:tr w:rsidR="00732E11" w:rsidRPr="00732E11" w14:paraId="5B38D595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75201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Ownership</w:t>
            </w:r>
          </w:p>
        </w:tc>
        <w:tc>
          <w:tcPr>
            <w:tcW w:w="0" w:type="auto"/>
            <w:vAlign w:val="center"/>
            <w:hideMark/>
          </w:tcPr>
          <w:p w14:paraId="6D21B538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Predominantly state</w:t>
            </w:r>
          </w:p>
        </w:tc>
        <w:tc>
          <w:tcPr>
            <w:tcW w:w="0" w:type="auto"/>
            <w:vAlign w:val="center"/>
            <w:hideMark/>
          </w:tcPr>
          <w:p w14:paraId="413222C6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Mixed economy</w:t>
            </w:r>
          </w:p>
        </w:tc>
        <w:tc>
          <w:tcPr>
            <w:tcW w:w="0" w:type="auto"/>
            <w:vAlign w:val="center"/>
            <w:hideMark/>
          </w:tcPr>
          <w:p w14:paraId="3B6CE277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Mixed economy</w:t>
            </w:r>
          </w:p>
        </w:tc>
      </w:tr>
      <w:tr w:rsidR="00732E11" w:rsidRPr="00732E11" w14:paraId="7B88F80A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6939D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Planning mechanism</w:t>
            </w:r>
          </w:p>
        </w:tc>
        <w:tc>
          <w:tcPr>
            <w:tcW w:w="0" w:type="auto"/>
            <w:vAlign w:val="center"/>
            <w:hideMark/>
          </w:tcPr>
          <w:p w14:paraId="3039C9C0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Administrative command</w:t>
            </w:r>
          </w:p>
        </w:tc>
        <w:tc>
          <w:tcPr>
            <w:tcW w:w="0" w:type="auto"/>
            <w:vAlign w:val="center"/>
            <w:hideMark/>
          </w:tcPr>
          <w:p w14:paraId="33FD8AD1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Consultation and coordination</w:t>
            </w:r>
          </w:p>
        </w:tc>
        <w:tc>
          <w:tcPr>
            <w:tcW w:w="0" w:type="auto"/>
            <w:vAlign w:val="center"/>
            <w:hideMark/>
          </w:tcPr>
          <w:p w14:paraId="20C33305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Strategic direction and administrative coordination</w:t>
            </w:r>
          </w:p>
        </w:tc>
      </w:tr>
      <w:tr w:rsidR="00732E11" w:rsidRPr="00732E11" w14:paraId="00F8E940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0A4CC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Private enterprise</w:t>
            </w:r>
          </w:p>
        </w:tc>
        <w:tc>
          <w:tcPr>
            <w:tcW w:w="0" w:type="auto"/>
            <w:vAlign w:val="center"/>
            <w:hideMark/>
          </w:tcPr>
          <w:p w14:paraId="3DDF080B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Very restricted</w:t>
            </w:r>
          </w:p>
        </w:tc>
        <w:tc>
          <w:tcPr>
            <w:tcW w:w="0" w:type="auto"/>
            <w:vAlign w:val="center"/>
            <w:hideMark/>
          </w:tcPr>
          <w:p w14:paraId="304450FC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Important</w:t>
            </w:r>
          </w:p>
        </w:tc>
        <w:tc>
          <w:tcPr>
            <w:tcW w:w="0" w:type="auto"/>
            <w:vAlign w:val="center"/>
            <w:hideMark/>
          </w:tcPr>
          <w:p w14:paraId="47E395DC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Important</w:t>
            </w:r>
          </w:p>
        </w:tc>
      </w:tr>
      <w:tr w:rsidR="00732E11" w:rsidRPr="00732E11" w14:paraId="16FFFFC3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8E4EF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Prices</w:t>
            </w:r>
          </w:p>
        </w:tc>
        <w:tc>
          <w:tcPr>
            <w:tcW w:w="0" w:type="auto"/>
            <w:vAlign w:val="center"/>
            <w:hideMark/>
          </w:tcPr>
          <w:p w14:paraId="1E1396DE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Administratively determined</w:t>
            </w:r>
          </w:p>
        </w:tc>
        <w:tc>
          <w:tcPr>
            <w:tcW w:w="0" w:type="auto"/>
            <w:vAlign w:val="center"/>
            <w:hideMark/>
          </w:tcPr>
          <w:p w14:paraId="708F931E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Market-based</w:t>
            </w:r>
          </w:p>
        </w:tc>
        <w:tc>
          <w:tcPr>
            <w:tcW w:w="0" w:type="auto"/>
            <w:vAlign w:val="center"/>
            <w:hideMark/>
          </w:tcPr>
          <w:p w14:paraId="4F0BE93F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Predominantly market-based</w:t>
            </w:r>
          </w:p>
        </w:tc>
      </w:tr>
      <w:tr w:rsidR="00732E11" w:rsidRPr="00732E11" w14:paraId="3A87D412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3A890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Industrial policy</w:t>
            </w:r>
          </w:p>
        </w:tc>
        <w:tc>
          <w:tcPr>
            <w:tcW w:w="0" w:type="auto"/>
            <w:vAlign w:val="center"/>
            <w:hideMark/>
          </w:tcPr>
          <w:p w14:paraId="05669C85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Central allocation</w:t>
            </w:r>
          </w:p>
        </w:tc>
        <w:tc>
          <w:tcPr>
            <w:tcW w:w="0" w:type="auto"/>
            <w:vAlign w:val="center"/>
            <w:hideMark/>
          </w:tcPr>
          <w:p w14:paraId="4C8F45B3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Public investment and incentives</w:t>
            </w:r>
          </w:p>
        </w:tc>
        <w:tc>
          <w:tcPr>
            <w:tcW w:w="0" w:type="auto"/>
            <w:vAlign w:val="center"/>
            <w:hideMark/>
          </w:tcPr>
          <w:p w14:paraId="2F71C463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Extensive state support and strategic investment</w:t>
            </w:r>
          </w:p>
        </w:tc>
      </w:tr>
      <w:tr w:rsidR="00732E11" w:rsidRPr="00732E11" w14:paraId="1896405E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F82AC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Financial system</w:t>
            </w:r>
          </w:p>
        </w:tc>
        <w:tc>
          <w:tcPr>
            <w:tcW w:w="0" w:type="auto"/>
            <w:vAlign w:val="center"/>
            <w:hideMark/>
          </w:tcPr>
          <w:p w14:paraId="24A4A294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State-controlled</w:t>
            </w:r>
          </w:p>
        </w:tc>
        <w:tc>
          <w:tcPr>
            <w:tcW w:w="0" w:type="auto"/>
            <w:vAlign w:val="center"/>
            <w:hideMark/>
          </w:tcPr>
          <w:p w14:paraId="5AFDD40B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Mixed, with substantial state influence</w:t>
            </w:r>
          </w:p>
        </w:tc>
        <w:tc>
          <w:tcPr>
            <w:tcW w:w="0" w:type="auto"/>
            <w:vAlign w:val="center"/>
            <w:hideMark/>
          </w:tcPr>
          <w:p w14:paraId="56BC8063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Strong state influence over credit</w:t>
            </w:r>
          </w:p>
        </w:tc>
      </w:tr>
      <w:tr w:rsidR="00732E11" w:rsidRPr="00732E11" w14:paraId="37CD410A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006ED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Local government</w:t>
            </w:r>
          </w:p>
        </w:tc>
        <w:tc>
          <w:tcPr>
            <w:tcW w:w="0" w:type="auto"/>
            <w:vAlign w:val="center"/>
            <w:hideMark/>
          </w:tcPr>
          <w:p w14:paraId="68869573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Administrative implementation</w:t>
            </w:r>
          </w:p>
        </w:tc>
        <w:tc>
          <w:tcPr>
            <w:tcW w:w="0" w:type="auto"/>
            <w:vAlign w:val="center"/>
            <w:hideMark/>
          </w:tcPr>
          <w:p w14:paraId="0E205770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Decentralised public administration</w:t>
            </w:r>
          </w:p>
        </w:tc>
        <w:tc>
          <w:tcPr>
            <w:tcW w:w="0" w:type="auto"/>
            <w:vAlign w:val="center"/>
            <w:hideMark/>
          </w:tcPr>
          <w:p w14:paraId="09C7246E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Significant implementation role, under central political direction</w:t>
            </w:r>
          </w:p>
        </w:tc>
      </w:tr>
      <w:tr w:rsidR="00732E11" w:rsidRPr="00732E11" w14:paraId="7D4146AF" w14:textId="77777777" w:rsidTr="00B67A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4F57F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International trade</w:t>
            </w:r>
          </w:p>
        </w:tc>
        <w:tc>
          <w:tcPr>
            <w:tcW w:w="0" w:type="auto"/>
            <w:vAlign w:val="center"/>
            <w:hideMark/>
          </w:tcPr>
          <w:p w14:paraId="688AF34F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Relatively insulated</w:t>
            </w:r>
          </w:p>
        </w:tc>
        <w:tc>
          <w:tcPr>
            <w:tcW w:w="0" w:type="auto"/>
            <w:vAlign w:val="center"/>
            <w:hideMark/>
          </w:tcPr>
          <w:p w14:paraId="35A5064D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Open market economy</w:t>
            </w:r>
          </w:p>
        </w:tc>
        <w:tc>
          <w:tcPr>
            <w:tcW w:w="0" w:type="auto"/>
            <w:vAlign w:val="center"/>
            <w:hideMark/>
          </w:tcPr>
          <w:p w14:paraId="16EF8155" w14:textId="77777777" w:rsidR="00732E11" w:rsidRPr="00732E11" w:rsidRDefault="00732E11" w:rsidP="00732E11">
            <w:pPr>
              <w:spacing w:before="100" w:beforeAutospacing="1" w:after="100" w:afterAutospacing="1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32E11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Highly integrated into international trade</w:t>
            </w:r>
          </w:p>
        </w:tc>
      </w:tr>
    </w:tbl>
    <w:p w14:paraId="35752D8C" w14:textId="77777777" w:rsidR="00663A68" w:rsidRPr="00732E11" w:rsidRDefault="00663A68">
      <w:pPr>
        <w:rPr>
          <w:rFonts w:cstheme="minorHAnsi"/>
          <w:sz w:val="24"/>
          <w:szCs w:val="24"/>
        </w:rPr>
      </w:pPr>
    </w:p>
    <w:sectPr w:rsidR="00663A68" w:rsidRPr="00732E11" w:rsidSect="00D12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11"/>
    <w:rsid w:val="00140609"/>
    <w:rsid w:val="00192486"/>
    <w:rsid w:val="00331D0E"/>
    <w:rsid w:val="003B5A88"/>
    <w:rsid w:val="005E3C54"/>
    <w:rsid w:val="00604AAD"/>
    <w:rsid w:val="00663A68"/>
    <w:rsid w:val="00732E11"/>
    <w:rsid w:val="008B72A0"/>
    <w:rsid w:val="008F2CA1"/>
    <w:rsid w:val="00960716"/>
    <w:rsid w:val="009E79CB"/>
    <w:rsid w:val="00AC42A4"/>
    <w:rsid w:val="00B67A41"/>
    <w:rsid w:val="00D12E0A"/>
    <w:rsid w:val="00DE7692"/>
    <w:rsid w:val="00E12147"/>
    <w:rsid w:val="00E6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B99F"/>
  <w15:chartTrackingRefBased/>
  <w15:docId w15:val="{1F6B1FA5-CA9F-4F15-B2F9-BA04A09F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2A4"/>
  </w:style>
  <w:style w:type="paragraph" w:styleId="Titre1">
    <w:name w:val="heading 1"/>
    <w:next w:val="Normal"/>
    <w:link w:val="Titre1Car"/>
    <w:autoRedefine/>
    <w:uiPriority w:val="9"/>
    <w:qFormat/>
    <w:rsid w:val="00604AAD"/>
    <w:pPr>
      <w:spacing w:after="500" w:line="288" w:lineRule="auto"/>
      <w:outlineLvl w:val="0"/>
    </w:pPr>
    <w:rPr>
      <w:rFonts w:eastAsia="Times New Roman" w:cs="Times New Roman"/>
      <w:b/>
      <w:bCs/>
      <w:caps/>
      <w:color w:val="000000"/>
      <w:kern w:val="0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2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2E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2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2E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2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2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2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2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2">
    <w:name w:val="toc 2"/>
    <w:basedOn w:val="Normal"/>
    <w:next w:val="Normal"/>
    <w:autoRedefine/>
    <w:uiPriority w:val="39"/>
    <w:unhideWhenUsed/>
    <w:rsid w:val="00604AAD"/>
    <w:pPr>
      <w:spacing w:after="100" w:line="278" w:lineRule="auto"/>
      <w:ind w:left="240"/>
    </w:pPr>
    <w:rPr>
      <w:rFonts w:ascii="Times New Roman" w:hAnsi="Times New Roman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04AAD"/>
    <w:rPr>
      <w:rFonts w:eastAsia="Times New Roman" w:cs="Times New Roman"/>
      <w:b/>
      <w:bCs/>
      <w:caps/>
      <w:color w:val="000000"/>
      <w:kern w:val="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732E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2E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2E1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2E1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2E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2E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2E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2E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2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2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2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2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2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2E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2E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2E1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2E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2E1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2E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BD263-1FA4-43D4-957B-D3A58C7A4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dc:description/>
  <cp:lastModifiedBy>nicholas sowels</cp:lastModifiedBy>
  <cp:revision>3</cp:revision>
  <dcterms:created xsi:type="dcterms:W3CDTF">2026-11-03T15:52:00Z</dcterms:created>
  <dcterms:modified xsi:type="dcterms:W3CDTF">2026-11-03T16:04:00Z</dcterms:modified>
</cp:coreProperties>
</file>